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Tables</w:t>
      </w:r>
    </w:p>
    <w:p>
      <w:pPr>
        <w:jc w:val="left"/>
      </w:pPr>
      <w:r>
        <w:rPr>
          <w:b/>
        </w:rPr>
        <w:t>Table 1. Variables and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Definition &amp; source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Transform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SFHA exposure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Parcel majority area within Zones A/AE/AO/AH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0–1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10% overlap sensitivity checks boundary effects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Total value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Assessed parcel value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USD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Natural log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Core control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Acres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Assessor parcel size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Acres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Natural log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Core control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Improvement status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Building presence from assessor/footprints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0–1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Used in descriptive splits &amp; sensitivity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Owner type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Organizational form from classifier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one-hot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Individual; LLC; Corporation; Trust; Gov/Nonprofit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Local portfolio footprint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SFR parcels per exact owner-of-record name (within Douglas County)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Single vs multi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Exact match on owner-of-record name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Entity × footprint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Cross of owner type &amp; footprint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Categories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one-hot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10 mutually exclusive groups; Individual—Single is the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Neighborhood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Assessor appraisal neighborhood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Categories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one-hot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Fixed effects; 470 groups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Owner distance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Great-circle km: parcel centroid to owner ZIP centroid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Kilometers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log(1+km)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Secondary robustness control</w:t>
            </w:r>
          </w:p>
        </w:tc>
      </w:tr>
    </w:tbl>
    <w:p/>
    <w:p>
      <w:pPr>
        <w:jc w:val="left"/>
      </w:pPr>
      <w:r>
        <w:rPr>
          <w:b/>
        </w:rPr>
        <w:t>Table 2. Organizational forms: functional definitions and interpretive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2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Owner-of-record identification (examples)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Interpretive role in this study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Key caveats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Individual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Personal names; joint names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Household/person owner-of-record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May be a landlord; name matching may split/merge households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LLC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Tokens such as "LLC", "L.L.C.", "Limited Liability Company"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Business entity with limited liability; administratively legible as an entity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May be controlled by individuals, trusts, or corporations (beneficial owner not observed)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Corporation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"Inc", "Corp", "Co" (incorporated entities)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Business entity distinct from LLCs; may reflect corporate ownership strategies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Names can overlap with nonprofits or public entities; beneficial owner not observed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Trust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"Trust", "Trustee" and similar markers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Fiduciary/estate-planning or investment holding structure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Not a direct proxy for rental/tenure; beneficiaries not observed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Government/Nonprofit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Public agencies; nonprofits; religious entities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Non-market or public-interest ownership relevant for administration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Heterogeneous category; may include quasi-public entities</w:t>
            </w:r>
          </w:p>
        </w:tc>
      </w:tr>
    </w:tbl>
    <w:p/>
    <w:p>
      <w:pPr>
        <w:jc w:val="left"/>
      </w:pPr>
      <w:r>
        <w:rPr>
          <w:b/>
        </w:rPr>
        <w:t>Table 3. Local portfolio footprint distribution by organizational form (SFR)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2"/>
              </w:rPr>
              <w:t>Entity type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Single-parcel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Single-parcel %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Multi-parcel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Multi-parcel %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Individual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131,436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86.32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20,826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13.68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152,260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LLC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4,725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23.04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15,782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76.96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20,507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Corporation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762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30.36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1,748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69.64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2,510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Trust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5,295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82.54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1,120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17.46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6,415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Gov/Nonprofit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803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30.43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1,836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69.57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2,639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143,021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77.59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41,312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22.41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184,333</w:t>
            </w:r>
          </w:p>
        </w:tc>
      </w:tr>
    </w:tbl>
    <w:p/>
    <w:p>
      <w:pPr>
        <w:jc w:val="left"/>
      </w:pPr>
      <w:r>
        <w:rPr>
          <w:b/>
        </w:rPr>
        <w:t>Table 4. SFR owner-type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Owner type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Percent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Individual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152,260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82.60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LLC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20,507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11.12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Trust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6,415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3.48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Gov/Nonprofit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2,639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1.43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Corporation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2,510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1.36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184,333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100.00</w:t>
            </w:r>
          </w:p>
        </w:tc>
      </w:tr>
    </w:tbl>
    <w:p/>
    <w:p>
      <w:pPr>
        <w:jc w:val="left"/>
      </w:pPr>
      <w:r>
        <w:rPr>
          <w:b/>
        </w:rPr>
        <w:t>Table 5. Model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2"/>
              </w:rPr>
              <w:t>Label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Distance term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Neighborhood FE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N parcels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FE groups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M0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Entity × footprint indicators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184,333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M1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M0 + log(value) + log(acres)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184,333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M2 (primary)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M1 + neighborhood FE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183,313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470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M3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M1 + log(1+distance)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log(1+distance)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184,333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M4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M1 + log(1+distance) + neighborhood FE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log(1+distance)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183,313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470</w:t>
            </w:r>
          </w:p>
        </w:tc>
      </w:tr>
    </w:tbl>
    <w:p>
      <w:r>
        <w:rPr>
          <w:i/>
        </w:rPr>
        <w:t>Note: N differs for fixed-effects models due to neighborhood assignment and required covariates; Table 7 reports estimates for the primary model (M2).</w:t>
      </w:r>
    </w:p>
    <w:p/>
    <w:p>
      <w:pPr>
        <w:jc w:val="left"/>
      </w:pPr>
      <w:r>
        <w:rPr>
          <w:b/>
        </w:rPr>
        <w:t>Table 6. Counts and unadjusted SFHA rates by organizational form and local footprint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Entity &amp; footprint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Parcels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% of SFR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SFHA rate (%)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SFHA per 1,000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Individual — Single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131,436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71.30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0.81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8.1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Individual — Multi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20,826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11.30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1.25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12.5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LLC — Single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4,725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2.56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4.83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48.3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LLC — Multi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15,782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8.56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1.48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14.8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Corporation — Single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762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0.41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4.07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40.7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Corporation — Multi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1,748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2.92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29.2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Trust — Single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5,295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2.87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1.19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11.9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Trust — Multi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1,120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0.61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2.59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25.9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Government/Nonprofit — Single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803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0.44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3.24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32.4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Government/Nonprofit — Multi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1,836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2.18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21.8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184,333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100.00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1.10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11.0</w:t>
            </w:r>
          </w:p>
        </w:tc>
      </w:tr>
    </w:tbl>
    <w:p/>
    <w:p>
      <w:pPr>
        <w:jc w:val="left"/>
      </w:pPr>
      <w:r>
        <w:rPr>
          <w:b/>
        </w:rPr>
        <w:t>Table 7. Adjusted risk of SFHA location by organizational form and local footprint (primary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2"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Risk ratio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Individual — Single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Individual — Multi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1.209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1.038–1.407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0.015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LLC — Single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1.670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1.311–2.126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&lt;0.001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LLC — Multi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1.379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1.104–1.722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0.005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Corporation — Single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0.989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0.626–1.563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0.963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Corporation — Multi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1.568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0.960–2.561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0.073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Trust — Single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0.844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0.612–1.165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0.303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Trust — Multi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1.459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1.043–2.041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0.028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Government/Nonprofit — Single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0.994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0.480–2.059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0.987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Government/Nonprofit — Multi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0.792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0.348–1.799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0.577</w:t>
            </w:r>
          </w:p>
        </w:tc>
      </w:tr>
    </w:tbl>
    <w:p>
      <w:r>
        <w:rPr>
          <w:i/>
        </w:rPr>
        <w:t>Note: Modified Poisson GLM with log link; neighborhood fixed effects; controls for log(value) and log(acres). Standard errors clustered by neighborhood. N = 183,313.</w:t>
      </w:r>
    </w:p>
    <w:p/>
    <w:p>
      <w:pPr>
        <w:jc w:val="left"/>
      </w:pPr>
      <w:r>
        <w:rPr>
          <w:b/>
        </w:rPr>
        <w:t>Table 8. Within-form tests of equality between single- and multi-parcel owners (clustered)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2"/>
              </w:rPr>
              <w:t>Entity type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Difference log RR (Single − Multi)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RR Single/Multi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Wald χ²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BH-FDR p-value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LLC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0.1914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1.2109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2.8347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0.0923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0.1230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Corporation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-0.4606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0.6309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4.0041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0.0454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0.0908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Trust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-0.5468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0.5788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4.6692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0.0307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0.0908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Government/Nonprofit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0.2276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1.2556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0.8837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0.3472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0.3472</w:t>
            </w:r>
          </w:p>
        </w:tc>
      </w:tr>
    </w:tbl>
    <w:p>
      <w:r>
        <w:rPr>
          <w:i/>
        </w:rPr>
        <w:t>Note: p-values reflect Wald tests on coefficient differences from the primary model; false discovery rate controlled using Benjamini &amp; Hochberg (1995).</w:t>
      </w:r>
    </w:p>
    <w:p/>
    <w:p>
      <w:pPr>
        <w:jc w:val="left"/>
      </w:pPr>
      <w:r>
        <w:rPr>
          <w:b/>
        </w:rPr>
        <w:t>Table 9. Residual spatial dependence diagnostic for the primary model (M2)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2"/>
              </w:rPr>
              <w:t>Moran’s I (residuals)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Expected I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p-value (normal)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p-value (randomization)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k-nearest neighbors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0.684410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-0.000005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&lt;0.001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&lt;0.001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183,313</w:t>
            </w:r>
          </w:p>
        </w:tc>
      </w:tr>
    </w:tbl>
    <w:p>
      <w:r>
        <w:rPr>
          <w:i/>
        </w:rPr>
        <w:t>Note: Moran’s I computed on primary-model residuals using an 8-nearest-neighbor weights matrix defined on parcel centroids.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