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Administrative Throughput and Disaster Recovery Timeliness: An Exploratory Cross-Sectional SEM Assessment of CDBG-DR Fund Management</w:t>
      </w:r>
    </w:p>
    <w:p>
      <w:pPr>
        <w:pStyle w:val="Author"/>
      </w:pPr>
      <w:r>
        <w:t xml:space="preserve">Kai-Fa Lu</w:t>
      </w:r>
    </w:p>
    <w:p>
      <w:pPr>
        <w:pStyle w:val="Author"/>
      </w:pPr>
      <w:r>
        <w:t xml:space="preserve">Jesse Andrews</w:t>
      </w:r>
    </w:p>
    <w:p>
      <w:pPr>
        <w:pStyle w:val="Author"/>
      </w:pPr>
      <w:r>
        <w:t xml:space="preserve">Ali Nejat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archived manuscript evaluates whether grantee-level financial-flow</w:t>
      </w:r>
      <w:r>
        <w:t xml:space="preserve"> </w:t>
      </w:r>
      <w:r>
        <w:t xml:space="preserve">indicators from HUD’s Disaster Recovery Grant Reporting (DRGR) Quarterly</w:t>
      </w:r>
      <w:r>
        <w:t xml:space="preserve"> </w:t>
      </w:r>
      <w:r>
        <w:t xml:space="preserve">Performance Reports (QPRs) can support a defensible cross-sectional</w:t>
      </w:r>
      <w:r>
        <w:t xml:space="preserve"> </w:t>
      </w:r>
      <w:r>
        <w:t xml:space="preserve">structural equation model (SEM) of administrative throughput in the</w:t>
      </w:r>
      <w:r>
        <w:t xml:space="preserve"> </w:t>
      </w:r>
      <w:r>
        <w:t xml:space="preserve">Community Development Block Grant-Disaster Recovery (CDBG-DR) program.</w:t>
      </w:r>
      <w:r>
        <w:t xml:space="preserve"> </w:t>
      </w:r>
      <w:r>
        <w:t xml:space="preserve">The reproducible archive supports descriptive comparisons across 156</w:t>
      </w:r>
      <w:r>
        <w:t xml:space="preserve"> </w:t>
      </w:r>
      <w:r>
        <w:t xml:space="preserve">grantee-disaster observations, 78 unique grantees, and 18 disaster</w:t>
      </w:r>
      <w:r>
        <w:t xml:space="preserve"> </w:t>
      </w:r>
      <w:r>
        <w:t xml:space="preserve">contexts linked to disaster cohorts from 2003 through 2023; however, the</w:t>
      </w:r>
      <w:r>
        <w:t xml:space="preserve"> </w:t>
      </w:r>
      <w:r>
        <w:t xml:space="preserve">SEM evidence is substantially weaker than the latest Word manuscript</w:t>
      </w:r>
      <w:r>
        <w:t xml:space="preserve"> </w:t>
      </w:r>
      <w:r>
        <w:t xml:space="preserve">claims. Across the archived model-comparison files, no single</w:t>
      </w:r>
      <w:r>
        <w:t xml:space="preserve"> </w:t>
      </w:r>
      <w:r>
        <w:t xml:space="preserve">specification is preferred on all fit criteria. The legacy three-indicator</w:t>
      </w:r>
      <w:r>
        <w:t xml:space="preserve"> </w:t>
      </w:r>
      <w:r>
        <w:t xml:space="preserve">state replication can reproduce a large positive path from the latent throughput factor</w:t>
      </w:r>
      <w:r>
        <w:t xml:space="preserve"> </w:t>
      </w:r>
      <w:r>
        <w:t xml:space="preserve">to recovery outcome, but that result depends on right-censored duration and</w:t>
      </w:r>
      <w:r>
        <w:t xml:space="preserve"> </w:t>
      </w:r>
      <w:r>
        <w:t xml:space="preserve">the use of timeliness as the inverse of the same duration measure. Simpler</w:t>
      </w:r>
      <w:r>
        <w:t xml:space="preserve"> </w:t>
      </w:r>
      <w:r>
        <w:t xml:space="preserve">non-circular models with complete-case samples of 40 to 41 grantees and</w:t>
      </w:r>
      <w:r>
        <w:t xml:space="preserve"> </w:t>
      </w:r>
      <w:r>
        <w:t xml:space="preserve">subset samples of 23 states or 17 local governments do not yield stable or</w:t>
      </w:r>
      <w:r>
        <w:t xml:space="preserve"> </w:t>
      </w:r>
      <w:r>
        <w:t xml:space="preserve">statistically persuasive structural paths. Accordingly, this redraft treats</w:t>
      </w:r>
      <w:r>
        <w:t xml:space="preserve"> </w:t>
      </w:r>
      <w:r>
        <w:t xml:space="preserve">the SEM results as exploratory associations rather than confirmatory</w:t>
      </w:r>
      <w:r>
        <w:t xml:space="preserve"> </w:t>
      </w:r>
      <w:r>
        <w:t xml:space="preserve">evidence that administrative throughput determines recovery outcomes. The main</w:t>
      </w:r>
      <w:r>
        <w:t xml:space="preserve"> </w:t>
      </w:r>
      <w:r>
        <w:t xml:space="preserve">contribution of the archive is therefore methodological: it documents how</w:t>
      </w:r>
      <w:r>
        <w:t xml:space="preserve"> </w:t>
      </w:r>
      <w:r>
        <w:t xml:space="preserve">grantee-level aggregation, maturity censoring, and indicator choice shape</w:t>
      </w:r>
      <w:r>
        <w:t xml:space="preserve"> </w:t>
      </w:r>
      <w:r>
        <w:t xml:space="preserve">the feasibility of SEM in this setting and why a longitudinal or</w:t>
      </w:r>
      <w:r>
        <w:t xml:space="preserve"> </w:t>
      </w:r>
      <w:r>
        <w:t xml:space="preserve">event-history redesign is needed for stronger causal or policy claims.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Administrative capacity is central to long-run disaster recovery, but it is</w:t>
      </w:r>
      <w:r>
        <w:t xml:space="preserve"> </w:t>
      </w:r>
      <w:r>
        <w:t xml:space="preserve">hard to observe directly. In the CDBG-DR program, state agencies, counties,</w:t>
      </w:r>
      <w:r>
        <w:t xml:space="preserve"> </w:t>
      </w:r>
      <w:r>
        <w:t xml:space="preserve">cities, and territories receive flexible federal funds for recovery and</w:t>
      </w:r>
      <w:r>
        <w:t xml:space="preserve"> </w:t>
      </w:r>
      <w:r>
        <w:t xml:space="preserve">mitigation, yet they move those funds through obligation, disbursement, and</w:t>
      </w:r>
      <w:r>
        <w:t xml:space="preserve"> </w:t>
      </w:r>
      <w:r>
        <w:t xml:space="preserve">expenditure at very different rates. The practical question is whether</w:t>
      </w:r>
      <w:r>
        <w:t xml:space="preserve"> </w:t>
      </w:r>
      <w:r>
        <w:t xml:space="preserve">those differences reflect an underlying throughput pattern that can be</w:t>
      </w:r>
      <w:r>
        <w:t xml:space="preserve"> </w:t>
      </w:r>
      <w:r>
        <w:t xml:space="preserve">summarized consistently across jurisdictions.</w:t>
      </w:r>
    </w:p>
    <w:p>
      <w:pPr>
        <w:pStyle w:val="BodyText"/>
      </w:pPr>
      <w:r>
        <w:t xml:space="preserve">The archived Kaifa manuscript attempted to answer that question with a</w:t>
      </w:r>
      <w:r>
        <w:t xml:space="preserve"> </w:t>
      </w:r>
      <w:r>
        <w:t xml:space="preserve">cross-sectional SEM built from quarterly QPR data. That ambition remains</w:t>
      </w:r>
      <w:r>
        <w:t xml:space="preserve"> </w:t>
      </w:r>
      <w:r>
        <w:t xml:space="preserve">worth pursuing, but the current repository no longer supports the stronger</w:t>
      </w:r>
      <w:r>
        <w:t xml:space="preserve"> </w:t>
      </w:r>
      <w:r>
        <w:t xml:space="preserve">claims made in the latest Word draft. The active project audit found three</w:t>
      </w:r>
      <w:r>
        <w:t xml:space="preserve"> </w:t>
      </w:r>
      <w:r>
        <w:t xml:space="preserve">core problems. First, the quantitative backbone is internally inconsistent:</w:t>
      </w:r>
      <w:r>
        <w:t xml:space="preserve"> </w:t>
      </w:r>
      <w:r>
        <w:t xml:space="preserve">the later Word draft, the archived Quarto source, and the reproducible</w:t>
      </w:r>
      <w:r>
        <w:t xml:space="preserve"> </w:t>
      </w:r>
      <w:r>
        <w:t xml:space="preserve">diagnostic tables do not tell the same model-selection story. Second, the</w:t>
      </w:r>
      <w:r>
        <w:t xml:space="preserve"> </w:t>
      </w:r>
      <w:r>
        <w:t xml:space="preserve">main positive SEM result depends on a legacy design that censors duration at</w:t>
      </w:r>
      <w:r>
        <w:t xml:space="preserve"> </w:t>
      </w:r>
      <w:r>
        <w:t xml:space="preserve">the current observation window and then uses timeliness as the inverse of</w:t>
      </w:r>
      <w:r>
        <w:t xml:space="preserve"> </w:t>
      </w:r>
      <w:r>
        <w:t xml:space="preserve">that same duration, creating mathematical coupling between the latent</w:t>
      </w:r>
      <w:r>
        <w:t xml:space="preserve"> </w:t>
      </w:r>
      <w:r>
        <w:t xml:space="preserve">constructs. Third, the available complete-case SEM samples are too small</w:t>
      </w:r>
      <w:r>
        <w:t xml:space="preserve"> </w:t>
      </w:r>
      <w:r>
        <w:t xml:space="preserve">for confident state-versus-local comparisons.</w:t>
      </w:r>
    </w:p>
    <w:p>
      <w:pPr>
        <w:pStyle w:val="BodyText"/>
      </w:pPr>
      <w:r>
        <w:t xml:space="preserve">This redraft therefore narrows the manuscript to a more defensible goal: an</w:t>
      </w:r>
      <w:r>
        <w:t xml:space="preserve"> </w:t>
      </w:r>
      <w:r>
        <w:t xml:space="preserve">exploratory assessment of whether grantee-level financial throughput</w:t>
      </w:r>
      <w:r>
        <w:t xml:space="preserve"> </w:t>
      </w:r>
      <w:r>
        <w:t xml:space="preserve">indicators can sustain a cross-sectional SEM at all. The paper makes four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01"/>
        </w:numPr>
      </w:pPr>
      <w:r>
        <w:t xml:space="preserve">The descriptive QPR ratios show meaningful cross-grantee variation in</w:t>
      </w:r>
      <w:r>
        <w:t xml:space="preserve"> </w:t>
      </w:r>
      <w:r>
        <w:t xml:space="preserve">the movement of funds from obligation to disbursement.</w:t>
      </w:r>
    </w:p>
    <w:p>
      <w:pPr>
        <w:pStyle w:val="Compact"/>
        <w:numPr>
          <w:ilvl w:val="0"/>
          <w:numId w:val="1001"/>
        </w:numPr>
      </w:pPr>
      <w:r>
        <w:t xml:space="preserve">The archived SEM specifications do not produce a single robust,</w:t>
      </w:r>
      <w:r>
        <w:t xml:space="preserve"> </w:t>
      </w:r>
      <w:r>
        <w:t xml:space="preserve">confirmatory measurement model.</w:t>
      </w:r>
    </w:p>
    <w:p>
      <w:pPr>
        <w:pStyle w:val="Compact"/>
        <w:numPr>
          <w:ilvl w:val="0"/>
          <w:numId w:val="1001"/>
        </w:numPr>
      </w:pPr>
      <w:r>
        <w:t xml:space="preserve">The strong positive state-level path reported in the later Word draft is</w:t>
      </w:r>
      <w:r>
        <w:t xml:space="preserve"> </w:t>
      </w:r>
      <w:r>
        <w:t xml:space="preserve">reproducible only under a legacy specification with known design flaws.</w:t>
      </w:r>
    </w:p>
    <w:p>
      <w:pPr>
        <w:pStyle w:val="Compact"/>
        <w:numPr>
          <w:ilvl w:val="0"/>
          <w:numId w:val="1001"/>
        </w:numPr>
      </w:pPr>
      <w:r>
        <w:t xml:space="preserve">Any future manuscript that wants to reintroduce staffing, social</w:t>
      </w:r>
      <w:r>
        <w:t xml:space="preserve"> </w:t>
      </w:r>
      <w:r>
        <w:t xml:space="preserve">vulnerability, or geography-sensitive covariates needs a separate</w:t>
      </w:r>
      <w:r>
        <w:t xml:space="preserve"> </w:t>
      </w:r>
      <w:r>
        <w:t xml:space="preserve">reproducibility rebuild before those variables can be interpreted with</w:t>
      </w:r>
      <w:r>
        <w:t xml:space="preserve"> </w:t>
      </w:r>
      <w:r>
        <w:t xml:space="preserve">confidence.</w:t>
      </w:r>
    </w:p>
    <w:p>
      <w:pPr>
        <w:pStyle w:val="FirstParagraph"/>
      </w:pPr>
      <w:r>
        <w:t xml:space="preserve">The current manuscript is therefore a salvage and transparency exercise,</w:t>
      </w:r>
      <w:r>
        <w:t xml:space="preserve"> </w:t>
      </w:r>
      <w:r>
        <w:t xml:space="preserve">not a submission-ready empirical paper.</w:t>
      </w:r>
    </w:p>
    <w:bookmarkEnd w:id="21"/>
    <w:bookmarkStart w:id="24" w:name="background"/>
    <w:p>
      <w:pPr>
        <w:pStyle w:val="Heading1"/>
      </w:pPr>
      <w:r>
        <w:t xml:space="preserve">2. Background</w:t>
      </w:r>
    </w:p>
    <w:bookmarkStart w:id="22" w:name="Xd5dadc4dacfe26047295f61cc50bcf096160df2"/>
    <w:p>
      <w:pPr>
        <w:pStyle w:val="Heading2"/>
      </w:pPr>
      <w:r>
        <w:t xml:space="preserve">2.1 Recovery Governance and Implementation Capacity</w:t>
      </w:r>
    </w:p>
    <w:p>
      <w:pPr>
        <w:pStyle w:val="FirstParagraph"/>
      </w:pPr>
      <w:r>
        <w:t xml:space="preserve">Disaster recovery depends on the capacity of implementing organizations to</w:t>
      </w:r>
      <w:r>
        <w:t xml:space="preserve"> </w:t>
      </w:r>
      <w:r>
        <w:t xml:space="preserve">translate federal allocations into completed programs. In the</w:t>
      </w:r>
      <w:r>
        <w:t xml:space="preserve"> </w:t>
      </w:r>
      <w:r>
        <w:t xml:space="preserve">intergovernmental system that governs CDBG-DR, state and local grantees</w:t>
      </w:r>
      <w:r>
        <w:t xml:space="preserve"> </w:t>
      </w:r>
      <w:r>
        <w:t xml:space="preserve">must navigate federal reporting requirements, coordinate across agencies,</w:t>
      </w:r>
      <w:r>
        <w:t xml:space="preserve"> </w:t>
      </w:r>
      <w:r>
        <w:t xml:space="preserve">and manage administrative processes that can span a decade or more. Public</w:t>
      </w:r>
      <w:r>
        <w:t xml:space="preserve"> </w:t>
      </w:r>
      <w:r>
        <w:t xml:space="preserve">administration scholarship emphasizes that this implementation capacity is</w:t>
      </w:r>
      <w:r>
        <w:t xml:space="preserve"> </w:t>
      </w:r>
      <w:r>
        <w:t xml:space="preserve">multidimensional: it involves organizational resources, administrative</w:t>
      </w:r>
      <w:r>
        <w:t xml:space="preserve"> </w:t>
      </w:r>
      <w:r>
        <w:t xml:space="preserve">routines, institutional coordination, and the ability to absorb and deploy</w:t>
      </w:r>
      <w:r>
        <w:t xml:space="preserve"> </w:t>
      </w:r>
      <w:r>
        <w:t xml:space="preserve">funds under pressure (Wu, Ramesh, and Howlett 2015). Administrative burden</w:t>
      </w:r>
      <w:r>
        <w:t xml:space="preserve"> </w:t>
      </w:r>
      <w:r>
        <w:t xml:space="preserve">research further highlights that procedural demands fall unevenly on</w:t>
      </w:r>
      <w:r>
        <w:t xml:space="preserve"> </w:t>
      </w:r>
      <w:r>
        <w:t xml:space="preserve">organizations with different staffing levels and institutional</w:t>
      </w:r>
      <w:r>
        <w:t xml:space="preserve"> </w:t>
      </w:r>
      <w:r>
        <w:t xml:space="preserve">arrangements, creating systematic variation in throughput that is difficult</w:t>
      </w:r>
      <w:r>
        <w:t xml:space="preserve"> </w:t>
      </w:r>
      <w:r>
        <w:t xml:space="preserve">to capture with any single measure (Gerber and Robinson 2022).</w:t>
      </w:r>
    </w:p>
    <w:bookmarkEnd w:id="22"/>
    <w:bookmarkStart w:id="23" w:name="measurement-challenge"/>
    <w:p>
      <w:pPr>
        <w:pStyle w:val="Heading2"/>
      </w:pPr>
      <w:r>
        <w:t xml:space="preserve">2.2 Measurement Challenge</w:t>
      </w:r>
    </w:p>
    <w:p>
      <w:pPr>
        <w:pStyle w:val="FirstParagraph"/>
      </w:pPr>
      <w:r>
        <w:t xml:space="preserve">SEM is attractive in this context because it can represent throughput as a</w:t>
      </w:r>
      <w:r>
        <w:t xml:space="preserve"> </w:t>
      </w:r>
      <w:r>
        <w:t xml:space="preserve">latent factor rather than a single ratio. That advantage comes with a cost:</w:t>
      </w:r>
      <w:r>
        <w:t xml:space="preserve"> </w:t>
      </w:r>
      <w:r>
        <w:t xml:space="preserve">the measurement model must be empirically defensible. A latent factor is</w:t>
      </w:r>
      <w:r>
        <w:t xml:space="preserve"> </w:t>
      </w:r>
      <w:r>
        <w:t xml:space="preserve">only as credible as its indicators, fit diagnostics, and identification</w:t>
      </w:r>
      <w:r>
        <w:t xml:space="preserve"> </w:t>
      </w:r>
      <w:r>
        <w:t xml:space="preserve">logic. Small samples, overlapping indicators, and unstable subset estimates</w:t>
      </w:r>
      <w:r>
        <w:t xml:space="preserve"> </w:t>
      </w:r>
      <w:r>
        <w:t xml:space="preserve">can make an elegant SEM narrative look stronger than the underlying evidence</w:t>
      </w:r>
      <w:r>
        <w:t xml:space="preserve"> </w:t>
      </w:r>
      <w:r>
        <w:t xml:space="preserve">warrants. The Kaifa archive is useful because it documents both the</w:t>
      </w:r>
      <w:r>
        <w:t xml:space="preserve"> </w:t>
      </w:r>
      <w:r>
        <w:t xml:space="preserve">promising and problematic paths: the legacy replication that produced a</w:t>
      </w:r>
      <w:r>
        <w:t xml:space="preserve"> </w:t>
      </w:r>
      <w:r>
        <w:t xml:space="preserve">large positive coefficient and several alternative non-circular</w:t>
      </w:r>
      <w:r>
        <w:t xml:space="preserve"> </w:t>
      </w:r>
      <w:r>
        <w:t xml:space="preserve">specifications that do not support the same conclusion.</w:t>
      </w:r>
    </w:p>
    <w:bookmarkEnd w:id="23"/>
    <w:bookmarkEnd w:id="24"/>
    <w:bookmarkStart w:id="25" w:name="data-and-cross-sectional-design"/>
    <w:p>
      <w:pPr>
        <w:pStyle w:val="Heading1"/>
      </w:pPr>
      <w:r>
        <w:t xml:space="preserve">3. Data And Cross-Sectional Design</w:t>
      </w:r>
    </w:p>
    <w:p>
      <w:pPr>
        <w:pStyle w:val="FirstParagraph"/>
      </w:pPr>
      <w:r>
        <w:t xml:space="preserve">The reproducible archive uses the project-standardized QPR pipeline and its</w:t>
      </w:r>
      <w:r>
        <w:t xml:space="preserve"> </w:t>
      </w:r>
      <w:r>
        <w:t xml:space="preserve">derived grantee-disaster panel. The working parquet files show quarterly QPR</w:t>
      </w:r>
      <w:r>
        <w:t xml:space="preserve"> </w:t>
      </w:r>
      <w:r>
        <w:t xml:space="preserve">observations from September 30, 2002 through June 30, 2025. To keep the</w:t>
      </w:r>
      <w:r>
        <w:t xml:space="preserve"> </w:t>
      </w:r>
      <w:r>
        <w:t xml:space="preserve">manuscript aligned with the disaster cohorts actually discussed in the</w:t>
      </w:r>
      <w:r>
        <w:t xml:space="preserve"> </w:t>
      </w:r>
      <w:r>
        <w:t xml:space="preserve">archived SEM figures and tables, the redraft refers to disaster events from</w:t>
      </w:r>
      <w:r>
        <w:t xml:space="preserve"> </w:t>
      </w:r>
      <w:r>
        <w:t xml:space="preserve">2003 through 2023. The panel used for SEM sensitivity work contains 156</w:t>
      </w:r>
      <w:r>
        <w:t xml:space="preserve"> </w:t>
      </w:r>
      <w:r>
        <w:t xml:space="preserve">grantee-disaster pairs, 78 unique grantees, and 18 disaster types.</w:t>
      </w:r>
    </w:p>
    <w:p>
      <w:pPr>
        <w:pStyle w:val="BodyText"/>
      </w:pPr>
      <w:r>
        <w:t xml:space="preserve">Terminology is fixed as follows throughout the manuscript: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grantee</w:t>
      </w:r>
      <w:r>
        <w:t xml:space="preserve">: the state or local governmental recipient responsible for a</w:t>
      </w:r>
      <w:r>
        <w:t xml:space="preserve"> </w:t>
      </w:r>
      <w:r>
        <w:t xml:space="preserve">CDBG-DR allocation.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disaster allocation</w:t>
      </w:r>
      <w:r>
        <w:t xml:space="preserve">: the disaster-specific CDBG-DR award</w:t>
      </w:r>
      <w:r>
        <w:t xml:space="preserve"> </w:t>
      </w:r>
      <w:r>
        <w:t xml:space="preserve">associated with a grantee-disaster pair.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activity</w:t>
      </w:r>
      <w:r>
        <w:t xml:space="preserve">: an underlying DRGR/QPR record inside a grantee-disaster</w:t>
      </w:r>
      <w:r>
        <w:t xml:space="preserve"> </w:t>
      </w:r>
      <w:r>
        <w:t xml:space="preserve">quarter.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grantee-disaster pair</w:t>
      </w:r>
      <w:r>
        <w:t xml:space="preserve">: the main unit of analysis before cross-sectional</w:t>
      </w:r>
      <w:r>
        <w:t xml:space="preserve"> </w:t>
      </w:r>
      <w:r>
        <w:t xml:space="preserve">aggregation.</w:t>
      </w:r>
    </w:p>
    <w:p>
      <w:pPr>
        <w:pStyle w:val="FirstParagraph"/>
      </w:pPr>
      <w:r>
        <w:t xml:space="preserve">The main cross-sectional SEM collapses the grantee-disaster panel to one</w:t>
      </w:r>
      <w:r>
        <w:t xml:space="preserve"> </w:t>
      </w:r>
      <w:r>
        <w:t xml:space="preserve">mean profile per grantee. That choice assumes a jurisdiction’s</w:t>
      </w:r>
      <w:r>
        <w:t xml:space="preserve"> </w:t>
      </w:r>
      <w:r>
        <w:t xml:space="preserve">administrative style is stable enough across disasters to summarize as a</w:t>
      </w:r>
      <w:r>
        <w:t xml:space="preserve"> </w:t>
      </w:r>
      <w:r>
        <w:t xml:space="preserve">cross-sectional trait. The manuscript no longer treats that assumption as</w:t>
      </w:r>
      <w:r>
        <w:t xml:space="preserve"> </w:t>
      </w:r>
      <w:r>
        <w:t xml:space="preserve">innocuous. It is a strong modeling decision that trades away within-grantee</w:t>
      </w:r>
      <w:r>
        <w:t xml:space="preserve"> </w:t>
      </w:r>
      <w:r>
        <w:t xml:space="preserve">variation, cohort differences, and institutional change over time. State and</w:t>
      </w:r>
      <w:r>
        <w:t xml:space="preserve"> </w:t>
      </w:r>
      <w:r>
        <w:t xml:space="preserve">local results are therefore presented only as subset sensitivity checks, not</w:t>
      </w:r>
      <w:r>
        <w:t xml:space="preserve"> </w:t>
      </w:r>
      <w:r>
        <w:t xml:space="preserve">as formal moderation analyses. The pooled model assumes approximate</w:t>
      </w:r>
      <w:r>
        <w:t xml:space="preserve"> </w:t>
      </w:r>
      <w:r>
        <w:t xml:space="preserve">measurement equivalence across institutional types, which has not been</w:t>
      </w:r>
      <w:r>
        <w:t xml:space="preserve"> </w:t>
      </w:r>
      <w:r>
        <w:t xml:space="preserve">formally tested. State agencies typically administer CDBG-DR through</w:t>
      </w:r>
      <w:r>
        <w:t xml:space="preserve"> </w:t>
      </w:r>
      <w:r>
        <w:t xml:space="preserve">centralized offices with dedicated disaster-recovery staff, while local</w:t>
      </w:r>
      <w:r>
        <w:t xml:space="preserve"> </w:t>
      </w:r>
      <w:r>
        <w:t xml:space="preserve">governments often manage grants through general-purpose community</w:t>
      </w:r>
      <w:r>
        <w:t xml:space="preserve"> </w:t>
      </w:r>
      <w:r>
        <w:t xml:space="preserve">development departments with competing priorities. This institutional</w:t>
      </w:r>
      <w:r>
        <w:t xml:space="preserve"> </w:t>
      </w:r>
      <w:r>
        <w:t xml:space="preserve">heterogeneity means that identical throughput ratios may reflect different</w:t>
      </w:r>
      <w:r>
        <w:t xml:space="preserve"> </w:t>
      </w:r>
      <w:r>
        <w:t xml:space="preserve">administrative realities. Clustered standard errors, which would account</w:t>
      </w:r>
      <w:r>
        <w:t xml:space="preserve"> </w:t>
      </w:r>
      <w:r>
        <w:t xml:space="preserve">for within-type correlation, would likely widen confidence intervals beyond</w:t>
      </w:r>
      <w:r>
        <w:t xml:space="preserve"> </w:t>
      </w:r>
      <w:r>
        <w:t xml:space="preserve">those reported here.</w:t>
      </w:r>
    </w:p>
    <w:p>
      <w:pPr>
        <w:pStyle w:val="BodyText"/>
      </w:pPr>
      <w:r>
        <w:t xml:space="preserve">The redraft also distinguishes clearly between the current Quarto archive</w:t>
      </w:r>
      <w:r>
        <w:t xml:space="preserve"> </w:t>
      </w:r>
      <w:r>
        <w:t xml:space="preserve">and the later April 7, 2026 Word draft. The Word draft refers to BLS QCEW</w:t>
      </w:r>
      <w:r>
        <w:t xml:space="preserve"> </w:t>
      </w:r>
      <w:r>
        <w:t xml:space="preserve">staffing measures, CDC/ATSDR Social Vulnerability Index (SVI) data, and</w:t>
      </w:r>
      <w:r>
        <w:t xml:space="preserve"> </w:t>
      </w:r>
      <w:r>
        <w:t xml:space="preserve">city-to-county geography matching. Those extensions are not fully</w:t>
      </w:r>
      <w:r>
        <w:t xml:space="preserve"> </w:t>
      </w:r>
      <w:r>
        <w:t xml:space="preserve">reconstructed in the current reproducible Quarto archive and are therefore</w:t>
      </w:r>
      <w:r>
        <w:t xml:space="preserve"> </w:t>
      </w:r>
      <w:r>
        <w:t xml:space="preserve">not treated as active empirical inputs in the results reported here. Their</w:t>
      </w:r>
      <w:r>
        <w:t xml:space="preserve"> </w:t>
      </w:r>
      <w:r>
        <w:t xml:space="preserve">provenance boundary is documented in Appendix A.</w:t>
      </w:r>
    </w:p>
    <w:bookmarkEnd w:id="25"/>
    <w:bookmarkStart w:id="28" w:name="measures"/>
    <w:p>
      <w:pPr>
        <w:pStyle w:val="Heading1"/>
      </w:pPr>
      <w:r>
        <w:t xml:space="preserve">4. Measures</w:t>
      </w:r>
    </w:p>
    <w:bookmarkStart w:id="26" w:name="throughput-indicators"/>
    <w:p>
      <w:pPr>
        <w:pStyle w:val="Heading2"/>
      </w:pPr>
      <w:r>
        <w:t xml:space="preserve">4.1 Throughput Indicators</w:t>
      </w:r>
    </w:p>
    <w:p>
      <w:pPr>
        <w:pStyle w:val="FirstParagraph"/>
      </w:pPr>
      <w:r>
        <w:t xml:space="preserve">The archive contains several candidate indicators for a latent throughput</w:t>
      </w:r>
      <w:r>
        <w:t xml:space="preserve"> </w:t>
      </w:r>
      <w:r>
        <w:t xml:space="preserve">factor: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Ratio_disbursed_to_obligated</w:t>
      </w:r>
      <w:r>
        <w:t xml:space="preserve">: the share of obligated funds that have</w:t>
      </w:r>
      <w:r>
        <w:t xml:space="preserve"> </w:t>
      </w:r>
      <w:r>
        <w:t xml:space="preserve">moved into disbursement.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Ratio_expended_to_disbursed</w:t>
      </w:r>
      <w:r>
        <w:t xml:space="preserve">: the share of disbursed funds that have been</w:t>
      </w:r>
      <w:r>
        <w:t xml:space="preserve"> </w:t>
      </w:r>
      <w:r>
        <w:t xml:space="preserve">expended.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Timeliness_censored</w:t>
      </w:r>
      <w:r>
        <w:t xml:space="preserve">: the inverse of a right-censored duration variable</w:t>
      </w:r>
      <w:r>
        <w:t xml:space="preserve"> </w:t>
      </w:r>
      <w:r>
        <w:t xml:space="preserve">used only in the legacy replication model.</w:t>
      </w:r>
    </w:p>
    <w:p>
      <w:pPr>
        <w:pStyle w:val="FirstParagraph"/>
      </w:pPr>
      <w:r>
        <w:t xml:space="preserve">The first two indicators capture financial throughput. The third is a legacy</w:t>
      </w:r>
      <w:r>
        <w:t xml:space="preserve"> </w:t>
      </w:r>
      <w:r>
        <w:t xml:space="preserve">indicator retained only to document how the original positive result was</w:t>
      </w:r>
      <w:r>
        <w:t xml:space="preserve"> </w:t>
      </w:r>
      <w:r>
        <w:t xml:space="preserve">obtained; it is not used as a preferred measure because it is mechanically</w:t>
      </w:r>
      <w:r>
        <w:t xml:space="preserve"> </w:t>
      </w:r>
      <w:r>
        <w:t xml:space="preserve">linked to the duration outcome.</w:t>
      </w:r>
    </w:p>
    <w:p>
      <w:pPr>
        <w:pStyle w:val="BodyText"/>
      </w:pPr>
      <w:r>
        <w:t xml:space="preserve">These indicators are indirect throughput proxies, not direct measures of</w:t>
      </w:r>
      <w:r>
        <w:t xml:space="preserve"> </w:t>
      </w:r>
      <w:r>
        <w:t xml:space="preserve">organizational capacity. The fund-flow ratios capture how quickly money</w:t>
      </w:r>
      <w:r>
        <w:t xml:space="preserve"> </w:t>
      </w:r>
      <w:r>
        <w:t xml:space="preserve">moves through the federal pipeline but do not distinguish whether</w:t>
      </w:r>
      <w:r>
        <w:t xml:space="preserve"> </w:t>
      </w:r>
      <w:r>
        <w:t xml:space="preserve">throughput reflects grantee administrative effort, HUD processing speed, or</w:t>
      </w:r>
      <w:r>
        <w:t xml:space="preserve"> </w:t>
      </w:r>
      <w:r>
        <w:t xml:space="preserve">program design constraints. The manuscript therefore refers to the latent</w:t>
      </w:r>
      <w:r>
        <w:t xml:space="preserve"> </w:t>
      </w:r>
      <w:r>
        <w:t xml:space="preserve">factor as a throughput summary rather than a validated capacity measure.</w:t>
      </w:r>
    </w:p>
    <w:p>
      <w:pPr>
        <w:pStyle w:val="BodyText"/>
      </w:pPr>
      <w:r>
        <w:t xml:space="preserve">A further specification tension concerns whether the indicators are best</w:t>
      </w:r>
      <w:r>
        <w:t xml:space="preserve"> </w:t>
      </w:r>
      <w:r>
        <w:t xml:space="preserve">understood as reflective manifestations of a single latent trait or as</w:t>
      </w:r>
      <w:r>
        <w:t xml:space="preserve"> </w:t>
      </w:r>
      <w:r>
        <w:t xml:space="preserve">formative components that jointly constitute throughput. In a reflective</w:t>
      </w:r>
      <w:r>
        <w:t xml:space="preserve"> </w:t>
      </w:r>
      <w:r>
        <w:t xml:space="preserve">specification, each ratio is caused by an underlying administrative</w:t>
      </w:r>
      <w:r>
        <w:t xml:space="preserve"> </w:t>
      </w:r>
      <w:r>
        <w:t xml:space="preserve">dimension; in a formative specification, the indicators are determinants of</w:t>
      </w:r>
      <w:r>
        <w:t xml:space="preserve"> </w:t>
      </w:r>
      <w:r>
        <w:t xml:space="preserve">a composite. The SEMs reported here adopt a reflective specification for</w:t>
      </w:r>
      <w:r>
        <w:t xml:space="preserve"> </w:t>
      </w:r>
      <w:r>
        <w:t xml:space="preserve">estimation convenience, but this choice is not validated. The factor</w:t>
      </w:r>
      <w:r>
        <w:t xml:space="preserve"> </w:t>
      </w:r>
      <w:r>
        <w:t xml:space="preserve">loadings should be read as exploratory summaries of covariation, not as</w:t>
      </w:r>
      <w:r>
        <w:t xml:space="preserve"> </w:t>
      </w:r>
      <w:r>
        <w:t xml:space="preserve">evidence that a single latent trait generates the observed indicators.</w:t>
      </w:r>
    </w:p>
    <w:bookmarkEnd w:id="26"/>
    <w:bookmarkStart w:id="27" w:name="recovery-outcome-indicators"/>
    <w:p>
      <w:pPr>
        <w:pStyle w:val="Heading2"/>
      </w:pPr>
      <w:r>
        <w:t xml:space="preserve">4.2 Recovery Outcome Indicators</w:t>
      </w:r>
    </w:p>
    <w:p>
      <w:pPr>
        <w:pStyle w:val="FirstParagraph"/>
      </w:pPr>
      <w:r>
        <w:t xml:space="preserve">The archive also contains several outcome-side indicators: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Duration_log</w:t>
      </w:r>
      <w:r>
        <w:t xml:space="preserve">: log-transformed completion time for grantee-disaster pairs</w:t>
      </w:r>
      <w:r>
        <w:t xml:space="preserve"> </w:t>
      </w:r>
      <w:r>
        <w:t xml:space="preserve">that reach the completion threshold.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Spending_CV</w:t>
      </w:r>
      <w:r>
        <w:t xml:space="preserve">: the coefficient of variation of quarterly expenditure</w:t>
      </w:r>
      <w:r>
        <w:t xml:space="preserve"> </w:t>
      </w:r>
      <w:r>
        <w:t xml:space="preserve">flows.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Duration_censored</w:t>
      </w:r>
      <w:r>
        <w:t xml:space="preserve">: a legacy duration that substitutes observed program</w:t>
      </w:r>
      <w:r>
        <w:t xml:space="preserve"> </w:t>
      </w:r>
      <w:r>
        <w:t xml:space="preserve">age when completion is not reached.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Ratio_obligated_funds_fully_expended</w:t>
      </w:r>
      <w:r>
        <w:t xml:space="preserve">: the share of obligated funds fully</w:t>
      </w:r>
      <w:r>
        <w:t xml:space="preserve"> </w:t>
      </w:r>
      <w:r>
        <w:t xml:space="preserve">expended by the end of the observation window.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Quarter_by_quarter_variance_expended</w:t>
      </w:r>
      <w:r>
        <w:t xml:space="preserve">: normalized quarter-to-quarter</w:t>
      </w:r>
      <w:r>
        <w:t xml:space="preserve"> </w:t>
      </w:r>
      <w:r>
        <w:t xml:space="preserve">variability in expenditures.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Time_to_50pct</w:t>
      </w:r>
      <w:r>
        <w:t xml:space="preserve">: the normalized quarters needed to reach 50 percent</w:t>
      </w:r>
      <w:r>
        <w:t xml:space="preserve"> </w:t>
      </w:r>
      <w:r>
        <w:t xml:space="preserve">completion.</w:t>
      </w:r>
    </w:p>
    <w:p>
      <w:pPr>
        <w:pStyle w:val="FirstParagraph"/>
      </w:pPr>
      <w:r>
        <w:t xml:space="preserve">The manuscript treats the duration-based measures cautiously. Any outcome</w:t>
      </w:r>
      <w:r>
        <w:t xml:space="preserve"> </w:t>
      </w:r>
      <w:r>
        <w:t xml:space="preserve">defined at 95 percent completion is vulnerable to maturity bias and</w:t>
      </w:r>
      <w:r>
        <w:t xml:space="preserve"> </w:t>
      </w:r>
      <w:r>
        <w:t xml:space="preserve">right-censoring, especially for more recent disasters. That is why the</w:t>
      </w:r>
      <w:r>
        <w:t xml:space="preserve"> </w:t>
      </w:r>
      <w:r>
        <w:t xml:space="preserve">cross-sectional SEM is framed as exploratory and why the preferred baseline</w:t>
      </w:r>
      <w:r>
        <w:t xml:space="preserve"> </w:t>
      </w:r>
      <w:r>
        <w:t xml:space="preserve">specification avoids the direct timeliness-versus-duration overlap used in</w:t>
      </w:r>
      <w:r>
        <w:t xml:space="preserve"> </w:t>
      </w:r>
      <w:r>
        <w:t xml:space="preserve">the legacy replication.</w:t>
      </w:r>
    </w:p>
    <w:bookmarkEnd w:id="27"/>
    <w:bookmarkEnd w:id="28"/>
    <w:bookmarkStart w:id="29" w:name="audit-informed-model-comparison"/>
    <w:p>
      <w:pPr>
        <w:pStyle w:val="Heading1"/>
      </w:pPr>
      <w:r>
        <w:t xml:space="preserve">5. Audit-Informed Model Comparison</w:t>
      </w:r>
    </w:p>
    <w:p>
      <w:pPr>
        <w:pStyle w:val="FirstParagraph"/>
      </w:pPr>
      <w:r>
        <w:t xml:space="preserve">The first priority in the revision plan was to reconcile the model</w:t>
      </w:r>
      <w:r>
        <w:t xml:space="preserve"> </w:t>
      </w:r>
      <w:r>
        <w:t xml:space="preserve">comparison narrative with the archived outputs. Table 1 reproduces the</w:t>
      </w:r>
      <w:r>
        <w:t xml:space="preserve"> </w:t>
      </w:r>
      <w:r>
        <w:t xml:space="preserve">specification comparison from the manuscript-specific robustness file in the</w:t>
      </w:r>
      <w:r>
        <w:t xml:space="preserve"> </w:t>
      </w:r>
      <w:r>
        <w:t xml:space="preserve">Quarto archive.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Audit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47.526</w:t>
            </w:r>
          </w:p>
        </w:tc>
        <w:tc>
          <w:tcPr/>
          <w:p>
            <w:pPr>
              <w:pStyle w:val="Compact"/>
            </w:pPr>
            <w:r>
              <w:t xml:space="preserve">Best conventional CFI/TLI among archived models, but uses overlapping timing indicators.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38.102</w:t>
            </w:r>
          </w:p>
        </w:tc>
        <w:tc>
          <w:tcPr/>
          <w:p>
            <w:pPr>
              <w:pStyle w:val="Compact"/>
            </w:pPr>
            <w:r>
              <w:t xml:space="preserve">Clearly poor fit.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33.199</w:t>
            </w:r>
          </w:p>
        </w:tc>
        <w:tc>
          <w:tcPr/>
          <w:p>
            <w:pPr>
              <w:pStyle w:val="Compact"/>
            </w:pPr>
            <w:r>
              <w:t xml:space="preserve">Lowest AIC/BIC and non-circular baseline, but low incremental fit.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40.442</w:t>
            </w:r>
          </w:p>
        </w:tc>
        <w:tc>
          <w:tcPr/>
          <w:p>
            <w:pPr>
              <w:pStyle w:val="Compact"/>
            </w:pPr>
            <w:r>
              <w:t xml:space="preserve">No fit improvement over</w:t>
            </w:r>
            <w:r>
              <w:t xml:space="preserve"> </w:t>
            </w:r>
            <w:r>
              <w:rPr>
                <w:rStyle w:val="VerbatimChar"/>
              </w:rPr>
              <w:t xml:space="preserve">exp_optimal_v1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47.751</w:t>
            </w:r>
          </w:p>
        </w:tc>
        <w:tc>
          <w:tcPr/>
          <w:p>
            <w:pPr>
              <w:pStyle w:val="Compact"/>
            </w:pPr>
            <w:r>
              <w:t xml:space="preserve">Apparent overfit with inadmissible CFI/TLI values in a very small sample.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improved_3x3_progress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45.105</w:t>
            </w:r>
          </w:p>
        </w:tc>
        <w:tc>
          <w:tcPr/>
          <w:p>
            <w:pPr>
              <w:pStyle w:val="Compact"/>
            </w:pPr>
            <w:r>
              <w:t xml:space="preserve">Poor fit and not interpretable.</w:t>
            </w:r>
          </w:p>
        </w:tc>
      </w:tr>
    </w:tbl>
    <w:p>
      <w:pPr>
        <w:pStyle w:val="BodyText"/>
      </w:pPr>
      <w:r>
        <w:t xml:space="preserve">Table 1 eliminates the contradiction that appeared in the Word manuscript:</w:t>
      </w:r>
      <w:r>
        <w:t xml:space="preserve"> </w:t>
      </w:r>
      <w:r>
        <w:t xml:space="preserve">the archive does not support a clean statement that one model is best on all</w:t>
      </w:r>
      <w:r>
        <w:t xml:space="preserve"> </w:t>
      </w:r>
      <w:r>
        <w:t xml:space="preserve">major indices.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model has the strongest conventional CFI/TLI among</w:t>
      </w:r>
      <w:r>
        <w:t xml:space="preserve"> </w:t>
      </w:r>
      <w:r>
        <w:t xml:space="preserve">the archived specifications, but its RMSEA is poor and its indicator set is</w:t>
      </w:r>
      <w:r>
        <w:t xml:space="preserve"> </w:t>
      </w:r>
      <w:r>
        <w:t xml:space="preserve">conceptually compromised by the timing overlap. The non-circular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 </w:t>
      </w:r>
      <w:r>
        <w:t xml:space="preserve">model has the lowest AIC and BIC, but its low CFI means it</w:t>
      </w:r>
      <w:r>
        <w:t xml:space="preserve"> </w:t>
      </w:r>
      <w:r>
        <w:t xml:space="preserve">cannot be presented as a well-fitting confirmatory solution. The</w:t>
      </w:r>
      <w:r>
        <w:t xml:space="preserve"> </w:t>
      </w:r>
      <w:r>
        <w:rPr>
          <w:rStyle w:val="VerbatimChar"/>
        </w:rPr>
        <w:t xml:space="preserve">improved_3x3</w:t>
      </w:r>
      <w:r>
        <w:t xml:space="preserve"> </w:t>
      </w:r>
      <w:r>
        <w:t xml:space="preserve">values exceed the usual upper bound for CFI and TLI, which is</w:t>
      </w:r>
      <w:r>
        <w:t xml:space="preserve"> </w:t>
      </w:r>
      <w:r>
        <w:t xml:space="preserve">another sign that the sample is too small for confident interpretation.</w:t>
      </w:r>
    </w:p>
    <w:p>
      <w:pPr>
        <w:pStyle w:val="BodyText"/>
      </w:pPr>
      <w:r>
        <w:t xml:space="preserve">The manuscript therefore adopts the following transparent rule. The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 </w:t>
      </w:r>
      <w:r>
        <w:t xml:space="preserve">model is treated as the least problematic baseline because</w:t>
      </w:r>
      <w:r>
        <w:t xml:space="preserve"> </w:t>
      </w:r>
      <w:r>
        <w:t xml:space="preserve">it avoids the timeliness-duration circularity.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3x3 model is</w:t>
      </w:r>
      <w:r>
        <w:t xml:space="preserve"> </w:t>
      </w:r>
      <w:r>
        <w:t xml:space="preserve">reported only as a legacy comparison that helps explain how the original</w:t>
      </w:r>
      <w:r>
        <w:t xml:space="preserve"> </w:t>
      </w:r>
      <w:r>
        <w:t xml:space="preserve">positive manuscript result was generated. No specification is treated as a</w:t>
      </w:r>
      <w:r>
        <w:t xml:space="preserve"> </w:t>
      </w:r>
      <w:r>
        <w:t xml:space="preserve">validated measurement model.</w:t>
      </w:r>
    </w:p>
    <w:bookmarkEnd w:id="29"/>
    <w:bookmarkStart w:id="39" w:name="results"/>
    <w:p>
      <w:pPr>
        <w:pStyle w:val="Heading1"/>
      </w:pPr>
      <w:r>
        <w:t xml:space="preserve">6. Results</w:t>
      </w:r>
    </w:p>
    <w:bookmarkStart w:id="36" w:name="descriptive-throughput-patterns"/>
    <w:p>
      <w:pPr>
        <w:pStyle w:val="Heading2"/>
      </w:pPr>
      <w:r>
        <w:t xml:space="preserve">6.1 Descriptive Throughput Patterns</w:t>
      </w:r>
    </w:p>
    <w:p>
      <w:pPr>
        <w:pStyle w:val="FirstParagraph"/>
      </w:pPr>
      <w:r>
        <w:t xml:space="preserve">The descriptive ratio figures remain the strongest part of the archive.</w:t>
      </w:r>
      <w:r>
        <w:t xml:space="preserve"> </w:t>
      </w:r>
      <w:r>
        <w:t xml:space="preserve">State-level average ratios show that once funds are disbursed they are</w:t>
      </w:r>
      <w:r>
        <w:t xml:space="preserve"> </w:t>
      </w:r>
      <w:r>
        <w:t xml:space="preserve">usually expended efficiently, whereas the main throughput bottleneck occurs</w:t>
      </w:r>
      <w:r>
        <w:t xml:space="preserve"> </w:t>
      </w:r>
      <w:r>
        <w:t xml:space="preserve">earlier in the pipeline between obligation and disbursement.</w:t>
      </w:r>
    </w:p>
    <w:p>
      <w:pPr>
        <w:pStyle w:val="CaptionedFigure"/>
      </w:pPr>
      <w:r>
        <w:drawing>
          <wp:inline>
            <wp:extent cx="5334000" cy="3525864"/>
            <wp:effectExtent b="0" l="0" r="0" t="0"/>
            <wp:docPr descr="Quarterly average state-level QPR ratios, showing greater variation in the movement from obligation to disbursement than in the movement from disbursement to expenditure across disaster cohorts from 2003 through 2023." title="" id="31" name="Picture"/>
            <a:graphic>
              <a:graphicData uri="http://schemas.openxmlformats.org/drawingml/2006/picture">
                <pic:pic>
                  <pic:nvPicPr>
                    <pic:cNvPr descr="figures/fig_08_state_avg_ratios_2003_202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Quarterly average state-level QPR ratios, showing greater variation in the movement from obligation to disbursement than in the movement from disbursement to expenditure across disaster cohorts from 2003 through 2023.</w:t>
      </w:r>
    </w:p>
    <w:p>
      <w:pPr>
        <w:pStyle w:val="BodyText"/>
      </w:pPr>
      <w:r>
        <w:t xml:space="preserve">Local governments display a similar pattern but with generally lower</w:t>
      </w:r>
      <w:r>
        <w:t xml:space="preserve"> </w:t>
      </w:r>
      <w:r>
        <w:t xml:space="preserve">disbursed-to-obligated ratios and more visible heterogeneity in a small</w:t>
      </w:r>
      <w:r>
        <w:t xml:space="preserve"> </w:t>
      </w:r>
      <w:r>
        <w:t xml:space="preserve">number of jurisdictions. The descriptive contrast is useful, but it should</w:t>
      </w:r>
      <w:r>
        <w:t xml:space="preserve"> </w:t>
      </w:r>
      <w:r>
        <w:t xml:space="preserve">not be overstated as direct evidence of a latent state-versus-local</w:t>
      </w:r>
      <w:r>
        <w:t xml:space="preserve"> </w:t>
      </w:r>
      <w:r>
        <w:t xml:space="preserve">throughput difference because the later SEM subset samples are small and</w:t>
      </w:r>
      <w:r>
        <w:t xml:space="preserve"> </w:t>
      </w:r>
      <w:r>
        <w:t xml:space="preserve">unstable.</w:t>
      </w:r>
    </w:p>
    <w:p>
      <w:pPr>
        <w:pStyle w:val="CaptionedFigure"/>
      </w:pPr>
      <w:r>
        <w:drawing>
          <wp:inline>
            <wp:extent cx="5290675" cy="3578086"/>
            <wp:effectExtent b="0" l="0" r="0" t="0"/>
            <wp:docPr descr="Quarterly average local-level QPR ratios, again showing that the main variation occurs before disbursement rather than after disbursement." title="" id="34" name="Picture"/>
            <a:graphic>
              <a:graphicData uri="http://schemas.openxmlformats.org/drawingml/2006/picture">
                <pic:pic>
                  <pic:nvPicPr>
                    <pic:cNvPr descr="figures/fig_09_local_avg_ratios_2003_202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75" cy="35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Quarterly average local-level QPR ratios, again showing that the main variation occurs before disbursement rather than after disbursement.</w:t>
      </w:r>
    </w:p>
    <w:bookmarkEnd w:id="36"/>
    <w:bookmarkStart w:id="37" w:name="X3f557461ba5fd256504efe57197c23f8d563b37"/>
    <w:p>
      <w:pPr>
        <w:pStyle w:val="Heading2"/>
      </w:pPr>
      <w:r>
        <w:t xml:space="preserve">6.2 Structural Estimates From Archived Models</w:t>
      </w:r>
    </w:p>
    <w:p>
      <w:pPr>
        <w:pStyle w:val="FirstParagraph"/>
      </w:pPr>
      <w:r>
        <w:t xml:space="preserve">The structural results reinforce the exploratory reading. Table 2 reports</w:t>
      </w:r>
      <w:r>
        <w:t xml:space="preserve"> </w:t>
      </w:r>
      <w:r>
        <w:t xml:space="preserve">selected coefficients from the archived diagnostics that matter most for the</w:t>
      </w:r>
      <w:r>
        <w:t xml:space="preserve"> </w:t>
      </w:r>
      <w:r>
        <w:t xml:space="preserve">audit.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320"/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Analysis level</w:t>
            </w:r>
          </w:p>
        </w:tc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kaifa_3x3_full</w:t>
            </w:r>
          </w:p>
        </w:tc>
        <w:tc>
          <w:tcPr/>
          <w:p>
            <w:pPr>
              <w:pStyle w:val="Compact"/>
            </w:pPr>
            <w:r>
              <w:t xml:space="preserve">grantee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Reproduces a large positive path, but only under censored duration plus inverse-duration timeliness.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</w:pPr>
            <w:r>
              <w:t xml:space="preserve">grantee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Non-significant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</w:pPr>
            <w:r>
              <w:t xml:space="preserve">grantee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Non-significant and unstable.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</w:pPr>
            <w:r>
              <w:t xml:space="preserve">grantee-disaster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Non-significant and unstable.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exp_time_to_milestone</w:t>
            </w:r>
          </w:p>
        </w:tc>
        <w:tc>
          <w:tcPr/>
          <w:p>
            <w:pPr>
              <w:pStyle w:val="Compact"/>
            </w:pPr>
            <w:r>
              <w:t xml:space="preserve">grantee-disaster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Milestone timing alternative remains non-significant.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grantee-disaster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Larger sample moves closer to zero-centered uncertainty, not to a stable positive effect.</w:t>
            </w:r>
          </w:p>
        </w:tc>
      </w:tr>
    </w:tbl>
    <w:p>
      <w:pPr>
        <w:pStyle w:val="BodyText"/>
      </w:pPr>
      <w:r>
        <w:t xml:space="preserve">Two conclusions follow. First, the later Word manuscript’s large positive</w:t>
      </w:r>
      <w:r>
        <w:t xml:space="preserve"> </w:t>
      </w:r>
      <w:r>
        <w:t xml:space="preserve">state coefficient cannot be treated as a general result of the Kaifa</w:t>
      </w:r>
      <w:r>
        <w:t xml:space="preserve"> </w:t>
      </w:r>
      <w:r>
        <w:t xml:space="preserve">framework. The archived replication can reproduce a large positive path, but</w:t>
      </w:r>
      <w:r>
        <w:t xml:space="preserve"> </w:t>
      </w:r>
      <w:r>
        <w:t xml:space="preserve">only in the specific legacy setup that combines right-censored duration with</w:t>
      </w:r>
      <w:r>
        <w:t xml:space="preserve"> </w:t>
      </w:r>
      <w:r>
        <w:t xml:space="preserve">its inverse on the throughput factor. Second, once the indicator overlap is</w:t>
      </w:r>
      <w:r>
        <w:t xml:space="preserve"> </w:t>
      </w:r>
      <w:r>
        <w:t xml:space="preserve">removed, the cross-sectional SEM does not produce a robust or statistically</w:t>
      </w:r>
      <w:r>
        <w:t xml:space="preserve"> </w:t>
      </w:r>
      <w:r>
        <w:t xml:space="preserve">convincing throughput-outcome relationship.</w:t>
      </w:r>
    </w:p>
    <w:bookmarkEnd w:id="37"/>
    <w:bookmarkStart w:id="38" w:name="Xc0f6c7d7abf551043a52b473bd033e1b84ccaff"/>
    <w:p>
      <w:pPr>
        <w:pStyle w:val="Heading2"/>
      </w:pPr>
      <w:r>
        <w:t xml:space="preserve">6.3 State And Local Subsets Are Sensitivity Checks, Not Moderation Tests</w:t>
      </w:r>
    </w:p>
    <w:p>
      <w:pPr>
        <w:pStyle w:val="FirstParagraph"/>
      </w:pPr>
      <w:r>
        <w:t xml:space="preserve">The archive contains subset fit diagnostics for state and local grantees,</w:t>
      </w:r>
      <w:r>
        <w:t xml:space="preserve"> </w:t>
      </w:r>
      <w:r>
        <w:t xml:space="preserve">but the effective complete-case samples are 23 states and 17 local</w:t>
      </w:r>
      <w:r>
        <w:t xml:space="preserve"> </w:t>
      </w:r>
      <w:r>
        <w:t xml:space="preserve">governments in the principal subset comparison. Those sample sizes are too</w:t>
      </w:r>
      <w:r>
        <w:t xml:space="preserve"> </w:t>
      </w:r>
      <w:r>
        <w:t xml:space="preserve">small to support formal claims that state and local governments respond to</w:t>
      </w:r>
      <w:r>
        <w:t xml:space="preserve"> </w:t>
      </w:r>
      <w:r>
        <w:t xml:space="preserve">throughput constraints in substantively different ways. This is why the</w:t>
      </w:r>
      <w:r>
        <w:t xml:space="preserve"> </w:t>
      </w:r>
      <w:r>
        <w:t xml:space="preserve">manuscript no longer uses the language of moderation. At most, the subset</w:t>
      </w:r>
      <w:r>
        <w:t xml:space="preserve"> </w:t>
      </w:r>
      <w:r>
        <w:t xml:space="preserve">results suggest that any state-versus-local comparison is fragile and highly</w:t>
      </w:r>
      <w:r>
        <w:t xml:space="preserve"> </w:t>
      </w:r>
      <w:r>
        <w:t xml:space="preserve">dependent on indicator choice. No formal measurement invariance testing was</w:t>
      </w:r>
      <w:r>
        <w:t xml:space="preserve"> </w:t>
      </w:r>
      <w:r>
        <w:t xml:space="preserve">conducted across government types, and both subset samples fall well below</w:t>
      </w:r>
      <w:r>
        <w:t xml:space="preserve"> </w:t>
      </w:r>
      <w:r>
        <w:t xml:space="preserve">conventional thresholds for stable SEM estimation.</w:t>
      </w:r>
    </w:p>
    <w:bookmarkEnd w:id="38"/>
    <w:bookmarkEnd w:id="39"/>
    <w:bookmarkStart w:id="40" w:name="discussion"/>
    <w:p>
      <w:pPr>
        <w:pStyle w:val="Heading1"/>
      </w:pPr>
      <w:r>
        <w:t xml:space="preserve">7. Discussion</w:t>
      </w:r>
    </w:p>
    <w:p>
      <w:pPr>
        <w:pStyle w:val="FirstParagraph"/>
      </w:pPr>
      <w:r>
        <w:t xml:space="preserve">The core lesson from the audit is methodological rather than substantive.</w:t>
      </w:r>
      <w:r>
        <w:t xml:space="preserve"> </w:t>
      </w:r>
      <w:r>
        <w:t xml:space="preserve">The CDBG-DR QPR archive does contain useful information about throughput</w:t>
      </w:r>
      <w:r>
        <w:t xml:space="preserve"> </w:t>
      </w:r>
      <w:r>
        <w:t xml:space="preserve">variation, but it does not automatically yield a stable cross-sectional SEM</w:t>
      </w:r>
      <w:r>
        <w:t xml:space="preserve"> </w:t>
      </w:r>
      <w:r>
        <w:t xml:space="preserve">of latent administrative throughput. Three constraints dominate.</w:t>
      </w:r>
    </w:p>
    <w:p>
      <w:pPr>
        <w:pStyle w:val="BodyText"/>
      </w:pPr>
      <w:r>
        <w:t xml:space="preserve">First, the unit of analysis is difficult to justify. Aggregating</w:t>
      </w:r>
      <w:r>
        <w:t xml:space="preserve"> </w:t>
      </w:r>
      <w:r>
        <w:t xml:space="preserve">grantee-disaster histories to grantee means assumes that throughput is stable</w:t>
      </w:r>
      <w:r>
        <w:t xml:space="preserve"> </w:t>
      </w:r>
      <w:r>
        <w:t xml:space="preserve">enough across disaster events and policy periods to be summarized as a</w:t>
      </w:r>
      <w:r>
        <w:t xml:space="preserve"> </w:t>
      </w:r>
      <w:r>
        <w:t xml:space="preserve">single trait. That may be acceptable for exploratory screening, but it is</w:t>
      </w:r>
      <w:r>
        <w:t xml:space="preserve"> </w:t>
      </w:r>
      <w:r>
        <w:t xml:space="preserve">not a neutral choice. It removes temporal variation precisely where a</w:t>
      </w:r>
      <w:r>
        <w:t xml:space="preserve"> </w:t>
      </w:r>
      <w:r>
        <w:t xml:space="preserve">long-run administrative throughput story should be most informative.</w:t>
      </w:r>
    </w:p>
    <w:p>
      <w:pPr>
        <w:pStyle w:val="BodyText"/>
      </w:pPr>
      <w:r>
        <w:t xml:space="preserve">Second, the timing outcomes remain maturity-sensitive. Newer disasters have</w:t>
      </w:r>
      <w:r>
        <w:t xml:space="preserve"> </w:t>
      </w:r>
      <w:r>
        <w:t xml:space="preserve">had less time to reach any high completion threshold, and a 95 percent</w:t>
      </w:r>
      <w:r>
        <w:t xml:space="preserve"> </w:t>
      </w:r>
      <w:r>
        <w:t xml:space="preserve">completion rule creates substantial right-censoring. The legacy replication</w:t>
      </w:r>
      <w:r>
        <w:t xml:space="preserve"> </w:t>
      </w:r>
      <w:r>
        <w:t xml:space="preserve">responds by treating incomplete programs as if they completed at the current</w:t>
      </w:r>
      <w:r>
        <w:t xml:space="preserve"> </w:t>
      </w:r>
      <w:r>
        <w:t xml:space="preserve">observation window, which mechanically biases duration downward for ongoing</w:t>
      </w:r>
      <w:r>
        <w:t xml:space="preserve"> </w:t>
      </w:r>
      <w:r>
        <w:t xml:space="preserve">programs. This is why the manuscript no longer uses causal or deterministic</w:t>
      </w:r>
      <w:r>
        <w:t xml:space="preserve"> </w:t>
      </w:r>
      <w:r>
        <w:t xml:space="preserve">language such as</w:t>
      </w:r>
      <w:r>
        <w:t xml:space="preserve"> </w:t>
      </w:r>
      <w:r>
        <w:t xml:space="preserve">“throughput improves recovery outcomes”</w:t>
      </w:r>
      <w:r>
        <w:t xml:space="preserve"> </w:t>
      </w:r>
      <w:r>
        <w:t xml:space="preserve">or</w:t>
      </w:r>
      <w:r>
        <w:t xml:space="preserve"> </w:t>
      </w:r>
      <w:r>
        <w:t xml:space="preserve">“throughput shapes</w:t>
      </w:r>
      <w:r>
        <w:t xml:space="preserve"> </w:t>
      </w:r>
      <w:r>
        <w:t xml:space="preserve">timeliness.”</w:t>
      </w:r>
      <w:r>
        <w:t xml:space="preserve"> </w:t>
      </w:r>
      <w:r>
        <w:t xml:space="preserve">The archive supports only associational and design-diagnostic</w:t>
      </w:r>
      <w:r>
        <w:t xml:space="preserve"> </w:t>
      </w:r>
      <w:r>
        <w:t xml:space="preserve">statements. The positive association between the throughput summary and</w:t>
      </w:r>
      <w:r>
        <w:t xml:space="preserve"> </w:t>
      </w:r>
      <w:r>
        <w:t xml:space="preserve">recovery timeliness at the state level should therefore be characterized as</w:t>
      </w:r>
      <w:r>
        <w:t xml:space="preserve"> </w:t>
      </w:r>
      <w:r>
        <w:t xml:space="preserve">a pooled-descriptive result that is sensitive to maturity and cohort</w:t>
      </w:r>
      <w:r>
        <w:t xml:space="preserve"> </w:t>
      </w:r>
      <w:r>
        <w:t xml:space="preserve">composition. The sensitivity analyses in the archive show meaningful</w:t>
      </w:r>
      <w:r>
        <w:t xml:space="preserve"> </w:t>
      </w:r>
      <w:r>
        <w:t xml:space="preserve">attenuation rather than reassuring stability, which means the manuscript</w:t>
      </w:r>
      <w:r>
        <w:t xml:space="preserve"> </w:t>
      </w:r>
      <w:r>
        <w:t xml:space="preserve">cannot claim this as a robust structural relationship.</w:t>
      </w:r>
    </w:p>
    <w:p>
      <w:pPr>
        <w:pStyle w:val="BodyText"/>
      </w:pPr>
      <w:r>
        <w:t xml:space="preserve">Third, the later Word draft extends beyond the reproducible archive. QCEW</w:t>
      </w:r>
      <w:r>
        <w:t xml:space="preserve"> </w:t>
      </w:r>
      <w:r>
        <w:t xml:space="preserve">staffing proxies, SVI covariates, and geography-matching logic may be</w:t>
      </w:r>
      <w:r>
        <w:t xml:space="preserve"> </w:t>
      </w:r>
      <w:r>
        <w:t xml:space="preserve">analytically valuable, but they need their own provenance rebuild. In the</w:t>
      </w:r>
      <w:r>
        <w:t xml:space="preserve"> </w:t>
      </w:r>
      <w:r>
        <w:t xml:space="preserve">current repository, those pieces cannot yet be documented with the level of</w:t>
      </w:r>
      <w:r>
        <w:t xml:space="preserve"> </w:t>
      </w:r>
      <w:r>
        <w:t xml:space="preserve">detail needed for publication-quality claims about suppression handling,</w:t>
      </w:r>
      <w:r>
        <w:t xml:space="preserve"> </w:t>
      </w:r>
      <w:r>
        <w:t xml:space="preserve">cross-vintage harmonization, or match-rate validation.</w:t>
      </w:r>
    </w:p>
    <w:p>
      <w:pPr>
        <w:pStyle w:val="BodyText"/>
      </w:pPr>
      <w:r>
        <w:t xml:space="preserve">The practical implication is straightforward. If this manuscript is to move</w:t>
      </w:r>
      <w:r>
        <w:t xml:space="preserve"> </w:t>
      </w:r>
      <w:r>
        <w:t xml:space="preserve">beyond archival salvage, the next version should either:</w:t>
      </w:r>
    </w:p>
    <w:p>
      <w:pPr>
        <w:pStyle w:val="Compact"/>
        <w:numPr>
          <w:ilvl w:val="0"/>
          <w:numId w:val="1005"/>
        </w:numPr>
      </w:pPr>
      <w:r>
        <w:t xml:space="preserve">remain a narrow exploratory note centered on transparent model</w:t>
      </w:r>
      <w:r>
        <w:t xml:space="preserve"> </w:t>
      </w:r>
      <w:r>
        <w:t xml:space="preserve">feasibility, or</w:t>
      </w:r>
    </w:p>
    <w:p>
      <w:pPr>
        <w:pStyle w:val="Compact"/>
        <w:numPr>
          <w:ilvl w:val="0"/>
          <w:numId w:val="1005"/>
        </w:numPr>
      </w:pPr>
      <w:r>
        <w:t xml:space="preserve">be rebuilt around a longitudinal or survival-style design that respects</w:t>
      </w:r>
      <w:r>
        <w:t xml:space="preserve"> </w:t>
      </w:r>
      <w:r>
        <w:t xml:space="preserve">event timing and censoring.</w:t>
      </w:r>
    </w:p>
    <w:p>
      <w:pPr>
        <w:pStyle w:val="FirstParagraph"/>
      </w:pPr>
      <w:r>
        <w:t xml:space="preserve">The current redraft chooses the first path.</w:t>
      </w:r>
    </w:p>
    <w:bookmarkEnd w:id="40"/>
    <w:bookmarkStart w:id="41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Kaifa SEM archive remains useful, but not for the reason originally</w:t>
      </w:r>
      <w:r>
        <w:t xml:space="preserve"> </w:t>
      </w:r>
      <w:r>
        <w:t xml:space="preserve">claimed. It does not provide strong confirmatory evidence that a stable</w:t>
      </w:r>
      <w:r>
        <w:t xml:space="preserve"> </w:t>
      </w:r>
      <w:r>
        <w:t xml:space="preserve">latent administrative throughput construct explains cross-sectional variation in</w:t>
      </w:r>
      <w:r>
        <w:t xml:space="preserve"> </w:t>
      </w:r>
      <w:r>
        <w:t xml:space="preserve">CDBG-DR recovery outcomes. What it does provide is an auditable record of</w:t>
      </w:r>
      <w:r>
        <w:t xml:space="preserve"> </w:t>
      </w:r>
      <w:r>
        <w:t xml:space="preserve">why that conclusion is hard to sustain with the available complete-case</w:t>
      </w:r>
      <w:r>
        <w:t xml:space="preserve"> </w:t>
      </w:r>
      <w:r>
        <w:t xml:space="preserve">samples and indicator design.</w:t>
      </w:r>
    </w:p>
    <w:p>
      <w:pPr>
        <w:pStyle w:val="BodyText"/>
      </w:pPr>
      <w:r>
        <w:t xml:space="preserve">For that reason, the present manuscript is best read as an exploratory</w:t>
      </w:r>
      <w:r>
        <w:t xml:space="preserve"> </w:t>
      </w:r>
      <w:r>
        <w:t xml:space="preserve">working paper and methodological archive. It documents descriptive</w:t>
      </w:r>
      <w:r>
        <w:t xml:space="preserve"> </w:t>
      </w:r>
      <w:r>
        <w:t xml:space="preserve">throughput differences across grantees, reconciles the archived model</w:t>
      </w:r>
      <w:r>
        <w:t xml:space="preserve"> </w:t>
      </w:r>
      <w:r>
        <w:t xml:space="preserve">comparison outputs, and shows that the strong positive legacy SEM result is</w:t>
      </w:r>
      <w:r>
        <w:t xml:space="preserve"> </w:t>
      </w:r>
      <w:r>
        <w:t xml:space="preserve">design-dependent. Future work can build on this record, but it should do so</w:t>
      </w:r>
      <w:r>
        <w:t xml:space="preserve"> </w:t>
      </w:r>
      <w:r>
        <w:t xml:space="preserve">with a redesigned temporal framework rather than by treating the archived</w:t>
      </w:r>
      <w:r>
        <w:t xml:space="preserve"> </w:t>
      </w:r>
      <w:r>
        <w:t xml:space="preserve">cross-sectional SEM as settled evidence.</w:t>
      </w:r>
    </w:p>
    <w:bookmarkEnd w:id="41"/>
    <w:bookmarkStart w:id="42" w:name="data-availability-statement"/>
    <w:p>
      <w:pPr>
        <w:pStyle w:val="Heading1"/>
      </w:pPr>
      <w:r>
        <w:t xml:space="preserve">9. Data Availability Statement</w:t>
      </w:r>
    </w:p>
    <w:p>
      <w:pPr>
        <w:pStyle w:val="FirstParagraph"/>
      </w:pPr>
      <w:r>
        <w:t xml:space="preserve">The current reproducible manuscript archive relies primarily on public HUD</w:t>
      </w:r>
      <w:r>
        <w:t xml:space="preserve"> </w:t>
      </w:r>
      <w:r>
        <w:t xml:space="preserve">DRGR/QPR administrative data and project-generated derivative tables stored</w:t>
      </w:r>
      <w:r>
        <w:t xml:space="preserve"> </w:t>
      </w:r>
      <w:r>
        <w:t xml:space="preserve">in this repository. The archived robustness tables, Quarto source files, and</w:t>
      </w:r>
      <w:r>
        <w:t xml:space="preserve"> </w:t>
      </w:r>
      <w:r>
        <w:t xml:space="preserve">analysis code used for this redraft are available in the repository. The</w:t>
      </w:r>
      <w:r>
        <w:t xml:space="preserve"> </w:t>
      </w:r>
      <w:r>
        <w:t xml:space="preserve">April 7, 2026 Word draft also refers to external covariates such as BLS QCEW</w:t>
      </w:r>
      <w:r>
        <w:t xml:space="preserve"> </w:t>
      </w:r>
      <w:r>
        <w:t xml:space="preserve">and CDC/ATSDR SVI measures; those raw sources are public, but the later</w:t>
      </w:r>
      <w:r>
        <w:t xml:space="preserve"> </w:t>
      </w:r>
      <w:r>
        <w:t xml:space="preserve">joined linkage artifacts and geography-validation files are not yet packaged</w:t>
      </w:r>
      <w:r>
        <w:t xml:space="preserve"> </w:t>
      </w:r>
      <w:r>
        <w:t xml:space="preserve">as a reproducible release in this archive. The current manuscript therefore</w:t>
      </w:r>
      <w:r>
        <w:t xml:space="preserve"> </w:t>
      </w:r>
      <w:r>
        <w:t xml:space="preserve">distinguishes between public raw sources, shareable code and nonrestricted</w:t>
      </w:r>
      <w:r>
        <w:t xml:space="preserve"> </w:t>
      </w:r>
      <w:r>
        <w:t xml:space="preserve">derivatives, and historical linkage artifacts that would need a separate</w:t>
      </w:r>
      <w:r>
        <w:t xml:space="preserve"> </w:t>
      </w:r>
      <w:r>
        <w:t xml:space="preserve">curation pass before distribution.</w:t>
      </w:r>
    </w:p>
    <w:bookmarkEnd w:id="42"/>
    <w:bookmarkStart w:id="43" w:name="references"/>
    <w:p>
      <w:pPr>
        <w:pStyle w:val="Heading1"/>
      </w:pPr>
      <w:r>
        <w:t xml:space="preserve">10. References</w:t>
      </w:r>
    </w:p>
    <w:p>
      <w:pPr>
        <w:pStyle w:val="FirstParagraph"/>
      </w:pPr>
      <w:r>
        <w:t xml:space="preserve">Bollen, K. A. (1989).</w:t>
      </w:r>
      <w:r>
        <w:t xml:space="preserve"> </w:t>
      </w:r>
      <w:r>
        <w:rPr>
          <w:i/>
          <w:iCs/>
        </w:rPr>
        <w:t xml:space="preserve">Structural Equations with Latent Variables</w:t>
      </w:r>
      <w:r>
        <w:t xml:space="preserve">. John</w:t>
      </w:r>
      <w:r>
        <w:t xml:space="preserve"> </w:t>
      </w:r>
      <w:r>
        <w:t xml:space="preserve">Wiley &amp; Sons.</w:t>
      </w:r>
    </w:p>
    <w:p>
      <w:pPr>
        <w:pStyle w:val="BodyText"/>
      </w:pPr>
      <w:r>
        <w:t xml:space="preserve">Boyd, E. (2011).</w:t>
      </w:r>
      <w:r>
        <w:t xml:space="preserve"> </w:t>
      </w:r>
      <w:r>
        <w:rPr>
          <w:i/>
          <w:iCs/>
        </w:rPr>
        <w:t xml:space="preserve">Community Development Block Grant Disaster Recovery</w:t>
      </w:r>
      <w:r>
        <w:rPr>
          <w:i/>
          <w:iCs/>
        </w:rPr>
        <w:t xml:space="preserve"> </w:t>
      </w:r>
      <w:r>
        <w:rPr>
          <w:i/>
          <w:iCs/>
        </w:rPr>
        <w:t xml:space="preserve">Assistance</w:t>
      </w:r>
      <w:r>
        <w:t xml:space="preserve">. Congressional Research Service.</w:t>
      </w:r>
    </w:p>
    <w:p>
      <w:pPr>
        <w:pStyle w:val="BodyText"/>
      </w:pPr>
      <w:r>
        <w:t xml:space="preserve">Chang, S. E. (2010). Urban disaster recovery: A measurement framework and</w:t>
      </w:r>
      <w:r>
        <w:t xml:space="preserve"> </w:t>
      </w:r>
      <w:r>
        <w:t xml:space="preserve">its application to the 1995 Kobe earthquake.</w:t>
      </w:r>
      <w:r>
        <w:t xml:space="preserve"> </w:t>
      </w:r>
      <w:r>
        <w:rPr>
          <w:i/>
          <w:iCs/>
        </w:rPr>
        <w:t xml:space="preserve">Disasters, 34</w:t>
      </w:r>
      <w:r>
        <w:t xml:space="preserve">(2), 303-327.</w:t>
      </w:r>
    </w:p>
    <w:p>
      <w:pPr>
        <w:pStyle w:val="BodyText"/>
      </w:pPr>
      <w:r>
        <w:t xml:space="preserve">Cutter, S. L., Ash, K. D., &amp; Emrich, C. T. (2019). Urban-rural differences</w:t>
      </w:r>
      <w:r>
        <w:t xml:space="preserve"> </w:t>
      </w:r>
      <w:r>
        <w:t xml:space="preserve">in disaster resilience.</w:t>
      </w:r>
      <w:r>
        <w:t xml:space="preserve"> </w:t>
      </w:r>
      <w:r>
        <w:rPr>
          <w:i/>
          <w:iCs/>
        </w:rPr>
        <w:t xml:space="preserve">Annals of the American Association of Geographers,</w:t>
      </w:r>
      <w:r>
        <w:rPr>
          <w:i/>
          <w:iCs/>
        </w:rPr>
        <w:t xml:space="preserve"> </w:t>
      </w:r>
      <w:r>
        <w:rPr>
          <w:i/>
          <w:iCs/>
        </w:rPr>
        <w:t xml:space="preserve">109</w:t>
      </w:r>
      <w:r>
        <w:t xml:space="preserve">(5), 1237-1252.</w:t>
      </w:r>
    </w:p>
    <w:p>
      <w:pPr>
        <w:pStyle w:val="BodyText"/>
      </w:pPr>
      <w:r>
        <w:t xml:space="preserve">Geddam, S. M., Garg, P., &amp; Tyagi, A. (2024). Enhancing disaster management</w:t>
      </w:r>
      <w:r>
        <w:t xml:space="preserve"> </w:t>
      </w:r>
      <w:r>
        <w:t xml:space="preserve">effectiveness: A structural equation modeling approach.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Disaster Risk Reduction, 99</w:t>
      </w:r>
      <w:r>
        <w:t xml:space="preserve">, 104123.</w:t>
      </w:r>
    </w:p>
    <w:p>
      <w:pPr>
        <w:pStyle w:val="BodyText"/>
      </w:pPr>
      <w:r>
        <w:t xml:space="preserve">Gerber, B. J., &amp; Robinson, S. E. (2022). Local government capacity and</w:t>
      </w:r>
      <w:r>
        <w:t xml:space="preserve"> </w:t>
      </w:r>
      <w:r>
        <w:t xml:space="preserve">disaster resilience: The role of institutional arrangements and</w:t>
      </w:r>
      <w:r>
        <w:t xml:space="preserve"> </w:t>
      </w:r>
      <w:r>
        <w:t xml:space="preserve">administrative resources.</w:t>
      </w:r>
      <w:r>
        <w:t xml:space="preserve"> </w:t>
      </w:r>
      <w:r>
        <w:rPr>
          <w:i/>
          <w:iCs/>
        </w:rPr>
        <w:t xml:space="preserve">Public Administration Review, 82</w:t>
      </w:r>
      <w:r>
        <w:t xml:space="preserve">(2), 340-352.</w:t>
      </w:r>
    </w:p>
    <w:p>
      <w:pPr>
        <w:pStyle w:val="BodyText"/>
      </w:pPr>
      <w:r>
        <w:t xml:space="preserve">HUD Office of Inspector General. (2021).</w:t>
      </w:r>
      <w:r>
        <w:t xml:space="preserve"> </w:t>
      </w:r>
      <w:r>
        <w:rPr>
          <w:i/>
          <w:iCs/>
        </w:rPr>
        <w:t xml:space="preserve">HUD Did Not Adequately Oversee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 Development Block Grant-Disaster Recovery Grantees</w:t>
      </w:r>
      <w:r>
        <w:t xml:space="preserve">. Office of</w:t>
      </w:r>
      <w:r>
        <w:t xml:space="preserve"> </w:t>
      </w:r>
      <w:r>
        <w:t xml:space="preserve">Inspector General, U.S. Department of Housing and Urban Development.</w:t>
      </w:r>
    </w:p>
    <w:p>
      <w:pPr>
        <w:pStyle w:val="BodyText"/>
      </w:pPr>
      <w:r>
        <w:t xml:space="preserve">Kline, R. B. (2016).</w:t>
      </w:r>
      <w:r>
        <w:t xml:space="preserve"> </w:t>
      </w:r>
      <w:r>
        <w:rPr>
          <w:i/>
          <w:iCs/>
        </w:rPr>
        <w:t xml:space="preserve">Principles and Practice of Structural Equation</w:t>
      </w:r>
      <w:r>
        <w:rPr>
          <w:i/>
          <w:iCs/>
        </w:rP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(4th ed.). Guilford Press.</w:t>
      </w:r>
    </w:p>
    <w:p>
      <w:pPr>
        <w:pStyle w:val="BodyText"/>
      </w:pPr>
      <w:r>
        <w:t xml:space="preserve">Wu, X., Ramesh, M., &amp; Howlett, M. (2015). Policy capacity: A conceptual</w:t>
      </w:r>
      <w:r>
        <w:t xml:space="preserve"> </w:t>
      </w:r>
      <w:r>
        <w:t xml:space="preserve">framework for understanding policy competences and capabilities.</w:t>
      </w:r>
      <w:r>
        <w:t xml:space="preserve"> </w:t>
      </w:r>
      <w:r>
        <w:rPr>
          <w:i/>
          <w:iCs/>
        </w:rPr>
        <w:t xml:space="preserve">Policy and</w:t>
      </w:r>
      <w:r>
        <w:rPr>
          <w:i/>
          <w:iCs/>
        </w:rPr>
        <w:t xml:space="preserve"> </w:t>
      </w:r>
      <w:r>
        <w:rPr>
          <w:i/>
          <w:iCs/>
        </w:rPr>
        <w:t xml:space="preserve">Society, 34</w:t>
      </w:r>
      <w:r>
        <w:t xml:space="preserve">(3-4), 165-171.</w:t>
      </w:r>
    </w:p>
    <w:bookmarkEnd w:id="43"/>
    <w:bookmarkStart w:id="50" w:name="X8bed5978b18ba54f5905cc8ffe46568e864720e"/>
    <w:p>
      <w:pPr>
        <w:pStyle w:val="Heading1"/>
      </w:pPr>
      <w:r>
        <w:t xml:space="preserve">Appendix A: Data Description And Provenance</w:t>
      </w:r>
    </w:p>
    <w:bookmarkStart w:id="44" w:name="a.1-reproducible-source-boundary"/>
    <w:p>
      <w:pPr>
        <w:pStyle w:val="Heading2"/>
      </w:pPr>
      <w:r>
        <w:t xml:space="preserve">10.1 A.1 Reproducible Source Boundary</w:t>
      </w:r>
    </w:p>
    <w:p>
      <w:pPr>
        <w:pStyle w:val="FirstParagraph"/>
      </w:pPr>
      <w:r>
        <w:t xml:space="preserve">The current Quarto archive is anchored to the reproducible project pipeline</w:t>
      </w:r>
      <w:r>
        <w:t xml:space="preserve"> </w:t>
      </w:r>
      <w:r>
        <w:t xml:space="preserve">rather than to the full set of variables discussed in the April 7, 2026 Word</w:t>
      </w:r>
      <w:r>
        <w:t xml:space="preserve"> </w:t>
      </w:r>
      <w:r>
        <w:t xml:space="preserve">draft. The empirical results reported in this redraft come from three</w:t>
      </w:r>
      <w:r>
        <w:t xml:space="preserve"> </w:t>
      </w:r>
      <w:r>
        <w:t xml:space="preserve">repository artifacts:</w:t>
      </w:r>
    </w:p>
    <w:p>
      <w:pPr>
        <w:pStyle w:val="Compact"/>
        <w:numPr>
          <w:ilvl w:val="0"/>
          <w:numId w:val="1006"/>
        </w:numPr>
      </w:pPr>
      <w:r>
        <w:t xml:space="preserve">the standardized QPR archive (</w:t>
      </w:r>
      <w:r>
        <w:rPr>
          <w:rStyle w:val="VerbatimChar"/>
        </w:rPr>
        <w:t xml:space="preserve">data_work/qpr_standardized.parquet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the grantee-disaster feature panel (</w:t>
      </w:r>
      <w:r>
        <w:rPr>
          <w:rStyle w:val="VerbatimChar"/>
        </w:rPr>
        <w:t xml:space="preserve">data_work/panel_features.parquet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manuscript-specific robustness tables stored in</w:t>
      </w:r>
      <w:r>
        <w:t xml:space="preserve"> </w:t>
      </w:r>
      <w:r>
        <w:rPr>
          <w:rStyle w:val="VerbatimChar"/>
        </w:rPr>
        <w:t xml:space="preserve">manuscript_kaifa_archive/data/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data_work/diagnostics/</w:t>
      </w:r>
      <w:r>
        <w:t xml:space="preserve">.</w:t>
      </w:r>
    </w:p>
    <w:p>
      <w:pPr>
        <w:pStyle w:val="FirstParagraph"/>
      </w:pPr>
      <w:r>
        <w:t xml:space="preserve">The standardized QPR archive contains 130,605 activity-quarter rows. Those</w:t>
      </w:r>
      <w:r>
        <w:t xml:space="preserve"> </w:t>
      </w:r>
      <w:r>
        <w:t xml:space="preserve">rows are not one row per quarter; they are one row per activity within a</w:t>
      </w:r>
      <w:r>
        <w:t xml:space="preserve"> </w:t>
      </w:r>
      <w:r>
        <w:t xml:space="preserve">grantee-disaster-quarter. The cross-sectional SEM does not estimate on that</w:t>
      </w:r>
      <w:r>
        <w:t xml:space="preserve"> </w:t>
      </w:r>
      <w:r>
        <w:t xml:space="preserve">file directly. Instead, the canonical feature pipeline collapses the QPR</w:t>
      </w:r>
      <w:r>
        <w:t xml:space="preserve"> </w:t>
      </w:r>
      <w:r>
        <w:t xml:space="preserve">records to a grantee-disaster panel of 156 observations and then, for the</w:t>
      </w:r>
      <w:r>
        <w:t xml:space="preserve"> </w:t>
      </w:r>
      <w:r>
        <w:t xml:space="preserve">Kaifa cross-sectional SEM, to one mean profile per grantee.</w:t>
      </w:r>
    </w:p>
    <w:bookmarkEnd w:id="44"/>
    <w:bookmarkStart w:id="45" w:name="a.2-transformation-chain"/>
    <w:p>
      <w:pPr>
        <w:pStyle w:val="Heading2"/>
      </w:pPr>
      <w:r>
        <w:t xml:space="preserve">10.2 A.2 Transformation Chain</w:t>
      </w:r>
    </w:p>
    <w:p>
      <w:pPr>
        <w:pStyle w:val="FirstParagraph"/>
      </w:pPr>
      <w:r>
        <w:t xml:space="preserve">The transformation chain relevant to the current manuscript is:</w:t>
      </w:r>
    </w:p>
    <w:p>
      <w:pPr>
        <w:pStyle w:val="Compact"/>
        <w:numPr>
          <w:ilvl w:val="0"/>
          <w:numId w:val="1007"/>
        </w:numPr>
      </w:pPr>
      <w:r>
        <w:t xml:space="preserve">QPR raw exports are cleaned and standardized into quarter-aware records.</w:t>
      </w:r>
    </w:p>
    <w:p>
      <w:pPr>
        <w:pStyle w:val="Compact"/>
        <w:numPr>
          <w:ilvl w:val="0"/>
          <w:numId w:val="1007"/>
        </w:numPr>
      </w:pPr>
      <w:r>
        <w:t xml:space="preserve">Grantee-disaster features are computed, including financial ratios and</w:t>
      </w:r>
      <w:r>
        <w:t xml:space="preserve"> </w:t>
      </w:r>
      <w:r>
        <w:t xml:space="preserve">timing summaries.</w:t>
      </w:r>
    </w:p>
    <w:p>
      <w:pPr>
        <w:pStyle w:val="Compact"/>
        <w:numPr>
          <w:ilvl w:val="0"/>
          <w:numId w:val="1007"/>
        </w:numPr>
      </w:pPr>
      <w:r>
        <w:t xml:space="preserve">The archived Kaifa replication applies a legacy censoring rule:</w:t>
      </w:r>
      <w:r>
        <w:t xml:space="preserve"> </w:t>
      </w:r>
      <w:r>
        <w:rPr>
          <w:rStyle w:val="VerbatimChar"/>
        </w:rPr>
        <w:t xml:space="preserve">Duration_censored = N_Quarters</w:t>
      </w:r>
      <w:r>
        <w:t xml:space="preserve"> </w:t>
      </w:r>
      <w:r>
        <w:t xml:space="preserve">whenever 95 percent completion is not</w:t>
      </w:r>
      <w:r>
        <w:t xml:space="preserve"> </w:t>
      </w:r>
      <w:r>
        <w:t xml:space="preserve">observed.</w:t>
      </w:r>
    </w:p>
    <w:p>
      <w:pPr>
        <w:pStyle w:val="Compact"/>
        <w:numPr>
          <w:ilvl w:val="0"/>
          <w:numId w:val="1007"/>
        </w:numPr>
      </w:pPr>
      <w:r>
        <w:t xml:space="preserve">The same legacy replication defines</w:t>
      </w:r>
      <w:r>
        <w:t xml:space="preserve"> </w:t>
      </w:r>
      <w:r>
        <w:rPr>
          <w:rStyle w:val="VerbatimChar"/>
        </w:rPr>
        <w:t xml:space="preserve">Timeliness_censored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1 / Duration_censored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Kaifa cross-sectional SEM aggregates grantee-disaster measures to the</w:t>
      </w:r>
      <w:r>
        <w:t xml:space="preserve"> </w:t>
      </w:r>
      <w:r>
        <w:t xml:space="preserve">grantee level using means.</w:t>
      </w:r>
    </w:p>
    <w:p>
      <w:pPr>
        <w:pStyle w:val="FirstParagraph"/>
      </w:pPr>
      <w:r>
        <w:t xml:space="preserve">That chain matters because the positive legacy SEM result appears only after</w:t>
      </w:r>
      <w:r>
        <w:t xml:space="preserve"> </w:t>
      </w:r>
      <w:r>
        <w:t xml:space="preserve">steps 3 through 5. The current manuscript therefore treats those steps as</w:t>
      </w:r>
      <w:r>
        <w:t xml:space="preserve"> </w:t>
      </w:r>
      <w:r>
        <w:t xml:space="preserve">objects of audit, not as innocuous preprocessing choices.</w:t>
      </w:r>
    </w:p>
    <w:bookmarkEnd w:id="45"/>
    <w:bookmarkStart w:id="46" w:name="a.3-sample-sizes-used-in-the-archive"/>
    <w:p>
      <w:pPr>
        <w:pStyle w:val="Heading2"/>
      </w:pPr>
      <w:r>
        <w:t xml:space="preserve">10.3 A.3 Sample Sizes Used In The Archive</w:t>
      </w:r>
    </w:p>
    <w:p>
      <w:pPr>
        <w:pStyle w:val="FirstParagraph"/>
      </w:pPr>
      <w:r>
        <w:t xml:space="preserve">The main sample counts used in this redraft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Grantee-disaster feature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All grantee-disaster pairs in the working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Cross-sectional aggregation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Disaster contexts represented in the panel.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reduced</w:t>
            </w:r>
            <w:r>
              <w:t xml:space="preserve"> </w:t>
            </w:r>
            <w:r>
              <w:t xml:space="preserve">SEM complete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Overall cross-sectional SEM sample in the manuscript archive.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  <w:r>
              <w:t xml:space="preserve"> </w:t>
            </w:r>
            <w:r>
              <w:t xml:space="preserve">and related non-circular SEMs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Overall baseline cross-sectional SEM sample.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subset fit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Complete cases in archived subset-comparison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subset fit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Complete cases in archived subset-comparison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Kaifa state replication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Grantee-level state sample after right-censoring and aggregation.</w:t>
            </w:r>
          </w:p>
        </w:tc>
      </w:tr>
    </w:tbl>
    <w:p>
      <w:pPr>
        <w:pStyle w:val="BodyText"/>
      </w:pPr>
      <w:r>
        <w:t xml:space="preserve">These counts should be read as complete-case estimation samples, not as the</w:t>
      </w:r>
      <w:r>
        <w:t xml:space="preserve"> </w:t>
      </w:r>
      <w:r>
        <w:t xml:space="preserve">total amount of information in the QPR archive.</w:t>
      </w:r>
    </w:p>
    <w:bookmarkEnd w:id="46"/>
    <w:bookmarkStart w:id="47" w:name="a.4-timing-and-maturity-limits"/>
    <w:p>
      <w:pPr>
        <w:pStyle w:val="Heading2"/>
      </w:pPr>
      <w:r>
        <w:t xml:space="preserve">10.4 A.4 Timing And Maturity Limits</w:t>
      </w:r>
    </w:p>
    <w:p>
      <w:pPr>
        <w:pStyle w:val="FirstParagraph"/>
      </w:pPr>
      <w:r>
        <w:t xml:space="preserve">The current redraft refers to disaster cohorts from 2003 through 2023.</w:t>
      </w:r>
      <w:r>
        <w:t xml:space="preserve"> </w:t>
      </w:r>
      <w:r>
        <w:t xml:space="preserve">Internally, the standardized QPR archive contains quarterly observations</w:t>
      </w:r>
      <w:r>
        <w:t xml:space="preserve"> </w:t>
      </w:r>
      <w:r>
        <w:t xml:space="preserve">from September 30, 2002 through June 30, 2025. The absolute dates matter</w:t>
      </w:r>
      <w:r>
        <w:t xml:space="preserve"> </w:t>
      </w:r>
      <w:r>
        <w:t xml:space="preserve">because the 95 percent completion rule is maturity-sensitive. More recent</w:t>
      </w:r>
      <w:r>
        <w:t xml:space="preserve"> </w:t>
      </w:r>
      <w:r>
        <w:t xml:space="preserve">disasters have had fewer reporting quarters in which to approach the</w:t>
      </w:r>
      <w:r>
        <w:t xml:space="preserve"> </w:t>
      </w:r>
      <w:r>
        <w:t xml:space="preserve">completion threshold, which is why duration-based outcomes are vulnerable to</w:t>
      </w:r>
      <w:r>
        <w:t xml:space="preserve"> </w:t>
      </w:r>
      <w:r>
        <w:t xml:space="preserve">right-censoring and cohort bias.</w:t>
      </w:r>
    </w:p>
    <w:p>
      <w:pPr>
        <w:pStyle w:val="BodyText"/>
      </w:pPr>
      <w:r>
        <w:t xml:space="preserve">The archive also documents a minimum-quarter filter and ratio winsorization.</w:t>
      </w:r>
      <w:r>
        <w:t xml:space="preserve"> </w:t>
      </w:r>
      <w:r>
        <w:t xml:space="preserve">The historical Kaifa workflow excluded very short reporting histories and</w:t>
      </w:r>
      <w:r>
        <w:t xml:space="preserve"> </w:t>
      </w:r>
      <w:r>
        <w:t xml:space="preserve">used ratio trimming or winsorization to reduce extreme values. The current</w:t>
      </w:r>
      <w:r>
        <w:t xml:space="preserve"> </w:t>
      </w:r>
      <w:r>
        <w:t xml:space="preserve">redraft reports only those preprocessing rules that can be traced in the</w:t>
      </w:r>
      <w:r>
        <w:t xml:space="preserve"> </w:t>
      </w:r>
      <w:r>
        <w:t xml:space="preserve">repository and does not claim an additional outlier-deletion procedure that</w:t>
      </w:r>
      <w:r>
        <w:t xml:space="preserve"> </w:t>
      </w:r>
      <w:r>
        <w:t xml:space="preserve">cannot be reconstructed cleanly.</w:t>
      </w:r>
    </w:p>
    <w:bookmarkEnd w:id="47"/>
    <w:bookmarkStart w:id="48" w:name="X99fc812e732407d1fd6542fa8ec5bee7390a8ec"/>
    <w:p>
      <w:pPr>
        <w:pStyle w:val="Heading2"/>
      </w:pPr>
      <w:r>
        <w:t xml:space="preserve">10.5 A.5 External Data Referenced In The Later Word Draft</w:t>
      </w:r>
    </w:p>
    <w:p>
      <w:pPr>
        <w:pStyle w:val="FirstParagraph"/>
      </w:pPr>
      <w:r>
        <w:t xml:space="preserve">The April 7, 2026 Word manuscript references additional external sources,</w:t>
      </w:r>
      <w:r>
        <w:t xml:space="preserve"> </w:t>
      </w:r>
      <w:r>
        <w:t xml:space="preserve">including:</w:t>
      </w:r>
    </w:p>
    <w:p>
      <w:pPr>
        <w:pStyle w:val="Compact"/>
        <w:numPr>
          <w:ilvl w:val="0"/>
          <w:numId w:val="1008"/>
        </w:numPr>
      </w:pPr>
      <w:r>
        <w:t xml:space="preserve">BLS QCEW staffing and payroll measures, including NAICS</w:t>
      </w:r>
      <w:r>
        <w:t xml:space="preserve"> </w:t>
      </w:r>
      <w:r>
        <w:rPr>
          <w:rStyle w:val="VerbatimChar"/>
        </w:rPr>
        <w:t xml:space="preserve">925110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CDC/ATSDR Social Vulnerability Index (SVI) vintages,</w:t>
      </w:r>
    </w:p>
    <w:p>
      <w:pPr>
        <w:pStyle w:val="Compact"/>
        <w:numPr>
          <w:ilvl w:val="0"/>
          <w:numId w:val="1008"/>
        </w:numPr>
      </w:pPr>
      <w:r>
        <w:t xml:space="preserve">organization-name cleaning and city-to-county geography matching.</w:t>
      </w:r>
    </w:p>
    <w:p>
      <w:pPr>
        <w:pStyle w:val="FirstParagraph"/>
      </w:pPr>
      <w:r>
        <w:t xml:space="preserve">Those inputs were not initially reconstructed in the repository. A later</w:t>
      </w:r>
      <w:r>
        <w:t xml:space="preserve"> </w:t>
      </w:r>
      <w:r>
        <w:t xml:space="preserve">manual import added two external SEM export bundles under</w:t>
      </w:r>
      <w:r>
        <w:t xml:space="preserve"> </w:t>
      </w:r>
      <w:r>
        <w:rPr>
          <w:rStyle w:val="VerbatimChar"/>
        </w:rPr>
        <w:t xml:space="preserve">manuscript_kaifa_archive/data/external_sem_exports/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baseline_sem/</w:t>
      </w:r>
      <w:r>
        <w:t xml:space="preserve"> </w:t>
      </w:r>
      <w:r>
        <w:t xml:space="preserve">with a 573-row z-scored ready dataset and associated</w:t>
      </w:r>
      <w:r>
        <w:t xml:space="preserve"> </w:t>
      </w:r>
      <w:r>
        <w:t xml:space="preserve">one-factor/two-factor SEM exports;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baseline_sem_admin_4/</w:t>
      </w:r>
      <w:r>
        <w:t xml:space="preserve"> </w:t>
      </w:r>
      <w:r>
        <w:t xml:space="preserve">with a 169-row robustness version of the same</w:t>
      </w:r>
      <w:r>
        <w:t xml:space="preserve"> </w:t>
      </w:r>
      <w:r>
        <w:t xml:space="preserve">variable family.</w:t>
      </w:r>
    </w:p>
    <w:p>
      <w:pPr>
        <w:pStyle w:val="FirstParagraph"/>
      </w:pPr>
      <w:r>
        <w:t xml:space="preserve">These imports are useful for provenance and for reconstructing the later</w:t>
      </w:r>
      <w:r>
        <w:t xml:space="preserve"> </w:t>
      </w:r>
      <w:r>
        <w:t xml:space="preserve">Word manuscript’s SEM tables, but they still do not by themselves document</w:t>
      </w:r>
      <w:r>
        <w:t xml:space="preserve"> </w:t>
      </w:r>
      <w:r>
        <w:t xml:space="preserve">the upstream QCEW acquisition, SVI harmonization, or geography-matching</w:t>
      </w:r>
      <w:r>
        <w:t xml:space="preserve"> </w:t>
      </w:r>
      <w:r>
        <w:t xml:space="preserve">workflow. If those variables are reintroduced as active empirical inputs,</w:t>
      </w:r>
      <w:r>
        <w:t xml:space="preserve"> </w:t>
      </w:r>
      <w:r>
        <w:t xml:space="preserve">the following documentation is still required:</w:t>
      </w:r>
    </w:p>
    <w:p>
      <w:pPr>
        <w:pStyle w:val="Compact"/>
        <w:numPr>
          <w:ilvl w:val="0"/>
          <w:numId w:val="1010"/>
        </w:numPr>
      </w:pPr>
      <w:r>
        <w:t xml:space="preserve">for QCEW: extraction year coverage, suppression or missingness handling,</w:t>
      </w:r>
      <w:r>
        <w:t xml:space="preserve"> </w:t>
      </w:r>
      <w:r>
        <w:t xml:space="preserve">and a clear statement that NAICS</w:t>
      </w:r>
      <w:r>
        <w:t xml:space="preserve"> </w:t>
      </w:r>
      <w:r>
        <w:rPr>
          <w:rStyle w:val="VerbatimChar"/>
        </w:rPr>
        <w:t xml:space="preserve">925110</w:t>
      </w:r>
      <w:r>
        <w:t xml:space="preserve"> </w:t>
      </w:r>
      <w:r>
        <w:t xml:space="preserve">is an indirect proxy for CDBG-DR</w:t>
      </w:r>
      <w:r>
        <w:t xml:space="preserve"> </w:t>
      </w:r>
      <w:r>
        <w:t xml:space="preserve">administrative capacity rather than a direct staff count;</w:t>
      </w:r>
    </w:p>
    <w:p>
      <w:pPr>
        <w:pStyle w:val="Compact"/>
        <w:numPr>
          <w:ilvl w:val="0"/>
          <w:numId w:val="1010"/>
        </w:numPr>
      </w:pPr>
      <w:r>
        <w:t xml:space="preserve">for SVI: either a harmonization protocol across vintages or a design that</w:t>
      </w:r>
      <w:r>
        <w:t xml:space="preserve"> </w:t>
      </w:r>
      <w:r>
        <w:t xml:space="preserve">avoids direct comparison of percentile scores across incompatible releases;</w:t>
      </w:r>
    </w:p>
    <w:p>
      <w:pPr>
        <w:pStyle w:val="Compact"/>
        <w:numPr>
          <w:ilvl w:val="0"/>
          <w:numId w:val="1010"/>
        </w:numPr>
      </w:pPr>
      <w:r>
        <w:t xml:space="preserve">for geography matching: a source hierarchy, match shares by method,</w:t>
      </w:r>
      <w:r>
        <w:t xml:space="preserve"> </w:t>
      </w:r>
      <w:r>
        <w:t xml:space="preserve">unresolved cases, and validation against official Census relationship or</w:t>
      </w:r>
      <w:r>
        <w:t xml:space="preserve"> </w:t>
      </w:r>
      <w:r>
        <w:t xml:space="preserve">gazetteer files.</w:t>
      </w:r>
    </w:p>
    <w:bookmarkEnd w:id="48"/>
    <w:bookmarkStart w:id="49" w:name="Xf93c63195450087b4ce57f97e544e88230e7bfc"/>
    <w:p>
      <w:pPr>
        <w:pStyle w:val="Heading2"/>
      </w:pPr>
      <w:r>
        <w:t xml:space="preserve">10.6 A.6 Public, Shareable, And Controlled Artifacts</w:t>
      </w:r>
    </w:p>
    <w:p>
      <w:pPr>
        <w:pStyle w:val="FirstParagraph"/>
      </w:pPr>
      <w:r>
        <w:t xml:space="preserve">For the current manuscript archive, the data-availability boundary is:</w:t>
      </w:r>
    </w:p>
    <w:p>
      <w:pPr>
        <w:pStyle w:val="Compact"/>
        <w:numPr>
          <w:ilvl w:val="0"/>
          <w:numId w:val="1011"/>
        </w:numPr>
      </w:pPr>
      <w:r>
        <w:t xml:space="preserve">public raw sources: HUD DRGR/QPR administrative exports used in the</w:t>
      </w:r>
      <w:r>
        <w:t xml:space="preserve"> </w:t>
      </w:r>
      <w:r>
        <w:t xml:space="preserve">repository, plus public federal data sources that may be used in future</w:t>
      </w:r>
      <w:r>
        <w:t xml:space="preserve"> </w:t>
      </w:r>
      <w:r>
        <w:t xml:space="preserve">extensions such as Census population series, BLS QCEW, and CDC/ATSDR SVI;</w:t>
      </w:r>
    </w:p>
    <w:p>
      <w:pPr>
        <w:pStyle w:val="Compact"/>
        <w:numPr>
          <w:ilvl w:val="0"/>
          <w:numId w:val="1011"/>
        </w:numPr>
      </w:pPr>
      <w:r>
        <w:t xml:space="preserve">shareable derivative materials: the Quarto manuscript sources, the</w:t>
      </w:r>
      <w:r>
        <w:t xml:space="preserve"> </w:t>
      </w:r>
      <w:r>
        <w:t xml:space="preserve">repository code, and the archived robustness or audit tables used in this</w:t>
      </w:r>
      <w:r>
        <w:t xml:space="preserve"> </w:t>
      </w:r>
      <w:r>
        <w:t xml:space="preserve">redraft;</w:t>
      </w:r>
    </w:p>
    <w:p>
      <w:pPr>
        <w:pStyle w:val="Compact"/>
        <w:numPr>
          <w:ilvl w:val="0"/>
          <w:numId w:val="1011"/>
        </w:numPr>
      </w:pPr>
      <w:r>
        <w:t xml:space="preserve">controlled or not-yet-packaged materials: any historical manual linkage</w:t>
      </w:r>
      <w:r>
        <w:t xml:space="preserve"> </w:t>
      </w:r>
      <w:r>
        <w:t xml:space="preserve">tables, reviewed geography crosswalks, or joined external-data artifacts</w:t>
      </w:r>
      <w:r>
        <w:t xml:space="preserve"> </w:t>
      </w:r>
      <w:r>
        <w:t xml:space="preserve">referenced only in the later Word draft.</w:t>
      </w:r>
    </w:p>
    <w:bookmarkEnd w:id="49"/>
    <w:bookmarkEnd w:id="50"/>
    <w:bookmarkStart w:id="60" w:name="appendix-b-methodological-details"/>
    <w:p>
      <w:pPr>
        <w:pStyle w:val="Heading1"/>
      </w:pPr>
      <w:r>
        <w:t xml:space="preserve">Appendix B: Methodological Details</w:t>
      </w:r>
    </w:p>
    <w:bookmarkStart w:id="51" w:name="b.1-sem-families-compared-in-the-archive"/>
    <w:p>
      <w:pPr>
        <w:pStyle w:val="Heading2"/>
      </w:pPr>
      <w:r>
        <w:t xml:space="preserve">10.7 B.1 SEM Families Compared In The Archive</w:t>
      </w:r>
    </w:p>
    <w:p>
      <w:pPr>
        <w:pStyle w:val="FirstParagraph"/>
      </w:pPr>
      <w:r>
        <w:t xml:space="preserve">The current Quarto archive compares three classes of SEM specification. In</w:t>
      </w:r>
      <w:r>
        <w:t xml:space="preserve"> </w:t>
      </w:r>
      <w:r>
        <w:t xml:space="preserve">all cases, the measurement model is treated as an exploratory latent summary</w:t>
      </w:r>
      <w:r>
        <w:t xml:space="preserve"> </w:t>
      </w:r>
      <w:r>
        <w:t xml:space="preserve">rather than a confirmed reflective structure. The indicators may function as</w:t>
      </w:r>
      <w:r>
        <w:t xml:space="preserve"> </w:t>
      </w:r>
      <w:r>
        <w:t xml:space="preserve">formative components (determinants of throughput) rather than reflective</w:t>
      </w:r>
      <w:r>
        <w:t xml:space="preserve"> </w:t>
      </w:r>
      <w:r>
        <w:t xml:space="preserve">manifestations (effects of a latent trait), and the specifications adopted</w:t>
      </w:r>
      <w:r>
        <w:t xml:space="preserve"> </w:t>
      </w:r>
      <w:r>
        <w:t xml:space="preserve">here do not distinguish between these alternatives.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full</w:t>
      </w:r>
      <w:r>
        <w:t xml:space="preserve"> </w:t>
      </w:r>
      <w:r>
        <w:t xml:space="preserve">legacy models, which use censored duration and inverse-duration</w:t>
      </w:r>
      <w:r>
        <w:t xml:space="preserve"> </w:t>
      </w:r>
      <w:r>
        <w:t xml:space="preserve">timeliness.</w:t>
      </w:r>
    </w:p>
    <w:p>
      <w:pPr>
        <w:pStyle w:val="Compact"/>
        <w:numPr>
          <w:ilvl w:val="0"/>
          <w:numId w:val="1012"/>
        </w:numPr>
      </w:pPr>
      <w:r>
        <w:t xml:space="preserve">non-circular baseline models such as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, which remove the</w:t>
      </w:r>
      <w:r>
        <w:t xml:space="preserve"> </w:t>
      </w:r>
      <w:r>
        <w:t xml:space="preserve">deterministic overlap between capacity and outcome timing.</w:t>
      </w:r>
    </w:p>
    <w:p>
      <w:pPr>
        <w:pStyle w:val="Compact"/>
        <w:numPr>
          <w:ilvl w:val="0"/>
          <w:numId w:val="1012"/>
        </w:numPr>
      </w:pPr>
      <w:r>
        <w:t xml:space="preserve">alternative indicator models, such as milestone and duration-free</w:t>
      </w:r>
      <w:r>
        <w:t xml:space="preserve"> </w:t>
      </w:r>
      <w:r>
        <w:t xml:space="preserve">variants, used only for sensitivity checks.</w:t>
      </w:r>
    </w:p>
    <w:p>
      <w:pPr>
        <w:pStyle w:val="FirstParagraph"/>
      </w:pPr>
      <w:r>
        <w:t xml:space="preserve">No moderation model is estimated in the reproducible archive. State versus</w:t>
      </w:r>
      <w:r>
        <w:t xml:space="preserve"> </w:t>
      </w:r>
      <w:r>
        <w:t xml:space="preserve">local results are subset comparisons, not interaction tests, multi-group</w:t>
      </w:r>
      <w:r>
        <w:t xml:space="preserve"> </w:t>
      </w:r>
      <w:r>
        <w:t xml:space="preserve">invariance analyses, or moderation estimates.</w:t>
      </w:r>
    </w:p>
    <w:bookmarkEnd w:id="51"/>
    <w:bookmarkStart w:id="52" w:name="Xbcc60f9b6e86f99d3b9aa6a8486fb24e29a071a"/>
    <w:p>
      <w:pPr>
        <w:pStyle w:val="Heading2"/>
      </w:pPr>
      <w:r>
        <w:t xml:space="preserve">10.8 B.2 Legacy Replication Versus Preferred Baseline</w:t>
      </w:r>
    </w:p>
    <w:p>
      <w:pPr>
        <w:pStyle w:val="FirstParagraph"/>
      </w:pPr>
      <w:r>
        <w:t xml:space="preserve">The legacy Kaifa replication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gov_cap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Ratio_disbursed_to_obligated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Ratio_expended_to_disbursed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Timeliness_censored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Duration_censored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Ratio_obligated_funds_fully_expended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Quarter_by_quarter_variance_expended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gov_cap</m:t>
          </m:r>
        </m:oMath>
      </m:oMathPara>
    </w:p>
    <w:p>
      <w:pPr>
        <w:pStyle w:val="FirstParagraph"/>
      </w:pPr>
      <w:r>
        <w:t xml:space="preserve">The preferred baseline for this redraft is the simpler non-circular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gov_cap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Ratio_disbursed_to_obligated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Ratio_expended_to_disbursed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Duration_log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Spending_CV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gov_cap</m:t>
          </m:r>
        </m:oMath>
      </m:oMathPara>
    </w:p>
    <w:p>
      <w:pPr>
        <w:pStyle w:val="FirstParagraph"/>
      </w:pPr>
      <w:r>
        <w:t xml:space="preserve">The baseline is not presented as a well-validated measurement model. It is</w:t>
      </w:r>
      <w:r>
        <w:t xml:space="preserve"> </w:t>
      </w:r>
      <w:r>
        <w:t xml:space="preserve">simply the least problematic archived specification because it avoids the</w:t>
      </w:r>
      <w:r>
        <w:t xml:space="preserve"> </w:t>
      </w:r>
      <w:r>
        <w:t xml:space="preserve">timeliness-duration circularity.</w:t>
      </w:r>
    </w:p>
    <w:bookmarkEnd w:id="52"/>
    <w:bookmarkStart w:id="53" w:name="X34cca4dfff3342d212630fd52abcc242a8c5002"/>
    <w:p>
      <w:pPr>
        <w:pStyle w:val="Heading2"/>
      </w:pPr>
      <w:r>
        <w:t xml:space="preserve">10.9 B.3 Why The Legacy Timing Construction Is Problematic</w:t>
      </w:r>
    </w:p>
    <w:p>
      <w:pPr>
        <w:pStyle w:val="FirstParagraph"/>
      </w:pPr>
      <w:r>
        <w:t xml:space="preserve">The legacy manuscript replication defines: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Duration_censored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Duration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95%completion is observed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N_Quarters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Timeliness_censored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Duration_censored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means a single underlying duration quantity enters the SEM twice: once</w:t>
      </w:r>
      <w:r>
        <w:t xml:space="preserve"> </w:t>
      </w:r>
      <w:r>
        <w:t xml:space="preserve">directly on the outcome factor and once inversely on the capacity factor.</w:t>
      </w:r>
      <w:r>
        <w:t xml:space="preserve"> </w:t>
      </w:r>
      <w:r>
        <w:t xml:space="preserve">That is why the legacy positive path cannot be treated as clean evidence for</w:t>
      </w:r>
      <w:r>
        <w:t xml:space="preserve"> </w:t>
      </w:r>
      <w:r>
        <w:t xml:space="preserve">an underlying capacity effect.</w:t>
      </w:r>
    </w:p>
    <w:bookmarkEnd w:id="53"/>
    <w:bookmarkStart w:id="56" w:name="X89ad66bd8bd3e9dea49b753ad3a7de899937c01"/>
    <w:p>
      <w:pPr>
        <w:pStyle w:val="Heading2"/>
      </w:pPr>
      <w:r>
        <w:t xml:space="preserve">10.10 B.4 Measurement Evidence Available In The Archive</w:t>
      </w:r>
    </w:p>
    <w:p>
      <w:pPr>
        <w:pStyle w:val="FirstParagraph"/>
      </w:pPr>
      <w:r>
        <w:t xml:space="preserve">The archive contains parameter tables for selected specifications, but it</w:t>
      </w:r>
      <w:r>
        <w:t xml:space="preserve"> </w:t>
      </w:r>
      <w:r>
        <w:t xml:space="preserve">does not contain a complete package of residual matrices, construct</w:t>
      </w:r>
      <w:r>
        <w:t xml:space="preserve"> </w:t>
      </w:r>
      <w:r>
        <w:t xml:space="preserve">reliability statistics, or standardized latent-correlation tables for every</w:t>
      </w:r>
      <w:r>
        <w:t xml:space="preserve"> </w:t>
      </w:r>
      <w:r>
        <w:t xml:space="preserve">model in the later Word draft. The current manuscript therefore reports the</w:t>
      </w:r>
      <w:r>
        <w:t xml:space="preserve"> </w:t>
      </w:r>
      <w:r>
        <w:t xml:space="preserve">available evidence transparently and states what is missing.</w:t>
      </w:r>
    </w:p>
    <w:bookmarkStart w:id="54" w:name="X878e457488a1bced9416ca8f2d5fd117839b71e"/>
    <w:p>
      <w:pPr>
        <w:pStyle w:val="Heading3"/>
      </w:pPr>
      <w:r>
        <w:t xml:space="preserve">10.10.1 Baseline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 </w:t>
      </w:r>
      <w:r>
        <w:t xml:space="preserve">Loadings And Structural Path (All Grantees)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recovery_outcome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Ratio_expended_to_disbursed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Spending_CV ~ recovery_outcome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</w:tr>
    </w:tbl>
    <w:bookmarkEnd w:id="54"/>
    <w:bookmarkStart w:id="55" w:name="legacy-kaifa_3x3_full-state-replication"/>
    <w:p>
      <w:pPr>
        <w:pStyle w:val="Heading3"/>
      </w:pPr>
      <w:r>
        <w:t xml:space="preserve">10.10.2 Legacy</w:t>
      </w:r>
      <w:r>
        <w:t xml:space="preserve"> </w:t>
      </w:r>
      <w:r>
        <w:rPr>
          <w:rStyle w:val="VerbatimChar"/>
        </w:rPr>
        <w:t xml:space="preserve">kaifa_3x3_full</w:t>
      </w:r>
      <w:r>
        <w:t xml:space="preserve"> </w:t>
      </w:r>
      <w:r>
        <w:t xml:space="preserve">State Replication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recovery_outcome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Ratio_expended_to_disbursed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Timeliness_censored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Ratio_obligated_funds_fully_expended ~ recovery_outcome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Quarter_by_quarter_variance_expended ~ recovery_outcome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</w:tr>
    </w:tbl>
    <w:p>
      <w:pPr>
        <w:pStyle w:val="BodyText"/>
      </w:pPr>
      <w:r>
        <w:t xml:space="preserve">These tables are enough to show why the legacy result looks strong and why</w:t>
      </w:r>
      <w:r>
        <w:t xml:space="preserve"> </w:t>
      </w:r>
      <w:r>
        <w:t xml:space="preserve">the baseline result does not. They are not enough to claim full construct</w:t>
      </w:r>
      <w:r>
        <w:t xml:space="preserve"> </w:t>
      </w:r>
      <w:r>
        <w:t xml:space="preserve">validation. The missing elements are therefore treated as a methodological</w:t>
      </w:r>
      <w:r>
        <w:t xml:space="preserve"> </w:t>
      </w:r>
      <w:r>
        <w:t xml:space="preserve">limitation, not as information that can be inferred away.</w:t>
      </w:r>
    </w:p>
    <w:p>
      <w:pPr>
        <w:pStyle w:val="BodyText"/>
      </w:pPr>
      <w:r>
        <w:t xml:space="preserve">A rigorous measurement validation would require confirmatory factor analysis</w:t>
      </w:r>
      <w:r>
        <w:t xml:space="preserve"> </w:t>
      </w:r>
      <w:r>
        <w:t xml:space="preserve">on a hold-out sample with adequate power (conventionally N &gt; 200 per group),</w:t>
      </w:r>
      <w:r>
        <w:t xml:space="preserve"> </w:t>
      </w:r>
      <w:r>
        <w:t xml:space="preserve">comparison of reflective versus formative specifications using MIMIC or</w:t>
      </w:r>
      <w:r>
        <w:t xml:space="preserve"> </w:t>
      </w:r>
      <w:r>
        <w:t xml:space="preserve">PLS-SEM, and convergent and discriminant validity testing against external</w:t>
      </w:r>
      <w:r>
        <w:t xml:space="preserve"> </w:t>
      </w:r>
      <w:r>
        <w:t xml:space="preserve">indicators such as staffing levels or prior program experience. None of</w:t>
      </w:r>
      <w:r>
        <w:t xml:space="preserve"> </w:t>
      </w:r>
      <w:r>
        <w:t xml:space="preserve">these steps were feasible given the available complete-case samples (N = 40</w:t>
      </w:r>
      <w:r>
        <w:t xml:space="preserve"> </w:t>
      </w:r>
      <w:r>
        <w:t xml:space="preserve">overall, N = 23 state, N = 17 local).</w:t>
      </w:r>
    </w:p>
    <w:bookmarkEnd w:id="55"/>
    <w:bookmarkEnd w:id="56"/>
    <w:bookmarkStart w:id="57" w:name="b.5-fit-interpretation"/>
    <w:p>
      <w:pPr>
        <w:pStyle w:val="Heading2"/>
      </w:pPr>
      <w:r>
        <w:t xml:space="preserve">10.11 B.5 Fit Interpretation</w:t>
      </w:r>
    </w:p>
    <w:p>
      <w:pPr>
        <w:pStyle w:val="FirstParagraph"/>
      </w:pPr>
      <w:r>
        <w:t xml:space="preserve">Fit indices are reported exactly as archived, but they are interpreted with</w:t>
      </w:r>
      <w:r>
        <w:t xml:space="preserve"> </w:t>
      </w:r>
      <w:r>
        <w:t xml:space="preserve">two cautions.</w:t>
      </w:r>
    </w:p>
    <w:p>
      <w:pPr>
        <w:pStyle w:val="Compact"/>
        <w:numPr>
          <w:ilvl w:val="0"/>
          <w:numId w:val="1013"/>
        </w:numPr>
      </w:pPr>
      <w:r>
        <w:t xml:space="preserve">Very small SEM samples with low degrees of freedom can produce unstable or</w:t>
      </w:r>
      <w:r>
        <w:t xml:space="preserve"> </w:t>
      </w:r>
      <w:r>
        <w:t xml:space="preserve">non-intuitive fit values, including CFI or TLI estimates above 1.</w:t>
      </w:r>
    </w:p>
    <w:p>
      <w:pPr>
        <w:pStyle w:val="Compact"/>
        <w:numPr>
          <w:ilvl w:val="0"/>
          <w:numId w:val="1013"/>
        </w:numPr>
      </w:pPr>
      <w:r>
        <w:t xml:space="preserve">No model in the current archive satisfies a clean combination of strong</w:t>
      </w:r>
      <w:r>
        <w:t xml:space="preserve"> </w:t>
      </w:r>
      <w:r>
        <w:t xml:space="preserve">incremental fit, acceptable absolute fit, and conceptually non-overlapping</w:t>
      </w:r>
      <w:r>
        <w:t xml:space="preserve"> </w:t>
      </w:r>
      <w:r>
        <w:t xml:space="preserve">indicators.</w:t>
      </w:r>
    </w:p>
    <w:p>
      <w:pPr>
        <w:pStyle w:val="FirstParagraph"/>
      </w:pPr>
      <w:r>
        <w:t xml:space="preserve">For that reason, the redraft does not declare a single preferred confirmatory</w:t>
      </w:r>
      <w:r>
        <w:t xml:space="preserve"> </w:t>
      </w:r>
      <w:r>
        <w:t xml:space="preserve">measurement model. It instead uses the comparison table to document the</w:t>
      </w:r>
      <w:r>
        <w:t xml:space="preserve"> </w:t>
      </w:r>
      <w:r>
        <w:t xml:space="preserve">tradeoffs across archived specifications.</w:t>
      </w:r>
    </w:p>
    <w:bookmarkEnd w:id="57"/>
    <w:bookmarkStart w:id="58" w:name="Xbac23eed1de6b52e24de66c68ffa0ed5a61503d"/>
    <w:p>
      <w:pPr>
        <w:pStyle w:val="Heading2"/>
      </w:pPr>
      <w:r>
        <w:t xml:space="preserve">10.12 B.6 Metrics Excluded From The Current Redraft</w:t>
      </w:r>
    </w:p>
    <w:p>
      <w:pPr>
        <w:pStyle w:val="FirstParagraph"/>
      </w:pPr>
      <w:r>
        <w:t xml:space="preserve">The later Word draft introduced administrative gap measures and a Recovery</w:t>
      </w:r>
      <w:r>
        <w:t xml:space="preserve"> </w:t>
      </w:r>
      <w:r>
        <w:t xml:space="preserve">Governance Risk Index. Those metrics are not interpreted in the current</w:t>
      </w:r>
      <w:r>
        <w:t xml:space="preserve"> </w:t>
      </w:r>
      <w:r>
        <w:t xml:space="preserve">Quarto redraft because the repository does not contain a fully reproducible</w:t>
      </w:r>
      <w:r>
        <w:t xml:space="preserve"> </w:t>
      </w:r>
      <w:r>
        <w:t xml:space="preserve">set of equations, weights, and sensitivity tables for that extension. The</w:t>
      </w:r>
      <w:r>
        <w:t xml:space="preserve"> </w:t>
      </w:r>
      <w:r>
        <w:t xml:space="preserve">review concern is handled by removing unsupported metric claims from the</w:t>
      </w:r>
      <w:r>
        <w:t xml:space="preserve"> </w:t>
      </w:r>
      <w:r>
        <w:t xml:space="preserve">current manuscript rather than by reverse-engineering unverified formulas.</w:t>
      </w:r>
    </w:p>
    <w:bookmarkEnd w:id="58"/>
    <w:bookmarkStart w:id="59" w:name="b.7-interpretation-rule"/>
    <w:p>
      <w:pPr>
        <w:pStyle w:val="Heading2"/>
      </w:pPr>
      <w:r>
        <w:t xml:space="preserve">10.13 B.7 Interpretation Rule</w:t>
      </w:r>
    </w:p>
    <w:p>
      <w:pPr>
        <w:pStyle w:val="FirstParagraph"/>
      </w:pPr>
      <w:r>
        <w:t xml:space="preserve">All throughput-outcome relationships in this manuscript are interpreted as</w:t>
      </w:r>
      <w:r>
        <w:t xml:space="preserve"> </w:t>
      </w:r>
      <w:r>
        <w:t xml:space="preserve">associational and exploratory. The manuscript does not claim moderation,</w:t>
      </w:r>
      <w:r>
        <w:t xml:space="preserve"> </w:t>
      </w:r>
      <w:r>
        <w:t xml:space="preserve">causal identification, or stable state-versus-local effect heterogeneity.</w:t>
      </w:r>
    </w:p>
    <w:bookmarkEnd w:id="59"/>
    <w:bookmarkEnd w:id="60"/>
    <w:bookmarkStart w:id="66" w:name="appendix-c-robustness-and-audit-tables"/>
    <w:p>
      <w:pPr>
        <w:pStyle w:val="Heading1"/>
      </w:pPr>
      <w:r>
        <w:t xml:space="preserve">Appendix C: Robustness And Audit Tables</w:t>
      </w:r>
    </w:p>
    <w:bookmarkStart w:id="61" w:name="c.1-archived-specification-comparison"/>
    <w:p>
      <w:pPr>
        <w:pStyle w:val="Heading2"/>
      </w:pPr>
      <w:r>
        <w:t xml:space="preserve">10.14 C.1 Archived Specification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improved_3x3_progress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</w:tbl>
    <w:bookmarkEnd w:id="61"/>
    <w:bookmarkStart w:id="62" w:name="c.2-archived-subset-comparison"/>
    <w:p>
      <w:pPr>
        <w:pStyle w:val="Heading2"/>
      </w:pPr>
      <w:r>
        <w:t xml:space="preserve">10.15 C.2 Archived Subset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p>
      <w:pPr>
        <w:pStyle w:val="BodyText"/>
      </w:pPr>
      <w:r>
        <w:t xml:space="preserve">The subset table is retained only as a sensitivity check. The fit values are</w:t>
      </w:r>
      <w:r>
        <w:t xml:space="preserve"> </w:t>
      </w:r>
      <w:r>
        <w:t xml:space="preserve">too unstable for strong inference, and the sample sizes are too small to</w:t>
      </w:r>
      <w:r>
        <w:t xml:space="preserve"> </w:t>
      </w:r>
      <w:r>
        <w:t xml:space="preserve">support a formal state-versus-local comparison.</w:t>
      </w:r>
    </w:p>
    <w:bookmarkEnd w:id="62"/>
    <w:bookmarkStart w:id="63" w:name="c.3-alternative-outcome-specifications"/>
    <w:p>
      <w:pPr>
        <w:pStyle w:val="Heading2"/>
      </w:pPr>
      <w:r>
        <w:t xml:space="preserve">10.16 C.3 Alternative Outcome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milestone_time_to_50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milestone_time_to_50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milestone_time_to_50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milestone_progress_rate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milestone_velocity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</w:tr>
    </w:tbl>
    <w:p>
      <w:pPr>
        <w:pStyle w:val="BodyText"/>
      </w:pPr>
      <w:r>
        <w:t xml:space="preserve">Across the alternative designs, the non-circular SEMs remain</w:t>
      </w:r>
      <w:r>
        <w:t xml:space="preserve"> </w:t>
      </w:r>
      <w:r>
        <w:t xml:space="preserve">non-significant. Expanding the sample through duration-free or</w:t>
      </w:r>
      <w:r>
        <w:t xml:space="preserve"> </w:t>
      </w:r>
      <w:r>
        <w:t xml:space="preserve">milestone-based outcomes does not recover a stable positive throughput effect.</w:t>
      </w:r>
    </w:p>
    <w:bookmarkEnd w:id="63"/>
    <w:bookmarkStart w:id="64" w:name="c.4-outlier-and-preprocessing-note"/>
    <w:p>
      <w:pPr>
        <w:pStyle w:val="Heading2"/>
      </w:pPr>
      <w:r>
        <w:t xml:space="preserve">10.17 C.4 Outlier And Preprocessing Note</w:t>
      </w:r>
    </w:p>
    <w:p>
      <w:pPr>
        <w:pStyle w:val="FirstParagraph"/>
      </w:pPr>
      <w:r>
        <w:t xml:space="preserve">The current archive documents winsorization or trimming of extreme ratio</w:t>
      </w:r>
      <w:r>
        <w:t xml:space="preserve"> </w:t>
      </w:r>
      <w:r>
        <w:t xml:space="preserve">values in preprocessing, but it does not contain a manuscript-specific table</w:t>
      </w:r>
      <w:r>
        <w:t xml:space="preserve"> </w:t>
      </w:r>
      <w:r>
        <w:t xml:space="preserve">that cleanly reconstructs an additional outlier-removal robustness pass from</w:t>
      </w:r>
      <w:r>
        <w:t xml:space="preserve"> </w:t>
      </w:r>
      <w:r>
        <w:t xml:space="preserve">the later Word draft. For transparency, the redraft does not claim a</w:t>
      </w:r>
      <w:r>
        <w:t xml:space="preserve"> </w:t>
      </w:r>
      <w:r>
        <w:t xml:space="preserve">separate outlier-deletion result. The reader should treat the archived</w:t>
      </w:r>
      <w:r>
        <w:t xml:space="preserve"> </w:t>
      </w:r>
      <w:r>
        <w:t xml:space="preserve">robustness evidence as limited to the specification, subset, and alternative</w:t>
      </w:r>
      <w:r>
        <w:t xml:space="preserve"> </w:t>
      </w:r>
      <w:r>
        <w:t xml:space="preserve">outcome tables reported here.</w:t>
      </w:r>
    </w:p>
    <w:bookmarkEnd w:id="64"/>
    <w:bookmarkStart w:id="65" w:name="c.5-robustness-conclusion"/>
    <w:p>
      <w:pPr>
        <w:pStyle w:val="Heading2"/>
      </w:pPr>
      <w:r>
        <w:t xml:space="preserve">10.18 C.5 Robustness Conclusion</w:t>
      </w:r>
    </w:p>
    <w:p>
      <w:pPr>
        <w:pStyle w:val="FirstParagraph"/>
      </w:pPr>
      <w:r>
        <w:t xml:space="preserve">The robustness archive points in one direction. The large positive SEM path</w:t>
      </w:r>
      <w:r>
        <w:t xml:space="preserve"> </w:t>
      </w:r>
      <w:r>
        <w:t xml:space="preserve">appears only in the legacy censored-duration replication. Once the timing</w:t>
      </w:r>
      <w:r>
        <w:t xml:space="preserve"> </w:t>
      </w:r>
      <w:r>
        <w:t xml:space="preserve">overlap is removed or the outcome is redefined, the structural path is no</w:t>
      </w:r>
      <w:r>
        <w:t xml:space="preserve"> </w:t>
      </w:r>
      <w:r>
        <w:t xml:space="preserve">longer statistically persuasive.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Administrative Throughput and Disaster Recovery Timeliness: An Exploratory Cross-Sectional SEM Assessment of CDBG-DR Fund Management</dc:title>
  <dc:creator>Kai-Fa Lu; Jesse Andrews; Ali Nejat</dc:creator>
  <cp:keywords/>
  <dcterms:created xsi:type="dcterms:W3CDTF">2026-04-11T16:50:31Z</dcterms:created>
  <dcterms:modified xsi:type="dcterms:W3CDTF">2026-04-11T16:50:31Z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csl/apa.csl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