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8752C58" w:rsidP="15159F2C" w:rsidRDefault="68752C58" w14:paraId="3F507F88" w14:textId="03CE4C62">
      <w:pPr>
        <w:pStyle w:val="Normal"/>
        <w:suppressLineNumbers w:val="0"/>
        <w:spacing w:before="0" w:beforeAutospacing="off" w:after="160" w:afterAutospacing="off" w:line="278" w:lineRule="auto"/>
        <w:ind w:left="0" w:right="0" w:hanging="0"/>
        <w:jc w:val="center"/>
        <w:rPr>
          <w:rFonts w:ascii="Aptos" w:hAnsi="Aptos" w:eastAsia="Aptos" w:cs="Aptos"/>
          <w:b w:val="1"/>
          <w:bCs w:val="1"/>
          <w:noProof w:val="0"/>
          <w:sz w:val="24"/>
          <w:szCs w:val="24"/>
          <w:lang w:val="en-US"/>
        </w:rPr>
      </w:pPr>
      <w:r w:rsidRPr="11FE34A5" w:rsidR="68752C58">
        <w:rPr>
          <w:rFonts w:ascii="Aptos" w:hAnsi="Aptos" w:eastAsia="Aptos" w:cs="Aptos"/>
          <w:b w:val="1"/>
          <w:bCs w:val="1"/>
          <w:noProof w:val="0"/>
          <w:sz w:val="24"/>
          <w:szCs w:val="24"/>
          <w:lang w:val="en-US"/>
        </w:rPr>
        <w:t>State and Loca</w:t>
      </w:r>
      <w:r w:rsidRPr="11FE34A5" w:rsidR="3CCE64F6">
        <w:rPr>
          <w:rFonts w:ascii="Aptos" w:hAnsi="Aptos" w:eastAsia="Aptos" w:cs="Aptos"/>
          <w:b w:val="1"/>
          <w:bCs w:val="1"/>
          <w:noProof w:val="0"/>
          <w:sz w:val="24"/>
          <w:szCs w:val="24"/>
          <w:lang w:val="en-US"/>
        </w:rPr>
        <w:t xml:space="preserve">l </w:t>
      </w:r>
      <w:r w:rsidRPr="11FE34A5" w:rsidR="68752C58">
        <w:rPr>
          <w:rFonts w:ascii="Aptos" w:hAnsi="Aptos" w:eastAsia="Aptos" w:cs="Aptos"/>
          <w:b w:val="1"/>
          <w:bCs w:val="1"/>
          <w:noProof w:val="0"/>
          <w:sz w:val="24"/>
          <w:szCs w:val="24"/>
          <w:lang w:val="en-US"/>
        </w:rPr>
        <w:t>Governmental Capacit</w:t>
      </w:r>
      <w:r w:rsidRPr="11FE34A5" w:rsidR="341417F7">
        <w:rPr>
          <w:rFonts w:ascii="Aptos" w:hAnsi="Aptos" w:eastAsia="Aptos" w:cs="Aptos"/>
          <w:b w:val="1"/>
          <w:bCs w:val="1"/>
          <w:noProof w:val="0"/>
          <w:sz w:val="24"/>
          <w:szCs w:val="24"/>
          <w:lang w:val="en-US"/>
        </w:rPr>
        <w:t>y</w:t>
      </w:r>
      <w:r w:rsidRPr="11FE34A5" w:rsidR="68752C58">
        <w:rPr>
          <w:rFonts w:ascii="Aptos" w:hAnsi="Aptos" w:eastAsia="Aptos" w:cs="Aptos"/>
          <w:b w:val="1"/>
          <w:bCs w:val="1"/>
          <w:noProof w:val="0"/>
          <w:sz w:val="24"/>
          <w:szCs w:val="24"/>
          <w:lang w:val="en-US"/>
        </w:rPr>
        <w:t xml:space="preserve"> in Disaster Recovery: </w:t>
      </w:r>
      <w:r w:rsidRPr="11FE34A5" w:rsidR="6E57E1F4">
        <w:rPr>
          <w:rFonts w:ascii="Aptos" w:hAnsi="Aptos" w:eastAsia="Aptos" w:cs="Aptos"/>
          <w:b w:val="1"/>
          <w:bCs w:val="1"/>
          <w:noProof w:val="0"/>
          <w:sz w:val="24"/>
          <w:szCs w:val="24"/>
          <w:lang w:val="en-US"/>
        </w:rPr>
        <w:t>E</w:t>
      </w:r>
      <w:r w:rsidRPr="11FE34A5" w:rsidR="68752C58">
        <w:rPr>
          <w:rFonts w:ascii="Aptos" w:hAnsi="Aptos" w:eastAsia="Aptos" w:cs="Aptos"/>
          <w:b w:val="1"/>
          <w:bCs w:val="1"/>
          <w:noProof w:val="0"/>
          <w:sz w:val="24"/>
          <w:szCs w:val="24"/>
          <w:lang w:val="en-US"/>
        </w:rPr>
        <w:t>vidence from CDBG-DR</w:t>
      </w:r>
    </w:p>
    <w:p w:rsidR="180FBEDF" w:rsidP="6F4EC395" w:rsidRDefault="180FBEDF" w14:paraId="4CDD9736" w14:textId="1BA9AC4B">
      <w:pPr>
        <w:spacing w:before="0" w:beforeAutospacing="off" w:after="160" w:afterAutospacing="off" w:line="278" w:lineRule="auto"/>
        <w:ind w:left="0" w:right="0" w:hanging="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Kai-Fa Lu </w:t>
      </w: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Jesse Andrews </w:t>
      </w: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Ali Nejat </w:t>
      </w: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p>
    <w:p w:rsidR="180FBEDF" w:rsidP="6F4EC395" w:rsidRDefault="180FBEDF" w14:paraId="74D1E2E2" w14:textId="786B013E">
      <w:pPr>
        <w:spacing w:before="0" w:beforeAutospacing="off" w:after="160" w:afterAutospacing="off" w:line="278"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4EC395" w:rsidR="60B4D98D">
        <w:rPr>
          <w:rFonts w:ascii="Aptos" w:hAnsi="Aptos" w:eastAsia="Aptos" w:cs="Aptos"/>
          <w:b w:val="0"/>
          <w:bCs w:val="0"/>
          <w:i w:val="0"/>
          <w:iCs w:val="0"/>
          <w:caps w:val="0"/>
          <w:smallCaps w:val="0"/>
          <w:noProof w:val="0"/>
          <w:color w:val="000000" w:themeColor="text1" w:themeTint="FF" w:themeShade="FF"/>
          <w:sz w:val="24"/>
          <w:szCs w:val="24"/>
          <w:lang w:val="en-US"/>
        </w:rPr>
        <w:t xml:space="preserve">CECREH: </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Cente</w:t>
      </w:r>
      <w:r w:rsidRPr="6F4EC395" w:rsidR="63DA2A2F">
        <w:rPr>
          <w:rFonts w:ascii="Aptos" w:hAnsi="Aptos" w:eastAsia="Aptos" w:cs="Aptos"/>
          <w:b w:val="0"/>
          <w:bCs w:val="0"/>
          <w:i w:val="0"/>
          <w:iCs w:val="0"/>
          <w:caps w:val="0"/>
          <w:smallCaps w:val="0"/>
          <w:noProof w:val="0"/>
          <w:color w:val="000000" w:themeColor="text1" w:themeTint="FF" w:themeShade="FF"/>
          <w:sz w:val="24"/>
          <w:szCs w:val="24"/>
          <w:lang w:val="en-US"/>
        </w:rPr>
        <w:t>r</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of Excellence in Capacity-building fo</w:t>
      </w:r>
      <w:r w:rsidRPr="6F4EC395" w:rsidR="7D719158">
        <w:rPr>
          <w:rFonts w:ascii="Aptos" w:hAnsi="Aptos" w:eastAsia="Aptos" w:cs="Aptos"/>
          <w:b w:val="0"/>
          <w:bCs w:val="0"/>
          <w:i w:val="0"/>
          <w:iCs w:val="0"/>
          <w:caps w:val="0"/>
          <w:smallCaps w:val="0"/>
          <w:noProof w:val="0"/>
          <w:color w:val="000000" w:themeColor="text1" w:themeTint="FF" w:themeShade="FF"/>
          <w:sz w:val="24"/>
          <w:szCs w:val="24"/>
          <w:lang w:val="en-US"/>
        </w:rPr>
        <w:t>r</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REsilient</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Housing, Department of Civil, Environ</w:t>
      </w:r>
      <w:r w:rsidRPr="6F4EC395" w:rsidR="1B4D9C6E">
        <w:rPr>
          <w:rFonts w:ascii="Aptos" w:hAnsi="Aptos" w:eastAsia="Aptos" w:cs="Aptos"/>
          <w:b w:val="0"/>
          <w:bCs w:val="0"/>
          <w:i w:val="0"/>
          <w:iCs w:val="0"/>
          <w:caps w:val="0"/>
          <w:smallCaps w:val="0"/>
          <w:noProof w:val="0"/>
          <w:color w:val="000000" w:themeColor="text1" w:themeTint="FF" w:themeShade="FF"/>
          <w:sz w:val="24"/>
          <w:szCs w:val="24"/>
          <w:lang w:val="en-US"/>
        </w:rPr>
        <w:t>m</w:t>
      </w:r>
      <w:r w:rsidRPr="6F4EC395" w:rsidR="3E6A0F0B">
        <w:rPr>
          <w:rFonts w:ascii="Aptos" w:hAnsi="Aptos" w:eastAsia="Aptos" w:cs="Aptos"/>
          <w:b w:val="0"/>
          <w:bCs w:val="0"/>
          <w:i w:val="0"/>
          <w:iCs w:val="0"/>
          <w:caps w:val="0"/>
          <w:smallCaps w:val="0"/>
          <w:noProof w:val="0"/>
          <w:color w:val="000000" w:themeColor="text1" w:themeTint="FF" w:themeShade="FF"/>
          <w:sz w:val="24"/>
          <w:szCs w:val="24"/>
          <w:lang w:val="en-US"/>
        </w:rPr>
        <w:t>e</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nta</w:t>
      </w:r>
      <w:r w:rsidRPr="6F4EC395" w:rsidR="02B8BA81">
        <w:rPr>
          <w:rFonts w:ascii="Aptos" w:hAnsi="Aptos" w:eastAsia="Aptos" w:cs="Aptos"/>
          <w:b w:val="0"/>
          <w:bCs w:val="0"/>
          <w:i w:val="0"/>
          <w:iCs w:val="0"/>
          <w:caps w:val="0"/>
          <w:smallCaps w:val="0"/>
          <w:noProof w:val="0"/>
          <w:color w:val="000000" w:themeColor="text1" w:themeTint="FF" w:themeShade="FF"/>
          <w:sz w:val="24"/>
          <w:szCs w:val="24"/>
          <w:lang w:val="en-US"/>
        </w:rPr>
        <w:t>l</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and Construction Engineering, Texas Tech University, Lubbock, TX, 79409, US</w:t>
      </w:r>
      <w:r w:rsidRPr="6F4EC395" w:rsidR="5E105EC9">
        <w:rPr>
          <w:rFonts w:ascii="Aptos" w:hAnsi="Aptos" w:eastAsia="Aptos" w:cs="Aptos"/>
          <w:b w:val="0"/>
          <w:bCs w:val="0"/>
          <w:i w:val="0"/>
          <w:iCs w:val="0"/>
          <w:caps w:val="0"/>
          <w:smallCaps w:val="0"/>
          <w:noProof w:val="0"/>
          <w:color w:val="000000" w:themeColor="text1" w:themeTint="FF" w:themeShade="FF"/>
          <w:sz w:val="24"/>
          <w:szCs w:val="24"/>
          <w:lang w:val="en-US"/>
        </w:rPr>
        <w:t>A</w:t>
      </w:r>
    </w:p>
    <w:p w:rsidR="180FBEDF" w:rsidP="0FA9DDF5" w:rsidRDefault="180FBEDF" w14:paraId="252B7A64" w14:textId="2CBFE4DC">
      <w:r/>
    </w:p>
    <w:p w:rsidR="180FBEDF" w:rsidP="0FA9DDF5" w:rsidRDefault="180FBEDF" w14:paraId="2F2FDC4F" w14:textId="53EE962C">
      <w:pPr>
        <w:pStyle w:val="Normal"/>
        <w:spacing w:before="0" w:beforeAutospacing="off" w:after="160" w:afterAutospacing="off" w:line="278"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80FBEDF">
        <w:rPr>
          <w:rFonts w:ascii="Aptos" w:hAnsi="Aptos" w:eastAsia="Aptos" w:cs="Aptos"/>
          <w:b w:val="1"/>
          <w:bCs w:val="1"/>
          <w:i w:val="0"/>
          <w:iCs w:val="0"/>
          <w:caps w:val="0"/>
          <w:smallCaps w:val="0"/>
          <w:noProof w:val="0"/>
          <w:color w:val="000000" w:themeColor="text1" w:themeTint="FF" w:themeShade="FF"/>
          <w:sz w:val="24"/>
          <w:szCs w:val="24"/>
          <w:lang w:val="en-US"/>
        </w:rPr>
        <w:t>Abstract:</w:t>
      </w:r>
    </w:p>
    <w:p w:rsidR="180FBEDF" w:rsidP="0FA9DDF5" w:rsidRDefault="180FBEDF" w14:paraId="12B88818" w14:textId="18CF558D">
      <w:pPr>
        <w:pStyle w:val="Normal"/>
        <w:suppressLineNumbers w:val="0"/>
        <w:bidi w:val="0"/>
        <w:spacing w:before="0" w:beforeAutospacing="off" w:after="160" w:afterAutospacing="off" w:line="276"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t>This study analyzes 573 cross-sectional administering-jurisdiction profiles (30 state agencies and 543 county-linked local jurisdictions) constructed from HUD DRGR/QPR disaster-recovery records spanning disasters from 2003 through 2023. Linked QCEW staffing and payroll proxies, population measures, and CDC/ATSDR social vulnerability indicators are used in one-factor and two-factor structural equation models that summarize administrative resources, workload manageability, recovery performance, and recovery timeliness. The most consistent pattern in the preferred two-factor model is that more manageable workload conditions are associated with faster Recovery Timeliness (standardized beta = 0.266, p &lt; 0.001). By contrast, the broader Recovery Performance construct is weaker and more heterogeneous, and staffing/payroll intensity alone is not a robust positive correlate of it. Minority/language vulnerability is negatively associated with the performance construct, while socioeconomic and household composition/disability vulnerability are negatively associated with timeliness. These findings suggest that CDBG-DR administration depends not only on resource levels but on whether staffing is proportionate to program and disaster workload. Because the analysis pools jurisdictions across disaster cohorts and policy periods and relies on indirect staffing proxies, the results should be interpreted as exploratory pooled associations rather than causal effects.</w:t>
      </w:r>
    </w:p>
    <w:p w:rsidR="180FBEDF" w:rsidP="0FA9DDF5" w:rsidRDefault="180FBEDF" w14:paraId="30FD0CA9" w14:textId="3E4F4D5C">
      <w:pPr>
        <w:pStyle w:val="Normal"/>
        <w:spacing w:before="0" w:beforeAutospacing="off" w:after="16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634CAC45">
        <w:rPr>
          <w:rFonts w:ascii="Aptos" w:hAnsi="Aptos" w:eastAsia="Aptos" w:cs="Aptos"/>
          <w:b w:val="1"/>
          <w:bCs w:val="1"/>
          <w:i w:val="0"/>
          <w:iCs w:val="0"/>
          <w:caps w:val="0"/>
          <w:smallCaps w:val="0"/>
          <w:noProof w:val="0"/>
          <w:color w:val="000000" w:themeColor="text1" w:themeTint="FF" w:themeShade="FF"/>
          <w:sz w:val="24"/>
          <w:szCs w:val="24"/>
          <w:lang w:val="en-US"/>
        </w:rPr>
        <w:t>Keywords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Disaster recovery; Governmental capacity; Administrative burden; Social vulnerability; Structural </w:t>
      </w:r>
      <w:r w:rsidRPr="0FA9DDF5" w:rsidR="7F608012">
        <w:rPr>
          <w:rFonts w:ascii="Aptos" w:hAnsi="Aptos" w:eastAsia="Aptos" w:cs="Aptos"/>
          <w:b w:val="0"/>
          <w:bCs w:val="0"/>
          <w:i w:val="0"/>
          <w:iCs w:val="0"/>
          <w:caps w:val="0"/>
          <w:smallCaps w:val="0"/>
          <w:noProof w:val="0"/>
          <w:color w:val="000000" w:themeColor="text1" w:themeTint="FF" w:themeShade="FF"/>
          <w:sz w:val="24"/>
          <w:szCs w:val="24"/>
          <w:lang w:val="en-US"/>
        </w:rPr>
        <w:t>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quation </w:t>
      </w:r>
      <w:r w:rsidRPr="0FA9DDF5" w:rsidR="67C6FAF8">
        <w:rPr>
          <w:rFonts w:ascii="Aptos" w:hAnsi="Aptos" w:eastAsia="Aptos" w:cs="Aptos"/>
          <w:b w:val="0"/>
          <w:bCs w:val="0"/>
          <w:i w:val="0"/>
          <w:iCs w:val="0"/>
          <w:caps w:val="0"/>
          <w:smallCaps w:val="0"/>
          <w:noProof w:val="0"/>
          <w:color w:val="000000" w:themeColor="text1" w:themeTint="FF" w:themeShade="FF"/>
          <w:sz w:val="24"/>
          <w:szCs w:val="24"/>
          <w:lang w:val="en-US"/>
        </w:rPr>
        <w:t>M</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odeling (SEM)</w:t>
      </w:r>
    </w:p>
    <w:p w:rsidR="180FBEDF" w:rsidP="41D8F452" w:rsidRDefault="180FBEDF" w14:paraId="27B96B1C" w14:textId="7F407815">
      <w:r/>
    </w:p>
    <w:p w:rsidR="15159F2C" w:rsidRDefault="15159F2C" w14:paraId="71F71707" w14:textId="48125E9B">
      <w:r/>
    </w:p>
    <w:p w:rsidR="64695413" w:rsidP="15159F2C" w:rsidRDefault="64695413" w14:paraId="2405D4CA" w14:textId="56332FCB">
      <w:pPr>
        <w:pStyle w:val="Normal"/>
        <w:suppressLineNumbers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15159F2C" w:rsidR="64695413">
        <w:rPr>
          <w:rFonts w:ascii="Aptos" w:hAnsi="Aptos" w:eastAsia="Aptos" w:cs="Aptos"/>
          <w:b w:val="1"/>
          <w:bCs w:val="1"/>
          <w:noProof w:val="0"/>
          <w:sz w:val="24"/>
          <w:szCs w:val="24"/>
          <w:lang w:val="en-US"/>
        </w:rPr>
        <w:t xml:space="preserve">1. </w:t>
      </w:r>
      <w:r w:rsidRPr="15159F2C" w:rsidR="0CECEE93">
        <w:rPr>
          <w:rFonts w:ascii="Aptos" w:hAnsi="Aptos" w:eastAsia="Aptos" w:cs="Aptos"/>
          <w:b w:val="1"/>
          <w:bCs w:val="1"/>
          <w:noProof w:val="0"/>
          <w:sz w:val="24"/>
          <w:szCs w:val="24"/>
          <w:lang w:val="en-US"/>
        </w:rPr>
        <w:t>Introduction</w:t>
      </w:r>
    </w:p>
    <w:p w:rsidR="0CECEE93" w:rsidP="0FA9DDF5" w:rsidRDefault="0CECEE93" w14:paraId="5CD8FCDB" w14:textId="7EA21933">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0FA9DDF5" w:rsidR="715E0B61">
        <w:rPr>
          <w:rFonts w:ascii="Aptos" w:hAnsi="Aptos" w:eastAsia="Aptos" w:cs="Aptos"/>
          <w:b w:val="0"/>
          <w:bCs w:val="0"/>
          <w:i w:val="0"/>
          <w:iCs w:val="0"/>
          <w:caps w:val="0"/>
          <w:smallCaps w:val="0"/>
          <w:noProof w:val="0"/>
          <w:color w:val="000000" w:themeColor="text1" w:themeTint="FF" w:themeShade="FF"/>
          <w:sz w:val="24"/>
          <w:szCs w:val="24"/>
          <w:lang w:val="en-US"/>
        </w:rPr>
        <w:t>effective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administration of disaste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r rec</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overy funds</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 xml:space="preserve"> from the </w:t>
      </w:r>
      <w:r w:rsidRPr="0FA9DDF5" w:rsidR="5201699B">
        <w:rPr>
          <w:rFonts w:ascii="Aptos" w:hAnsi="Aptos" w:eastAsia="Aptos" w:cs="Aptos"/>
          <w:b w:val="0"/>
          <w:bCs w:val="0"/>
          <w:i w:val="0"/>
          <w:iCs w:val="0"/>
          <w:caps w:val="0"/>
          <w:smallCaps w:val="0"/>
          <w:noProof w:val="0"/>
          <w:color w:val="000000" w:themeColor="text1" w:themeTint="FF" w:themeShade="FF"/>
          <w:sz w:val="24"/>
          <w:szCs w:val="24"/>
          <w:lang w:val="en-US"/>
        </w:rPr>
        <w:t xml:space="preserve">U.S. </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Departme</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n</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t of Hou</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 xml:space="preserve">sing and Urban Development </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 xml:space="preserve">(HUD) across </w:t>
      </w:r>
      <w:r w:rsidRPr="0FA9DDF5" w:rsidR="4CAC7BE1">
        <w:rPr>
          <w:rFonts w:ascii="Aptos" w:hAnsi="Aptos" w:eastAsia="Aptos" w:cs="Aptos"/>
          <w:b w:val="0"/>
          <w:bCs w:val="0"/>
          <w:i w:val="0"/>
          <w:iCs w:val="0"/>
          <w:caps w:val="0"/>
          <w:smallCaps w:val="0"/>
          <w:noProof w:val="0"/>
          <w:color w:val="000000" w:themeColor="text1" w:themeTint="FF" w:themeShade="FF"/>
          <w:sz w:val="24"/>
          <w:szCs w:val="24"/>
          <w:lang w:val="en-US"/>
        </w:rPr>
        <w:t>a</w:t>
      </w:r>
      <w:r w:rsidRPr="0FA9DDF5" w:rsidR="4CAC7BE1">
        <w:rPr>
          <w:rFonts w:ascii="Aptos" w:hAnsi="Aptos" w:eastAsia="Aptos" w:cs="Aptos"/>
          <w:b w:val="0"/>
          <w:bCs w:val="0"/>
          <w:i w:val="0"/>
          <w:iCs w:val="0"/>
          <w:caps w:val="0"/>
          <w:smallCaps w:val="0"/>
          <w:noProof w:val="0"/>
          <w:color w:val="000000" w:themeColor="text1" w:themeTint="FF" w:themeShade="FF"/>
          <w:sz w:val="24"/>
          <w:szCs w:val="24"/>
          <w:lang w:val="en-US"/>
        </w:rPr>
        <w:t xml:space="preserve">ffected </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is central to advancing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equitable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timely</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community recovery. In the United States, the Community Development Block Grant</w:t>
      </w:r>
      <w:r w:rsidRPr="0FA9DDF5" w:rsidR="439A7C0A">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Disaster Recovery (CDBG-DR) program has become one of the largest and most flexible sources of long-term recovery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assistance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following major disaster declarations</w:t>
      </w:r>
      <w:r w:rsidRPr="0FA9DDF5" w:rsidR="448202E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054F05E6">
        <w:rPr>
          <w:rFonts w:ascii="Aptos" w:hAnsi="Aptos" w:eastAsia="Aptos" w:cs="Aptos"/>
          <w:b w:val="0"/>
          <w:bCs w:val="0"/>
          <w:i w:val="0"/>
          <w:iCs w:val="0"/>
          <w:caps w:val="0"/>
          <w:smallCaps w:val="0"/>
          <w:noProof w:val="0"/>
          <w:color w:val="000000" w:themeColor="text1" w:themeTint="FF" w:themeShade="FF"/>
          <w:sz w:val="24"/>
          <w:szCs w:val="24"/>
          <w:lang w:val="en-US"/>
        </w:rPr>
        <w:t>Costa et al., 2026</w:t>
      </w:r>
      <w:r w:rsidRPr="0FA9DDF5" w:rsidR="448202E6">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Yet despite its national importance, the pace at which grantees </w:t>
      </w:r>
      <w:r w:rsidRPr="0FA9DDF5" w:rsidR="714FC5AA">
        <w:rPr>
          <w:rFonts w:ascii="Aptos" w:hAnsi="Aptos" w:eastAsia="Aptos" w:cs="Aptos"/>
          <w:b w:val="0"/>
          <w:bCs w:val="0"/>
          <w:i w:val="0"/>
          <w:iCs w:val="0"/>
          <w:caps w:val="0"/>
          <w:smallCaps w:val="0"/>
          <w:noProof w:val="0"/>
          <w:color w:val="000000" w:themeColor="text1" w:themeTint="FF" w:themeShade="FF"/>
          <w:sz w:val="24"/>
          <w:szCs w:val="24"/>
          <w:lang w:val="en-US"/>
        </w:rPr>
        <w:t xml:space="preserve">(e.g.,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states, counties, </w:t>
      </w:r>
      <w:r w:rsidRPr="0FA9DDF5" w:rsidR="3ED34707">
        <w:rPr>
          <w:rFonts w:ascii="Aptos" w:hAnsi="Aptos" w:eastAsia="Aptos" w:cs="Aptos"/>
          <w:b w:val="0"/>
          <w:bCs w:val="0"/>
          <w:i w:val="0"/>
          <w:iCs w:val="0"/>
          <w:caps w:val="0"/>
          <w:smallCaps w:val="0"/>
          <w:noProof w:val="0"/>
          <w:color w:val="000000" w:themeColor="text1" w:themeTint="FF" w:themeShade="FF"/>
          <w:sz w:val="24"/>
          <w:szCs w:val="24"/>
          <w:lang w:val="en-US"/>
        </w:rPr>
        <w:t xml:space="preserve">and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cities</w:t>
      </w:r>
      <w:r w:rsidRPr="0FA9DDF5" w:rsidR="233D0998">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obligate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disburse, and expend CDBG-DR funds varies markedly across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and disaster events. Slow or inconsistent financial performance has been repeatedly linked to delayed housing reconstruction, prolonged displacement, uneven economic recovery, and persistent inequities for low-income households and historically marginalized communities (</w:t>
      </w:r>
      <w:r w:rsidRPr="0FA9DDF5" w:rsidR="1AED94A0">
        <w:rPr>
          <w:rFonts w:ascii="Aptos" w:hAnsi="Aptos" w:eastAsia="Aptos" w:cs="Aptos"/>
          <w:b w:val="0"/>
          <w:bCs w:val="0"/>
          <w:i w:val="0"/>
          <w:iCs w:val="0"/>
          <w:caps w:val="0"/>
          <w:smallCaps w:val="0"/>
          <w:noProof w:val="0"/>
          <w:color w:val="000000" w:themeColor="text1" w:themeTint="FF" w:themeShade="FF"/>
          <w:sz w:val="24"/>
          <w:szCs w:val="24"/>
          <w:lang w:val="en-US"/>
        </w:rPr>
        <w:t>Rouhanizadeh</w:t>
      </w:r>
      <w:r w:rsidRPr="0FA9DDF5" w:rsidR="1AED94A0">
        <w:rPr>
          <w:rFonts w:ascii="Aptos" w:hAnsi="Aptos" w:eastAsia="Aptos" w:cs="Aptos"/>
          <w:b w:val="0"/>
          <w:bCs w:val="0"/>
          <w:i w:val="0"/>
          <w:iCs w:val="0"/>
          <w:caps w:val="0"/>
          <w:smallCaps w:val="0"/>
          <w:noProof w:val="0"/>
          <w:color w:val="000000" w:themeColor="text1" w:themeTint="FF" w:themeShade="FF"/>
          <w:sz w:val="24"/>
          <w:szCs w:val="24"/>
          <w:lang w:val="en-US"/>
        </w:rPr>
        <w:t xml:space="preserve"> et al.</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20</w:t>
      </w:r>
      <w:r w:rsidRPr="0FA9DDF5" w:rsidR="0AC3C95C">
        <w:rPr>
          <w:rFonts w:ascii="Aptos" w:hAnsi="Aptos" w:eastAsia="Aptos" w:cs="Aptos"/>
          <w:b w:val="0"/>
          <w:bCs w:val="0"/>
          <w:i w:val="0"/>
          <w:iCs w:val="0"/>
          <w:caps w:val="0"/>
          <w:smallCaps w:val="0"/>
          <w:noProof w:val="0"/>
          <w:color w:val="000000" w:themeColor="text1" w:themeTint="FF" w:themeShade="FF"/>
          <w:sz w:val="24"/>
          <w:szCs w:val="24"/>
          <w:lang w:val="en-US"/>
        </w:rPr>
        <w:t>20</w:t>
      </w:r>
      <w:r w:rsidRPr="0FA9DDF5" w:rsidR="654909F2">
        <w:rPr>
          <w:rFonts w:ascii="Aptos" w:hAnsi="Aptos" w:eastAsia="Aptos" w:cs="Aptos"/>
          <w:b w:val="0"/>
          <w:bCs w:val="0"/>
          <w:i w:val="0"/>
          <w:iCs w:val="0"/>
          <w:caps w:val="0"/>
          <w:smallCaps w:val="0"/>
          <w:noProof w:val="0"/>
          <w:color w:val="000000" w:themeColor="text1" w:themeTint="FF" w:themeShade="FF"/>
          <w:sz w:val="24"/>
          <w:szCs w:val="24"/>
          <w:lang w:val="en-US"/>
        </w:rPr>
        <w:t xml:space="preserve"> &amp; 2022</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4BEBFBC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582F677" w:rsidP="0FA9DDF5" w:rsidRDefault="2582F677" w14:paraId="3C3ECBDE" w14:textId="1EE13BCF">
      <w:pPr>
        <w:pStyle w:val="Normal"/>
        <w:suppressLineNumbers w:val="0"/>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A key factor influencing financial performance and program outcomes is the capacity of grantees to administer CDBG-DR funds (Miao et al., 2025). However, governmental capacity </w:t>
      </w:r>
      <w:bookmarkStart w:name="_Int_WOJNLVAj" w:id="710823745"/>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in</w:t>
      </w:r>
      <w:bookmarkEnd w:id="710823745"/>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disaster recovery is inherently difficult to measure directly. Prior studies have often relied on single-period financial indicators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Cevik</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&amp; Huang, 2018;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Dzigbede</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2020; Lindsay, 2014) or case-based assessments (Hamideh, 2015; Rosas et al., 2021), which limit the ability to compare capacity across time,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and disaster contexts. The Quarterly Performance Reports (QPRs)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submitted</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through HUD’s Disaster Recovery Grant Reporting (DRGR) system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provide</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a valuable opportunity to develop comprehensive and comparable indicators of capacity. These reports consistently record quarterly obligated, disbursed, and expended amounts for each grantee and activity, generating rich panel data that enable systematic evaluation of financial performance and program timeliness. Nevertheless, raw financial measures alone cannot fully capture the multidimensional nature of governmental capacity in disaster recovery, which reflects the combined effects of administrative resources, administrative burden capacity, and recovery </w:t>
      </w:r>
      <w:r w:rsidRPr="0FA9DDF5" w:rsidR="7AEF5B82">
        <w:rPr>
          <w:rFonts w:ascii="Aptos" w:hAnsi="Aptos" w:eastAsia="Aptos" w:cs="Aptos"/>
          <w:b w:val="0"/>
          <w:bCs w:val="0"/>
          <w:i w:val="0"/>
          <w:iCs w:val="0"/>
          <w:caps w:val="0"/>
          <w:smallCaps w:val="0"/>
          <w:noProof w:val="0"/>
          <w:color w:val="000000" w:themeColor="text1" w:themeTint="FF" w:themeShade="FF"/>
          <w:sz w:val="24"/>
          <w:szCs w:val="24"/>
          <w:lang w:val="en-US"/>
        </w:rPr>
        <w:t>outcomes</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Kusumasari</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2010).</w:t>
      </w:r>
    </w:p>
    <w:p w:rsidR="6680DA1D" w:rsidP="0FA9DDF5" w:rsidRDefault="6680DA1D" w14:paraId="477488DB" w14:textId="45B7F54E">
      <w:pPr>
        <w:pStyle w:val="Normal"/>
        <w:suppressLineNumbers w:val="0"/>
        <w:bidi w:val="0"/>
        <w:spacing w:before="0" w:beforeAutospacing="off" w:after="160" w:afterAutospacing="off" w:line="278"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FA9DDF5" w:rsidR="6680DA1D">
        <w:rPr>
          <w:rFonts w:ascii="Aptos" w:hAnsi="Aptos" w:eastAsia="Aptos" w:cs="Aptos"/>
          <w:b w:val="0"/>
          <w:bCs w:val="0"/>
          <w:i w:val="0"/>
          <w:iCs w:val="0"/>
          <w:caps w:val="0"/>
          <w:smallCaps w:val="0"/>
          <w:noProof w:val="0"/>
          <w:color w:val="000000" w:themeColor="text1" w:themeTint="FF" w:themeShade="FF"/>
          <w:sz w:val="24"/>
          <w:szCs w:val="24"/>
          <w:lang w:val="en-US"/>
        </w:rPr>
        <w:t>Therefore, this research aims to answer the following research questions:</w:t>
      </w:r>
      <w:r w:rsidRPr="0FA9DDF5" w:rsidR="12BD4D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FA9DDF5" w:rsidR="6840660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p>
    <w:p w:rsidR="53BB62F3" w:rsidP="0FA9DDF5" w:rsidRDefault="53BB62F3" w14:paraId="3E93CAA2" w14:textId="1ADD48B2">
      <w:pPr>
        <w:pStyle w:val="ListParagraph"/>
        <w:numPr>
          <w:ilvl w:val="0"/>
          <w:numId w:val="25"/>
        </w:numPr>
        <w:bidi w:val="0"/>
        <w:spacing w:before="0" w:beforeAutospacing="off" w:after="160" w:afterAutospacing="off" w:line="278"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FA9DDF5" w:rsidR="53BB62F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How can state and local governmental capacity to administer CDBG-DR funds be conceptualized, operationalized, and empirically measured? </w:t>
      </w:r>
    </w:p>
    <w:p w:rsidR="53BB62F3" w:rsidP="0FA9DDF5" w:rsidRDefault="53BB62F3" w14:paraId="4F2EE3F3" w14:textId="34AFB16B">
      <w:pPr>
        <w:pStyle w:val="ListParagraph"/>
        <w:numPr>
          <w:ilvl w:val="0"/>
          <w:numId w:val="25"/>
        </w:numPr>
        <w:bidi w:val="0"/>
        <w:rPr>
          <w:sz w:val="24"/>
          <w:szCs w:val="24"/>
        </w:rPr>
      </w:pPr>
      <w:r>
        <w:rPr/>
        <w:t>How is variation in state and local governmental capacity associated with disaster recovery program outcomes, and which institutional, socioeconomic, and programmatic conditions covary with recovery performance and timeliness?</w:t>
      </w:r>
    </w:p>
    <w:p w:rsidR="53BB62F3" w:rsidP="0FA9DDF5" w:rsidRDefault="53BB62F3" w14:paraId="2BF477BE" w14:textId="3420CDB4">
      <w:pPr>
        <w:pStyle w:val="ListParagraph"/>
        <w:numPr>
          <w:ilvl w:val="0"/>
          <w:numId w:val="25"/>
        </w:numPr>
        <w:bidi w:val="0"/>
        <w:rPr>
          <w:sz w:val="24"/>
          <w:szCs w:val="24"/>
        </w:rPr>
      </w:pPr>
      <w:r>
        <w:rPr/>
        <w:t>How do secondary descriptive spatial summaries illustrate where workload manageability, recovery timeliness, and contextual vulnerability coincide across counties and state-administered recovery systems?</w:t>
      </w:r>
    </w:p>
    <w:p w:rsidR="49F67DA0" w:rsidP="0FA9DDF5" w:rsidRDefault="49F67DA0" w14:paraId="4842FA1A" w14:textId="417DAE8F">
      <w:pPr>
        <w:pStyle w:val="Normal"/>
        <w:bidi w:val="0"/>
        <w:ind w:left="0"/>
        <w:rPr>
          <w:sz w:val="24"/>
          <w:szCs w:val="24"/>
        </w:rPr>
      </w:pPr>
      <w:r>
        <w:rPr>
          <w:sz w:val="304800"/>
        </w:rPr>
        <w:t>To address these questions, this study develops a cross-sectional Structural Equation Modeling (SEM) framework to conceptualize, measure, and compare state and local governmental capacity in administering CDBG-DR funds and implementing disaster recovery programs. Using administering-jurisdiction profiles constructed from quarterly QPR records and linked contextual covariates, the SEM is used as an exploratory latent-summary framework rather than as proof that every indicator is a fully validated reflective manifestation of a single underlying trait. This design does not estimate causal effects or formal moderation. Instead, state-versus-local status, jurisdiction size, and social vulnerability enter the SEM as observed covariates, while the spatial sections provide descriptive context for the core measurement and structural results.</w:t>
      </w:r>
    </w:p>
    <w:p w:rsidR="49F67DA0" w:rsidP="0FA9DDF5" w:rsidRDefault="49F67DA0" w14:paraId="6685C634" w14:textId="4E7107E5">
      <w:pPr>
        <w:pStyle w:val="Normal"/>
        <w:bidi w:val="0"/>
        <w:ind w:left="0"/>
      </w:pPr>
      <w:r>
        <w:rPr>
          <w:sz w:val="304800"/>
        </w:rPr>
        <w:t>This approach advances the literature in three bounded ways. First, it operationalizes governmental capacity in CDBG-DR administration using both resource indicators and workload-manageability indicators rather than a single throughput ratio. Second, it compares a one-factor and a two-factor SEM so that the measurement tradeoffs are visible instead of being hidden behind a single preferred specification. Third, it treats the SEM as the article's core evidence and uses spatial summaries only as supplementary descriptive illustrations.</w:t>
      </w:r>
    </w:p>
    <w:p w:rsidR="0CECEE93" w:rsidP="15159F2C" w:rsidRDefault="0CECEE93" w14:paraId="0B245D01" w14:textId="04927554">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5159F2C" w:rsidR="0CECEE9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2. Literature Review</w:t>
      </w:r>
    </w:p>
    <w:p w:rsidR="0CECEE93" w:rsidP="0FA9DDF5" w:rsidRDefault="0CECEE93" w14:paraId="5BC72A1F" w14:textId="27CCCB13">
      <w:pPr>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2.1</w:t>
      </w:r>
      <w:r w:rsidRPr="0FA9DDF5" w:rsidR="4E98CED5">
        <w:rPr>
          <w:rFonts w:ascii="Aptos" w:hAnsi="Aptos" w:eastAsia="Aptos" w:cs="Aptos"/>
          <w:b w:val="1"/>
          <w:bCs w:val="1"/>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588FED15">
        <w:rPr>
          <w:rFonts w:ascii="Aptos" w:hAnsi="Aptos" w:eastAsia="Aptos" w:cs="Aptos"/>
          <w:b w:val="1"/>
          <w:bCs w:val="1"/>
          <w:i w:val="0"/>
          <w:iCs w:val="0"/>
          <w:caps w:val="0"/>
          <w:smallCaps w:val="0"/>
          <w:noProof w:val="0"/>
          <w:color w:val="000000" w:themeColor="text1" w:themeTint="FF" w:themeShade="FF"/>
          <w:sz w:val="24"/>
          <w:szCs w:val="24"/>
          <w:lang w:val="en-US"/>
        </w:rPr>
        <w:t>Institutional c</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ontext</w:t>
      </w:r>
      <w:r w:rsidRPr="0FA9DDF5" w:rsidR="791CF48B">
        <w:rPr>
          <w:rFonts w:ascii="Aptos" w:hAnsi="Aptos" w:eastAsia="Aptos" w:cs="Aptos"/>
          <w:b w:val="1"/>
          <w:bCs w:val="1"/>
          <w:i w:val="0"/>
          <w:iCs w:val="0"/>
          <w:caps w:val="0"/>
          <w:smallCaps w:val="0"/>
          <w:noProof w:val="0"/>
          <w:color w:val="000000" w:themeColor="text1" w:themeTint="FF" w:themeShade="FF"/>
          <w:sz w:val="24"/>
          <w:szCs w:val="24"/>
          <w:lang w:val="en-US"/>
        </w:rPr>
        <w:t xml:space="preserve"> of</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 CDBG-DR</w:t>
      </w:r>
      <w:r w:rsidRPr="0FA9DDF5" w:rsidR="263B9447">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administration and </w:t>
      </w:r>
      <w:r w:rsidRPr="0FA9DDF5" w:rsidR="167FFAD4">
        <w:rPr>
          <w:rFonts w:ascii="Aptos" w:hAnsi="Aptos" w:eastAsia="Aptos" w:cs="Aptos"/>
          <w:b w:val="1"/>
          <w:bCs w:val="1"/>
          <w:i w:val="0"/>
          <w:iCs w:val="0"/>
          <w:caps w:val="0"/>
          <w:smallCaps w:val="0"/>
          <w:noProof w:val="0"/>
          <w:color w:val="000000" w:themeColor="text1" w:themeTint="FF" w:themeShade="FF"/>
          <w:sz w:val="24"/>
          <w:szCs w:val="24"/>
          <w:lang w:val="en-US"/>
        </w:rPr>
        <w:t xml:space="preserve">implementation </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performance</w:t>
      </w:r>
    </w:p>
    <w:p w:rsidR="0CECEE93" w:rsidP="0FA9DDF5" w:rsidRDefault="0CECEE93" w14:paraId="33A547DE" w14:textId="7052CD80">
      <w:pPr>
        <w:pStyle w:val="Normal"/>
        <w:suppressLineNumbers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 xml:space="preserve">CDBG-DR funding has expanded </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substantially over</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 xml:space="preserve"> the past two decades, </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allocating</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 xml:space="preserve"> billions of dollars in response to major hurricanes, floods, wildfires, and other disasters</w:t>
      </w:r>
      <w:r w:rsidRPr="0FA9DDF5" w:rsidR="566959BB">
        <w:rPr>
          <w:rFonts w:ascii="Aptos" w:hAnsi="Aptos" w:eastAsia="Aptos" w:cs="Aptos"/>
          <w:b w:val="0"/>
          <w:bCs w:val="0"/>
          <w:i w:val="0"/>
          <w:iCs w:val="0"/>
          <w:caps w:val="0"/>
          <w:smallCaps w:val="0"/>
          <w:noProof w:val="0"/>
          <w:color w:val="000000" w:themeColor="text1" w:themeTint="FF" w:themeShade="FF"/>
          <w:sz w:val="24"/>
          <w:szCs w:val="24"/>
          <w:lang w:val="en-US"/>
        </w:rPr>
        <w:t xml:space="preserve"> (Costa et al., </w:t>
      </w:r>
      <w:r w:rsidRPr="0FA9DDF5" w:rsidR="566959BB">
        <w:rPr>
          <w:rFonts w:ascii="Aptos" w:hAnsi="Aptos" w:eastAsia="Aptos" w:cs="Aptos"/>
          <w:b w:val="0"/>
          <w:bCs w:val="0"/>
          <w:i w:val="0"/>
          <w:iCs w:val="0"/>
          <w:caps w:val="0"/>
          <w:smallCaps w:val="0"/>
          <w:noProof w:val="0"/>
          <w:color w:val="000000" w:themeColor="text1" w:themeTint="FF" w:themeShade="FF"/>
          <w:sz w:val="24"/>
          <w:szCs w:val="24"/>
          <w:lang w:val="en-US"/>
        </w:rPr>
        <w:t>2026</w:t>
      </w:r>
      <w:r w:rsidRPr="0FA9DDF5" w:rsidR="566959BB">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 xml:space="preserve">As a </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block</w:t>
      </w:r>
      <w:r w:rsidRPr="0FA9DDF5" w:rsidR="5678866C">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 xml:space="preserve">grant program, CDBG-DR provides grantees with considerable flexibility in designing and implementing recovery programs. However, this flexibility also introduces significant administrative burden, particularly in ensuring that funds are obligated, disbursed, and </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expended</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 xml:space="preserve"> efficiently and in compliance with federal requirements. Numerous evaluations have documented persistent delays in grant implementation, including challenges related to procurement processes, environmental reviews, and program start-up activities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54AB1EC2">
        <w:rPr>
          <w:rFonts w:ascii="Aptos" w:hAnsi="Aptos" w:eastAsia="Aptos" w:cs="Aptos"/>
          <w:b w:val="0"/>
          <w:bCs w:val="0"/>
          <w:i w:val="0"/>
          <w:iCs w:val="0"/>
          <w:caps w:val="0"/>
          <w:smallCaps w:val="0"/>
          <w:noProof w:val="0"/>
          <w:color w:val="000000" w:themeColor="text1" w:themeTint="FF" w:themeShade="FF"/>
          <w:sz w:val="24"/>
          <w:szCs w:val="24"/>
          <w:lang w:val="en-US"/>
        </w:rPr>
        <w:t xml:space="preserve">Costa et al., 2026; Martín, 2018; </w:t>
      </w:r>
      <w:r w:rsidRPr="0FA9DDF5" w:rsidR="6DEBD6A2">
        <w:rPr>
          <w:rFonts w:ascii="Aptos" w:hAnsi="Aptos" w:eastAsia="Aptos" w:cs="Aptos"/>
          <w:b w:val="0"/>
          <w:bCs w:val="0"/>
          <w:i w:val="0"/>
          <w:iCs w:val="0"/>
          <w:caps w:val="0"/>
          <w:smallCaps w:val="0"/>
          <w:noProof w:val="0"/>
          <w:color w:val="000000" w:themeColor="text1" w:themeTint="FF" w:themeShade="FF"/>
          <w:sz w:val="24"/>
          <w:szCs w:val="24"/>
          <w:lang w:val="en-US"/>
        </w:rPr>
        <w:t xml:space="preserve">Miao et al., 2025; </w:t>
      </w:r>
      <w:r w:rsidRPr="0FA9DDF5" w:rsidR="6183D345">
        <w:rPr>
          <w:rFonts w:ascii="Aptos" w:hAnsi="Aptos" w:eastAsia="Aptos" w:cs="Aptos"/>
          <w:b w:val="0"/>
          <w:bCs w:val="0"/>
          <w:i w:val="0"/>
          <w:iCs w:val="0"/>
          <w:caps w:val="0"/>
          <w:smallCaps w:val="0"/>
          <w:noProof w:val="0"/>
          <w:color w:val="000000" w:themeColor="text1" w:themeTint="FF" w:themeShade="FF"/>
          <w:sz w:val="24"/>
          <w:szCs w:val="24"/>
          <w:lang w:val="en-US"/>
        </w:rPr>
        <w:t>U.S. Department of Housing and Urban Development, 2026</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4D45795B">
        <w:rPr>
          <w:rFonts w:ascii="Aptos" w:hAnsi="Aptos" w:eastAsia="Aptos" w:cs="Aptos"/>
          <w:b w:val="0"/>
          <w:bCs w:val="0"/>
          <w:i w:val="0"/>
          <w:iCs w:val="0"/>
          <w:caps w:val="0"/>
          <w:smallCaps w:val="0"/>
          <w:noProof w:val="0"/>
          <w:color w:val="000000" w:themeColor="text1" w:themeTint="FF" w:themeShade="FF"/>
          <w:sz w:val="24"/>
          <w:szCs w:val="24"/>
          <w:lang w:val="en-US"/>
        </w:rPr>
        <w:t>Additionally, g</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rantees</w:t>
      </w:r>
      <w:r w:rsidRPr="0FA9DDF5" w:rsidR="1B263CA4">
        <w:rPr>
          <w:rFonts w:ascii="Aptos" w:hAnsi="Aptos" w:eastAsia="Aptos" w:cs="Aptos"/>
          <w:b w:val="0"/>
          <w:bCs w:val="0"/>
          <w:i w:val="0"/>
          <w:iCs w:val="0"/>
          <w:caps w:val="0"/>
          <w:smallCaps w:val="0"/>
          <w:noProof w:val="0"/>
          <w:color w:val="000000" w:themeColor="text1" w:themeTint="FF" w:themeShade="FF"/>
          <w:sz w:val="24"/>
          <w:szCs w:val="24"/>
          <w:lang w:val="en-US"/>
        </w:rPr>
        <w:t xml:space="preserve"> or governments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149DC5FF">
        <w:rPr>
          <w:rFonts w:ascii="Aptos" w:hAnsi="Aptos" w:eastAsia="Aptos" w:cs="Aptos"/>
          <w:b w:val="0"/>
          <w:bCs w:val="0"/>
          <w:i w:val="0"/>
          <w:iCs w:val="0"/>
          <w:caps w:val="0"/>
          <w:smallCaps w:val="0"/>
          <w:noProof w:val="0"/>
          <w:color w:val="000000" w:themeColor="text1" w:themeTint="FF" w:themeShade="FF"/>
          <w:sz w:val="24"/>
          <w:szCs w:val="24"/>
          <w:lang w:val="en-US"/>
        </w:rPr>
        <w:t xml:space="preserve">vary </w:t>
      </w:r>
      <w:r w:rsidRPr="0FA9DDF5" w:rsidR="149DC5FF">
        <w:rPr>
          <w:rFonts w:ascii="Aptos" w:hAnsi="Aptos" w:eastAsia="Aptos" w:cs="Aptos"/>
          <w:b w:val="0"/>
          <w:bCs w:val="0"/>
          <w:i w:val="0"/>
          <w:iCs w:val="0"/>
          <w:caps w:val="0"/>
          <w:smallCaps w:val="0"/>
          <w:noProof w:val="0"/>
          <w:color w:val="000000" w:themeColor="text1" w:themeTint="FF" w:themeShade="FF"/>
          <w:sz w:val="24"/>
          <w:szCs w:val="24"/>
          <w:lang w:val="en-US"/>
        </w:rPr>
        <w:t>substantially in</w:t>
      </w:r>
      <w:r w:rsidRPr="0FA9DDF5" w:rsidR="149DC5FF">
        <w:rPr>
          <w:rFonts w:ascii="Aptos" w:hAnsi="Aptos" w:eastAsia="Aptos" w:cs="Aptos"/>
          <w:b w:val="0"/>
          <w:bCs w:val="0"/>
          <w:i w:val="0"/>
          <w:iCs w:val="0"/>
          <w:caps w:val="0"/>
          <w:smallCaps w:val="0"/>
          <w:noProof w:val="0"/>
          <w:color w:val="000000" w:themeColor="text1" w:themeTint="FF" w:themeShade="FF"/>
          <w:sz w:val="24"/>
          <w:szCs w:val="24"/>
          <w:lang w:val="en-US"/>
        </w:rPr>
        <w:t xml:space="preserve"> their prior experience with disaster recovery programs, staffing capacity, and administrative procedures – factors that can significantly influence the timeliness and effectiveness of fund deployment and program implementation</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45C59423">
        <w:rPr>
          <w:rFonts w:ascii="Aptos" w:hAnsi="Aptos" w:eastAsia="Aptos" w:cs="Aptos"/>
          <w:b w:val="0"/>
          <w:bCs w:val="0"/>
          <w:i w:val="0"/>
          <w:iCs w:val="0"/>
          <w:caps w:val="0"/>
          <w:smallCaps w:val="0"/>
          <w:noProof w:val="0"/>
          <w:color w:val="000000" w:themeColor="text1" w:themeTint="FF" w:themeShade="FF"/>
          <w:sz w:val="24"/>
          <w:szCs w:val="24"/>
          <w:lang w:val="en-US"/>
        </w:rPr>
        <w:t>Martin</w:t>
      </w:r>
      <w:r w:rsidRPr="0FA9DDF5" w:rsidR="1F3413C9">
        <w:rPr>
          <w:rFonts w:ascii="Aptos" w:hAnsi="Aptos" w:eastAsia="Aptos" w:cs="Aptos"/>
          <w:b w:val="0"/>
          <w:bCs w:val="0"/>
          <w:i w:val="0"/>
          <w:iCs w:val="0"/>
          <w:caps w:val="0"/>
          <w:smallCaps w:val="0"/>
          <w:noProof w:val="0"/>
          <w:color w:val="000000" w:themeColor="text1" w:themeTint="FF" w:themeShade="FF"/>
          <w:sz w:val="24"/>
          <w:szCs w:val="24"/>
          <w:lang w:val="en-US"/>
        </w:rPr>
        <w:t xml:space="preserve"> et al.</w:t>
      </w:r>
      <w:r w:rsidRPr="0FA9DDF5" w:rsidR="2E635D50">
        <w:rPr>
          <w:rFonts w:ascii="Aptos" w:hAnsi="Aptos" w:eastAsia="Aptos" w:cs="Aptos"/>
          <w:b w:val="0"/>
          <w:bCs w:val="0"/>
          <w:i w:val="0"/>
          <w:iCs w:val="0"/>
          <w:caps w:val="0"/>
          <w:smallCaps w:val="0"/>
          <w:noProof w:val="0"/>
          <w:color w:val="000000" w:themeColor="text1" w:themeTint="FF" w:themeShade="FF"/>
          <w:sz w:val="24"/>
          <w:szCs w:val="24"/>
          <w:lang w:val="en-US"/>
        </w:rPr>
        <w:t>, 20</w:t>
      </w:r>
      <w:r w:rsidRPr="0FA9DDF5" w:rsidR="71C5422E">
        <w:rPr>
          <w:rFonts w:ascii="Aptos" w:hAnsi="Aptos" w:eastAsia="Aptos" w:cs="Aptos"/>
          <w:b w:val="0"/>
          <w:bCs w:val="0"/>
          <w:i w:val="0"/>
          <w:iCs w:val="0"/>
          <w:caps w:val="0"/>
          <w:smallCaps w:val="0"/>
          <w:noProof w:val="0"/>
          <w:color w:val="000000" w:themeColor="text1" w:themeTint="FF" w:themeShade="FF"/>
          <w:sz w:val="24"/>
          <w:szCs w:val="24"/>
          <w:lang w:val="en-US"/>
        </w:rPr>
        <w:t>22</w:t>
      </w:r>
      <w:r w:rsidRPr="0FA9DDF5" w:rsidR="2E635D5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795C6F5D">
        <w:rPr>
          <w:rFonts w:ascii="Aptos" w:hAnsi="Aptos" w:eastAsia="Aptos" w:cs="Aptos"/>
          <w:b w:val="0"/>
          <w:bCs w:val="0"/>
          <w:i w:val="0"/>
          <w:iCs w:val="0"/>
          <w:caps w:val="0"/>
          <w:smallCaps w:val="0"/>
          <w:noProof w:val="0"/>
          <w:color w:val="000000" w:themeColor="text1" w:themeTint="FF" w:themeShade="FF"/>
          <w:sz w:val="24"/>
          <w:szCs w:val="24"/>
          <w:lang w:val="en-US"/>
        </w:rPr>
        <w:t xml:space="preserve">Melendez, 2020; </w:t>
      </w:r>
      <w:r w:rsidRPr="0FA9DDF5" w:rsidR="1F47B32B">
        <w:rPr>
          <w:rFonts w:ascii="Aptos" w:hAnsi="Aptos" w:eastAsia="Aptos" w:cs="Aptos"/>
          <w:b w:val="0"/>
          <w:bCs w:val="0"/>
          <w:i w:val="0"/>
          <w:iCs w:val="0"/>
          <w:caps w:val="0"/>
          <w:smallCaps w:val="0"/>
          <w:noProof w:val="0"/>
          <w:color w:val="000000" w:themeColor="text1" w:themeTint="FF" w:themeShade="FF"/>
          <w:sz w:val="24"/>
          <w:szCs w:val="24"/>
          <w:lang w:val="en-US"/>
        </w:rPr>
        <w:t>Van Niekerk et al.</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201</w:t>
      </w:r>
      <w:r w:rsidRPr="0FA9DDF5" w:rsidR="30D3DFAC">
        <w:rPr>
          <w:rFonts w:ascii="Aptos" w:hAnsi="Aptos" w:eastAsia="Aptos" w:cs="Aptos"/>
          <w:b w:val="0"/>
          <w:bCs w:val="0"/>
          <w:i w:val="0"/>
          <w:iCs w:val="0"/>
          <w:caps w:val="0"/>
          <w:smallCaps w:val="0"/>
          <w:noProof w:val="0"/>
          <w:color w:val="000000" w:themeColor="text1" w:themeTint="FF" w:themeShade="FF"/>
          <w:sz w:val="24"/>
          <w:szCs w:val="24"/>
          <w:lang w:val="en-US"/>
        </w:rPr>
        <w:t>8</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w:t>
      </w:r>
    </w:p>
    <w:p w:rsidR="0CECEE93" w:rsidP="0FA9DDF5" w:rsidRDefault="0CECEE93" w14:paraId="1C317805" w14:textId="16101707">
      <w:pPr>
        <w:pStyle w:val="Normal"/>
        <w:suppressLineNumbers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 xml:space="preserve">Despite the growing scale and importance of CDBG-DR funding, </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relatively limited</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 xml:space="preserve"> research has systematically measured grantees’ governmental capacity or examined its role in shaping fund administration and program implementation. One major challenge is the historical lack of comprehensive, structured datasets that enable consistent analysis of CDBG-DR fund deployment. Although HUD requires quarterly reporting through the DRGR system via </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QPR</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s, which document obligated, disbursed, and expended amounts by grantee, activity, and reporting period, these data have not yet been widely leveraged by auditors, HUD practitioners, or researchers to model the latent dimensions or underlying determinants of administrative capacity.</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45CDC3D7">
        <w:rPr>
          <w:rFonts w:ascii="Aptos" w:hAnsi="Aptos" w:eastAsia="Aptos" w:cs="Aptos"/>
          <w:b w:val="0"/>
          <w:bCs w:val="0"/>
          <w:i w:val="0"/>
          <w:iCs w:val="0"/>
          <w:caps w:val="0"/>
          <w:smallCaps w:val="0"/>
          <w:noProof w:val="0"/>
          <w:color w:val="000000" w:themeColor="text1" w:themeTint="FF" w:themeShade="FF"/>
          <w:sz w:val="24"/>
          <w:szCs w:val="24"/>
          <w:lang w:val="en-US"/>
        </w:rPr>
        <w:t xml:space="preserve">Instead, </w:t>
      </w:r>
      <w:r w:rsidRPr="0FA9DDF5" w:rsidR="30B18793">
        <w:rPr>
          <w:rFonts w:ascii="Aptos" w:hAnsi="Aptos" w:eastAsia="Aptos" w:cs="Aptos"/>
          <w:b w:val="0"/>
          <w:bCs w:val="0"/>
          <w:i w:val="0"/>
          <w:iCs w:val="0"/>
          <w:caps w:val="0"/>
          <w:smallCaps w:val="0"/>
          <w:noProof w:val="0"/>
          <w:color w:val="000000" w:themeColor="text1" w:themeTint="FF" w:themeShade="FF"/>
          <w:sz w:val="24"/>
          <w:szCs w:val="24"/>
          <w:lang w:val="en-US"/>
        </w:rPr>
        <w:t xml:space="preserve">prior studies have </w:t>
      </w:r>
      <w:r w:rsidRPr="0FA9DDF5" w:rsidR="30B18793">
        <w:rPr>
          <w:rFonts w:ascii="Aptos" w:hAnsi="Aptos" w:eastAsia="Aptos" w:cs="Aptos"/>
          <w:b w:val="0"/>
          <w:bCs w:val="0"/>
          <w:i w:val="0"/>
          <w:iCs w:val="0"/>
          <w:caps w:val="0"/>
          <w:smallCaps w:val="0"/>
          <w:noProof w:val="0"/>
          <w:color w:val="000000" w:themeColor="text1" w:themeTint="FF" w:themeShade="FF"/>
          <w:sz w:val="24"/>
          <w:szCs w:val="24"/>
          <w:lang w:val="en-US"/>
        </w:rPr>
        <w:t>generally relied</w:t>
      </w:r>
      <w:r w:rsidRPr="0FA9DDF5" w:rsidR="30B18793">
        <w:rPr>
          <w:rFonts w:ascii="Aptos" w:hAnsi="Aptos" w:eastAsia="Aptos" w:cs="Aptos"/>
          <w:b w:val="0"/>
          <w:bCs w:val="0"/>
          <w:i w:val="0"/>
          <w:iCs w:val="0"/>
          <w:caps w:val="0"/>
          <w:smallCaps w:val="0"/>
          <w:noProof w:val="0"/>
          <w:color w:val="000000" w:themeColor="text1" w:themeTint="FF" w:themeShade="FF"/>
          <w:sz w:val="24"/>
          <w:szCs w:val="24"/>
          <w:lang w:val="en-US"/>
        </w:rPr>
        <w:t xml:space="preserve"> on descriptive summaries or aggregate comparisons to evaluate financial performance</w:t>
      </w:r>
      <w:r w:rsidRPr="0FA9DDF5" w:rsidR="1038D506">
        <w:rPr>
          <w:rFonts w:ascii="Aptos" w:hAnsi="Aptos" w:eastAsia="Aptos" w:cs="Aptos"/>
          <w:b w:val="0"/>
          <w:bCs w:val="0"/>
          <w:i w:val="0"/>
          <w:iCs w:val="0"/>
          <w:caps w:val="0"/>
          <w:smallCaps w:val="0"/>
          <w:noProof w:val="0"/>
          <w:color w:val="000000" w:themeColor="text1" w:themeTint="FF" w:themeShade="FF"/>
          <w:sz w:val="24"/>
          <w:szCs w:val="24"/>
          <w:lang w:val="en-US"/>
        </w:rPr>
        <w:t xml:space="preserve"> (Costa et al., </w:t>
      </w:r>
      <w:r w:rsidRPr="0FA9DDF5" w:rsidR="1038D506">
        <w:rPr>
          <w:rFonts w:ascii="Aptos" w:hAnsi="Aptos" w:eastAsia="Aptos" w:cs="Aptos"/>
          <w:b w:val="0"/>
          <w:bCs w:val="0"/>
          <w:i w:val="0"/>
          <w:iCs w:val="0"/>
          <w:caps w:val="0"/>
          <w:smallCaps w:val="0"/>
          <w:noProof w:val="0"/>
          <w:color w:val="000000" w:themeColor="text1" w:themeTint="FF" w:themeShade="FF"/>
          <w:sz w:val="24"/>
          <w:szCs w:val="24"/>
          <w:lang w:val="en-US"/>
        </w:rPr>
        <w:t>2026</w:t>
      </w:r>
      <w:r w:rsidRPr="0FA9DDF5" w:rsidR="1038D506">
        <w:rPr>
          <w:rFonts w:ascii="Aptos" w:hAnsi="Aptos" w:eastAsia="Aptos" w:cs="Aptos"/>
          <w:b w:val="0"/>
          <w:bCs w:val="0"/>
          <w:i w:val="0"/>
          <w:iCs w:val="0"/>
          <w:caps w:val="0"/>
          <w:smallCaps w:val="0"/>
          <w:noProof w:val="0"/>
          <w:color w:val="000000" w:themeColor="text1" w:themeTint="FF" w:themeShade="FF"/>
          <w:sz w:val="24"/>
          <w:szCs w:val="24"/>
          <w:lang w:val="en-US"/>
        </w:rPr>
        <w:t>; Martín, 2018)</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xml:space="preserve">. This limitation constrains a more comprehensive understanding of how governmental capacity influences fund </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utilization</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xml:space="preserve"> and</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ultimately, the</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xml:space="preserve"> effectiveness and performance of disaster recovery efforts.</w:t>
      </w:r>
    </w:p>
    <w:p w:rsidR="0CECEE93" w:rsidP="0FA9DDF5" w:rsidRDefault="0CECEE93" w14:paraId="0AB1F6BD" w14:textId="1B4FC473">
      <w:pPr>
        <w:pStyle w:val="Normal"/>
        <w:suppressLineNumbers w:val="0"/>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0FA9DDF5" w:rsidR="5923CAA1">
        <w:rPr>
          <w:rFonts w:ascii="Aptos" w:hAnsi="Aptos" w:eastAsia="Aptos" w:cs="Aptos"/>
          <w:b w:val="1"/>
          <w:bCs w:val="1"/>
          <w:i w:val="0"/>
          <w:iCs w:val="0"/>
          <w:caps w:val="0"/>
          <w:smallCaps w:val="0"/>
          <w:noProof w:val="0"/>
          <w:color w:val="000000" w:themeColor="text1" w:themeTint="FF" w:themeShade="FF"/>
          <w:sz w:val="24"/>
          <w:szCs w:val="24"/>
          <w:lang w:val="en-US"/>
        </w:rPr>
        <w:t>2.</w:t>
      </w:r>
      <w:r w:rsidRPr="0FA9DDF5" w:rsidR="0EEB10A2">
        <w:rPr>
          <w:rFonts w:ascii="Aptos" w:hAnsi="Aptos" w:eastAsia="Aptos" w:cs="Aptos"/>
          <w:b w:val="1"/>
          <w:bCs w:val="1"/>
          <w:i w:val="0"/>
          <w:iCs w:val="0"/>
          <w:caps w:val="0"/>
          <w:smallCaps w:val="0"/>
          <w:noProof w:val="0"/>
          <w:color w:val="000000" w:themeColor="text1" w:themeTint="FF" w:themeShade="FF"/>
          <w:sz w:val="24"/>
          <w:szCs w:val="24"/>
          <w:lang w:val="en-US"/>
        </w:rPr>
        <w:t>2</w:t>
      </w:r>
      <w:r w:rsidRPr="0FA9DDF5" w:rsidR="5923CAA1">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4D5415DB">
        <w:rPr>
          <w:rFonts w:ascii="Aptos" w:hAnsi="Aptos" w:eastAsia="Aptos" w:cs="Aptos"/>
          <w:b w:val="1"/>
          <w:bCs w:val="1"/>
          <w:i w:val="0"/>
          <w:iCs w:val="0"/>
          <w:caps w:val="0"/>
          <w:smallCaps w:val="0"/>
          <w:noProof w:val="0"/>
          <w:color w:val="000000" w:themeColor="text1" w:themeTint="FF" w:themeShade="FF"/>
          <w:sz w:val="24"/>
          <w:szCs w:val="24"/>
          <w:lang w:val="en-US"/>
        </w:rPr>
        <w:t>Methodological approaches for disaster recovery administration</w:t>
      </w:r>
      <w:r w:rsidRPr="0FA9DDF5" w:rsidR="22A2472A">
        <w:rPr>
          <w:rFonts w:ascii="Aptos" w:hAnsi="Aptos" w:eastAsia="Aptos" w:cs="Aptos"/>
          <w:b w:val="1"/>
          <w:bCs w:val="1"/>
          <w:i w:val="0"/>
          <w:iCs w:val="0"/>
          <w:caps w:val="0"/>
          <w:smallCaps w:val="0"/>
          <w:noProof w:val="0"/>
          <w:color w:val="000000" w:themeColor="text1" w:themeTint="FF" w:themeShade="FF"/>
          <w:sz w:val="24"/>
          <w:szCs w:val="24"/>
          <w:lang w:val="en-US"/>
        </w:rPr>
        <w:t xml:space="preserve"> assessments</w:t>
      </w:r>
    </w:p>
    <w:p w:rsidR="0CECEE93" w:rsidP="0FA9DDF5" w:rsidRDefault="0CECEE93" w14:paraId="6E25B24D" w14:textId="7C31D7AC">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sz w:val="304800"/>
        </w:rPr>
        <w:t>In general, four broad approaches have been used to evaluate fund administration performance in disaster recovery. The first consists of descriptive and programmatic assessments. HUD and the Government Accountability Office, for example, document variation in fund utilization rates and administrative monitoring across grantees (U.S. Government Accountability Office, 2019; U.S. Department of Housing and Urban Development, 2026). While these studies reveal substantial variation in performance, they generally do not examine the institutional mechanisms that drive differences in disaster recovery outcomes. The second approach involves regression-based and panel-data analyses. Many studies in public administration and planning apply regression or longitudinal panel models to examine how staffing levels, administrative experience, governance structure, or disaster severity influence the pace of fund implementation, recovery outcomes, and broader disaster resilience (Cutter et al., 2016; Lee, 2019; Nor, 2025). These approaches provide useful empirical insight, but they typically treat financial indicators as directly observed outcomes and do not model governmental capacity as a latent construct reflected through multiple interrelated indicators.</w:t>
      </w:r>
    </w:p>
    <w:p w:rsidR="0CECEE93" w:rsidP="0FA9DDF5" w:rsidRDefault="0CECEE93" w14:paraId="5097AC98" w14:textId="63F43955">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u w:val="none"/>
        </w:rPr>
        <w:t>The third approach consists of case studies and qualitative evaluations. Qualitative research provides an in-depth understanding of administrative processes and identifies recurring implementation barriers, including procurement requirements, environmental review procedures, and coordination challenges across agencies (Jordan et al., 2014; Ospina et al., 2018; Rouhanizadeh et al., 2020). The fourth approach involves latent-variable methods, particularly Structural Equation Modeling (SEM). In the broader disaster research literature, SEM has been used to study multidimensional concepts such as preparedness, perceived risk, institutional resilience, and adaptive capacity (Geddam &amp; Kiran, 2024; Gendeshmin et al., 2025). Applications of SEM to federal disaster-recovery finance remain limited, however, and few studies have used QPR data to construct latent measures of governmental capacity for CDBG-DR administration.</w:t>
      </w:r>
    </w:p>
    <w:p w:rsidR="0CECEE93" w:rsidP="0FA9DDF5" w:rsidRDefault="0CECEE93" w14:paraId="464D94B6" w14:textId="3BF662AC">
      <w:pPr>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2.</w:t>
      </w:r>
      <w:r w:rsidRPr="0FA9DDF5" w:rsidR="4CAC5B1F">
        <w:rPr>
          <w:rFonts w:ascii="Aptos" w:hAnsi="Aptos" w:eastAsia="Aptos" w:cs="Aptos"/>
          <w:b w:val="1"/>
          <w:bCs w:val="1"/>
          <w:i w:val="0"/>
          <w:iCs w:val="0"/>
          <w:caps w:val="0"/>
          <w:smallCaps w:val="0"/>
          <w:noProof w:val="0"/>
          <w:color w:val="000000" w:themeColor="text1" w:themeTint="FF" w:themeShade="FF"/>
          <w:sz w:val="24"/>
          <w:szCs w:val="24"/>
          <w:lang w:val="en-US"/>
        </w:rPr>
        <w:t>3</w:t>
      </w:r>
      <w:r w:rsidRPr="0FA9DDF5" w:rsidR="3F5BE076">
        <w:rPr>
          <w:rFonts w:ascii="Aptos" w:hAnsi="Aptos" w:eastAsia="Aptos" w:cs="Aptos"/>
          <w:b w:val="1"/>
          <w:bCs w:val="1"/>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7ADE75AD">
        <w:rPr>
          <w:rFonts w:ascii="Aptos" w:hAnsi="Aptos" w:eastAsia="Aptos" w:cs="Aptos"/>
          <w:b w:val="1"/>
          <w:bCs w:val="1"/>
          <w:i w:val="0"/>
          <w:iCs w:val="0"/>
          <w:caps w:val="0"/>
          <w:smallCaps w:val="0"/>
          <w:noProof w:val="0"/>
          <w:color w:val="000000" w:themeColor="text1" w:themeTint="FF" w:themeShade="FF"/>
          <w:sz w:val="24"/>
          <w:szCs w:val="24"/>
          <w:lang w:val="en-US"/>
        </w:rPr>
        <w:t>Administrative capacity in disaster recovery: Patterns, gaps, and research needs</w:t>
      </w:r>
    </w:p>
    <w:p w:rsidR="0CECEE93" w:rsidP="0FA9DDF5" w:rsidRDefault="0CECEE93" w14:paraId="0BB69580" w14:textId="3607311E">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ADE75AD">
        <w:rPr>
          <w:rFonts w:ascii="Aptos" w:hAnsi="Aptos" w:eastAsia="Aptos" w:cs="Aptos"/>
          <w:b w:val="0"/>
          <w:bCs w:val="0"/>
          <w:i w:val="0"/>
          <w:iCs w:val="0"/>
          <w:caps w:val="0"/>
          <w:smallCaps w:val="0"/>
          <w:noProof w:val="0"/>
          <w:color w:val="000000" w:themeColor="text1" w:themeTint="FF" w:themeShade="FF"/>
          <w:sz w:val="24"/>
          <w:szCs w:val="24"/>
          <w:lang w:val="en-US"/>
        </w:rPr>
        <w:t xml:space="preserve">Building on the four approaches discussed above, two consistent patterns </w:t>
      </w:r>
      <w:r w:rsidRPr="0FA9DDF5" w:rsidR="7ADE75AD">
        <w:rPr>
          <w:rFonts w:ascii="Aptos" w:hAnsi="Aptos" w:eastAsia="Aptos" w:cs="Aptos"/>
          <w:b w:val="0"/>
          <w:bCs w:val="0"/>
          <w:i w:val="0"/>
          <w:iCs w:val="0"/>
          <w:caps w:val="0"/>
          <w:smallCaps w:val="0"/>
          <w:noProof w:val="0"/>
          <w:color w:val="000000" w:themeColor="text1" w:themeTint="FF" w:themeShade="FF"/>
          <w:sz w:val="24"/>
          <w:szCs w:val="24"/>
          <w:lang w:val="en-US"/>
        </w:rPr>
        <w:t>emerge</w:t>
      </w:r>
      <w:r w:rsidRPr="0FA9DDF5" w:rsidR="7ADE75AD">
        <w:rPr>
          <w:rFonts w:ascii="Aptos" w:hAnsi="Aptos" w:eastAsia="Aptos" w:cs="Aptos"/>
          <w:b w:val="0"/>
          <w:bCs w:val="0"/>
          <w:i w:val="0"/>
          <w:iCs w:val="0"/>
          <w:caps w:val="0"/>
          <w:smallCaps w:val="0"/>
          <w:noProof w:val="0"/>
          <w:color w:val="000000" w:themeColor="text1" w:themeTint="FF" w:themeShade="FF"/>
          <w:sz w:val="24"/>
          <w:szCs w:val="24"/>
          <w:lang w:val="en-US"/>
        </w:rPr>
        <w:t xml:space="preserve"> in the study of disaster recovery administration. First, there is substantial variation across grantees in how disaster recovery funds are administered</w:t>
      </w:r>
      <w:r w:rsidRPr="0FA9DDF5" w:rsidR="09B8E4F3">
        <w:rPr>
          <w:rFonts w:ascii="Aptos" w:hAnsi="Aptos" w:eastAsia="Aptos" w:cs="Aptos"/>
          <w:b w:val="0"/>
          <w:bCs w:val="0"/>
          <w:i w:val="0"/>
          <w:iCs w:val="0"/>
          <w:caps w:val="0"/>
          <w:smallCaps w:val="0"/>
          <w:noProof w:val="0"/>
          <w:color w:val="000000" w:themeColor="text1" w:themeTint="FF" w:themeShade="FF"/>
          <w:sz w:val="24"/>
          <w:szCs w:val="24"/>
          <w:lang w:val="en-US"/>
        </w:rPr>
        <w:t xml:space="preserve"> (Costa et al., </w:t>
      </w:r>
      <w:r w:rsidRPr="0FA9DDF5" w:rsidR="09B8E4F3">
        <w:rPr>
          <w:rFonts w:ascii="Aptos" w:hAnsi="Aptos" w:eastAsia="Aptos" w:cs="Aptos"/>
          <w:b w:val="0"/>
          <w:bCs w:val="0"/>
          <w:i w:val="0"/>
          <w:iCs w:val="0"/>
          <w:caps w:val="0"/>
          <w:smallCaps w:val="0"/>
          <w:noProof w:val="0"/>
          <w:color w:val="000000" w:themeColor="text1" w:themeTint="FF" w:themeShade="FF"/>
          <w:sz w:val="24"/>
          <w:szCs w:val="24"/>
          <w:lang w:val="en-US"/>
        </w:rPr>
        <w:t>2026</w:t>
      </w:r>
      <w:r w:rsidRPr="0FA9DDF5" w:rsidR="09B8E4F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131E8F3E">
        <w:rPr>
          <w:rFonts w:ascii="Aptos" w:hAnsi="Aptos" w:eastAsia="Aptos" w:cs="Aptos"/>
          <w:b w:val="0"/>
          <w:bCs w:val="0"/>
          <w:i w:val="0"/>
          <w:iCs w:val="0"/>
          <w:caps w:val="0"/>
          <w:smallCaps w:val="0"/>
          <w:noProof w:val="0"/>
          <w:color w:val="000000" w:themeColor="text1" w:themeTint="FF" w:themeShade="FF"/>
          <w:sz w:val="24"/>
          <w:szCs w:val="24"/>
          <w:lang w:val="en-US"/>
        </w:rPr>
        <w:t>For example, grantees differ widely in their pace of obligations, disbursements, and expenditures, as well as in the implementation and outcomes of disaster recovery programs</w:t>
      </w:r>
      <w:r w:rsidRPr="0FA9DDF5" w:rsidR="23091AB0">
        <w:rPr>
          <w:rFonts w:ascii="Aptos" w:hAnsi="Aptos" w:eastAsia="Aptos" w:cs="Aptos"/>
          <w:b w:val="0"/>
          <w:bCs w:val="0"/>
          <w:i w:val="0"/>
          <w:iCs w:val="0"/>
          <w:caps w:val="0"/>
          <w:smallCaps w:val="0"/>
          <w:noProof w:val="0"/>
          <w:color w:val="000000" w:themeColor="text1" w:themeTint="FF" w:themeShade="FF"/>
          <w:sz w:val="24"/>
          <w:szCs w:val="24"/>
          <w:lang w:val="en-US"/>
        </w:rPr>
        <w:t xml:space="preserve"> (Martin, 2018)</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2E03BC86">
        <w:rPr>
          <w:rFonts w:ascii="Aptos" w:hAnsi="Aptos" w:eastAsia="Aptos" w:cs="Aptos"/>
          <w:b w:val="0"/>
          <w:bCs w:val="0"/>
          <w:i w:val="0"/>
          <w:iCs w:val="0"/>
          <w:caps w:val="0"/>
          <w:smallCaps w:val="0"/>
          <w:noProof w:val="0"/>
          <w:color w:val="000000" w:themeColor="text1" w:themeTint="FF" w:themeShade="FF"/>
          <w:sz w:val="24"/>
          <w:szCs w:val="24"/>
          <w:lang w:val="en-US"/>
        </w:rPr>
        <w:t>Second,</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9CCE8CD">
        <w:rPr>
          <w:rFonts w:ascii="Aptos" w:hAnsi="Aptos" w:eastAsia="Aptos" w:cs="Aptos"/>
          <w:noProof w:val="0"/>
          <w:sz w:val="24"/>
          <w:szCs w:val="24"/>
          <w:lang w:val="en-US"/>
        </w:rPr>
        <w:t>administrative processes strongly influence recovery timelines</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 xml:space="preserve"> (Martin et al., 2</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 xml:space="preserve">019; </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Saf</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apour</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2021)</w:t>
      </w:r>
      <w:r w:rsidRPr="0FA9DDF5" w:rsidR="25EF5C4E">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4554CD2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7A0A5342">
        <w:rPr>
          <w:rFonts w:ascii="Aptos" w:hAnsi="Aptos" w:eastAsia="Aptos" w:cs="Aptos"/>
          <w:b w:val="0"/>
          <w:bCs w:val="0"/>
          <w:i w:val="0"/>
          <w:iCs w:val="0"/>
          <w:caps w:val="0"/>
          <w:smallCaps w:val="0"/>
          <w:noProof w:val="0"/>
          <w:color w:val="000000" w:themeColor="text1" w:themeTint="FF" w:themeShade="FF"/>
          <w:sz w:val="24"/>
          <w:szCs w:val="24"/>
          <w:lang w:val="en-US"/>
        </w:rPr>
        <w:t>Delays often arise from procurement rules, environmental reviews, inconsistent staffing, and challenges in inter-agency coordination. Moreover, institutional capacity and social vulnerability – not merely disaster severity – play a critical role in shaping the speed and effectiveness of recovery efforts</w:t>
      </w:r>
      <w:r w:rsidRPr="0FA9DDF5" w:rsidR="4270B7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58588127">
        <w:rPr>
          <w:rFonts w:ascii="Aptos" w:hAnsi="Aptos" w:eastAsia="Aptos" w:cs="Aptos"/>
          <w:b w:val="0"/>
          <w:bCs w:val="0"/>
          <w:i w:val="0"/>
          <w:iCs w:val="0"/>
          <w:caps w:val="0"/>
          <w:smallCaps w:val="0"/>
          <w:noProof w:val="0"/>
          <w:color w:val="000000" w:themeColor="text1" w:themeTint="FF" w:themeShade="FF"/>
          <w:sz w:val="24"/>
          <w:szCs w:val="24"/>
          <w:lang w:val="en-US"/>
        </w:rPr>
        <w:t xml:space="preserve">Miao et al., 2025; </w:t>
      </w:r>
      <w:r w:rsidRPr="0FA9DDF5" w:rsidR="4270B79E">
        <w:rPr>
          <w:rFonts w:ascii="Aptos" w:hAnsi="Aptos" w:eastAsia="Aptos" w:cs="Aptos"/>
          <w:b w:val="0"/>
          <w:bCs w:val="0"/>
          <w:i w:val="0"/>
          <w:iCs w:val="0"/>
          <w:caps w:val="0"/>
          <w:smallCaps w:val="0"/>
          <w:noProof w:val="0"/>
          <w:color w:val="000000" w:themeColor="text1" w:themeTint="FF" w:themeShade="FF"/>
          <w:sz w:val="24"/>
          <w:szCs w:val="24"/>
          <w:lang w:val="en-US"/>
        </w:rPr>
        <w:t>Peacock et al., 2014)</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w:t>
      </w:r>
    </w:p>
    <w:p w:rsidR="0CECEE93" w:rsidP="0FA9DDF5" w:rsidRDefault="0CECEE93" w14:paraId="069D9395" w14:textId="687135C9">
      <w:pPr>
        <w:pStyle w:val="Normal"/>
        <w:suppressLineNumbers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t>Despite progress in understanding disaster recovery administration, several gaps remain. First, few studies develop multidimensional measures of governmental capacity that combine staffing, payroll, and workload-density indicators into one transparent framework. Second, cross-jurisdictional comparisons rarely distinguish resource intensity from workload manageability, even though those dimensions may behave differently. Third, the relationship between capacity and recovery outcomes is often examined without enough attention to maturity, right-censoring, and cross-cohort comparability. Fourth, spatial summaries are frequently presented without a clear statement of whether they are core evidence or descriptive context. These gaps motivate a more explicit and bounded SEM design.</w:t>
      </w:r>
    </w:p>
    <w:p w:rsidR="0CECEE93" w:rsidP="0FA9DDF5" w:rsidRDefault="0CECEE93" w14:paraId="7E621F53" w14:textId="6A5163AD">
      <w:pPr>
        <w:pStyle w:val="Normal"/>
        <w:suppressLineNumbers w:val="0"/>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t>In response, this study develops a cross-sectional SEM of administering-jurisdiction capacity and recovery outcomes using linked QPR, QCEW, population, and SVI indicators. The article centers on the distinction between Administrative Resources and workload manageability and evaluates how those dimensions covary with Recovery Timeliness, while treating Recovery Performance as a broader and less settled secondary construct. The accompanying spatial summaries and gap screens are retained only as secondary descriptive context. Taken together, the paper offers a more transparent, policy-relevant, and explicitly exploratory framework for understanding variation in CDBG-DR administration across jurisdictions.</w:t>
      </w:r>
    </w:p>
    <w:p w:rsidR="64695413" w:rsidP="13E108F8" w:rsidRDefault="64695413" w14:paraId="059F896A" w14:textId="3F6DA230">
      <w:pPr>
        <w:pStyle w:val="Normal"/>
        <w:suppressLineNumbers w:val="0"/>
        <w:bidi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6CB66994" w:rsidR="03B59AAA">
        <w:rPr>
          <w:rFonts w:ascii="Aptos" w:hAnsi="Aptos" w:eastAsia="Aptos" w:cs="Aptos"/>
          <w:b w:val="1"/>
          <w:bCs w:val="1"/>
          <w:noProof w:val="0"/>
          <w:sz w:val="24"/>
          <w:szCs w:val="24"/>
          <w:lang w:val="en-US"/>
        </w:rPr>
        <w:t>3</w:t>
      </w:r>
      <w:r w:rsidRPr="6CB66994" w:rsidR="64695413">
        <w:rPr>
          <w:rFonts w:ascii="Aptos" w:hAnsi="Aptos" w:eastAsia="Aptos" w:cs="Aptos"/>
          <w:b w:val="1"/>
          <w:bCs w:val="1"/>
          <w:noProof w:val="0"/>
          <w:sz w:val="24"/>
          <w:szCs w:val="24"/>
          <w:lang w:val="en-US"/>
        </w:rPr>
        <w:t>. Data</w:t>
      </w:r>
    </w:p>
    <w:p w:rsidR="54A88059" w:rsidP="15159F2C" w:rsidRDefault="54A88059" w14:paraId="1516A9FE" w14:textId="562B99A4">
      <w:pPr>
        <w:pStyle w:val="Normal"/>
        <w:suppressLineNumbers w:val="0"/>
        <w:bidi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0FA9DDF5" w:rsidR="54A88059">
        <w:rPr>
          <w:rFonts w:ascii="Aptos" w:hAnsi="Aptos" w:eastAsia="Aptos" w:cs="Aptos"/>
          <w:b w:val="1"/>
          <w:bCs w:val="1"/>
          <w:noProof w:val="0"/>
          <w:sz w:val="24"/>
          <w:szCs w:val="24"/>
          <w:lang w:val="en-US"/>
        </w:rPr>
        <w:t>3.1 Data Description and Sources</w:t>
      </w:r>
    </w:p>
    <w:p w:rsidR="1A4AEB85" w:rsidP="0FA9DDF5" w:rsidRDefault="1A4AEB85" w14:paraId="7BEEFFBF" w14:textId="7AC663C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The QPR dataset was obtained from the U.S. Department of Housing and Urban Development's DRGR reporting system and contains quarterly information on obligated, disbursed, and expended CDBG-DR funds for grants and reporting activities. The records span 18 disaster contexts from 2003 through 2023 and include thousands of organization labels that appear in grantee and activity fields (U.S. Department of Housing and Urban Development, 2026). Quarterly records were used to construct study-window outcome indicators for each administering jurisdiction, including the disbursed-to-obligated ratio, the expended-to-disbursed ratio, the share of obligated funds fully expended, the proportion of programs completed, the duration of grant completion, and the average duration of program completion. Throughout the manuscript, grantee refers to HUD's DRGR administrative label, activity responsible organization refers to the raw quarterly reporting name, and administering jurisdiction refers to the analytic SEM unit after those reporting entities are linked to a common state-agency or county-linked local-government profile. Grant denotes the disaster-specific CDBG-DR allocation, whereas activity denotes the underlying DRGR/QPR reporting unit nested within a grantee's disaster portfolio. The quarter-varying spending indicators therefore summarize the observed reporting history of each administering jurisdiction rather than a single quarter snapshot.</w:t>
      </w:r>
    </w:p>
    <w:p w:rsidR="1A4AEB85" w:rsidP="0FA9DDF5" w:rsidRDefault="1A4AEB85" w14:paraId="733B4680" w14:textId="608F10A6">
      <w:pPr>
        <w:pStyle w:val="Normal"/>
        <w:bidi w:val="0"/>
        <w:spacing w:before="240" w:beforeAutospacing="off" w:after="240" w:afterAutospacing="off" w:line="278" w:lineRule="auto"/>
        <w:ind w:left="0" w:right="0"/>
        <w:jc w:val="left"/>
      </w:pPr>
      <w:r>
        <w:rPr>
          <w:rFonts w:ascii="Aptos" w:hAnsi="Aptos"/>
          <w:sz w:val="304800"/>
        </w:rPr>
        <w:t>Administrative resource data were drawn from the U.S. Bureau of Labor Statistics Quarterly Census of Employment and Wages (QCEW). Employment and payroll measures tied to NAICS 925110 (Administration of Housing Programs) are used as indirect proxies for disaster-recovery administrative resources (U.S. Bureau of Labor Statistics, 2026). These measures provide a standardized national frame, but they should not be interpreted as direct counts of staff assigned specifically to CDBG-DR. Disaster recovery administration may be distributed across agencies, temporary teams, contract support, and cross-departmental arrangements that are only partially captured by this industry code. Accordingly, employment and payroll are used as coarse administrative-resource indicators rather than exact staffing measures.</w:t>
      </w:r>
    </w:p>
    <w:p w:rsidR="1A4AEB85" w:rsidP="0FA9DDF5" w:rsidRDefault="1A4AEB85" w14:paraId="70F52DD0" w14:textId="15D2D628">
      <w:pPr>
        <w:pStyle w:val="Normal"/>
        <w:bidi w:val="0"/>
        <w:spacing w:before="240" w:beforeAutospacing="off" w:after="240" w:afterAutospacing="off" w:line="278" w:lineRule="auto"/>
        <w:ind w:left="0" w:right="0"/>
        <w:jc w:val="left"/>
      </w:pPr>
      <w:r>
        <w:rPr>
          <w:rFonts w:ascii="Aptos" w:hAnsi="Aptos"/>
          <w:sz w:val="304800"/>
        </w:rPr>
        <w:t>Finally, contextual measures of social vulnerability were derived from the CDC/ATSDR Social Vulnerability Index (SVI) at the state and county levels. The analysis uses the four standard SVI themes - socioeconomic status, household composition and disability, minority status and language, and housing type and transportation - as broad contextual covariates rather than as precise longitudinal trend measures (CDC/ATSDR, 2026). Because CDC warns against literal cross-vintage comparison of SVI percentiles without careful harmonization, these variables are interpreted as standardized contextual descriptors in the final SEM-ready dataset rather than as year-by-year measures of change.</w:t>
      </w:r>
    </w:p>
    <w:p w:rsidR="3C6BB8CC" w:rsidP="6128DC3F" w:rsidRDefault="3C6BB8CC" w14:paraId="597018B2" w14:textId="2D325884">
      <w:pPr>
        <w:pStyle w:val="Normal"/>
        <w:bidi w:val="0"/>
        <w:ind w:left="0"/>
        <w:rPr>
          <w:rFonts w:ascii="Aptos" w:hAnsi="Aptos" w:eastAsia="Aptos" w:cs="Aptos"/>
          <w:noProof w:val="0"/>
          <w:sz w:val="24"/>
          <w:szCs w:val="24"/>
          <w:lang w:val="en-US"/>
        </w:rPr>
      </w:pPr>
      <w:r w:rsidRPr="0FA9DDF5" w:rsidR="3C6BB8CC">
        <w:rPr>
          <w:rFonts w:ascii="Aptos" w:hAnsi="Aptos" w:eastAsia="Aptos" w:cs="Aptos"/>
          <w:b w:val="1"/>
          <w:bCs w:val="1"/>
          <w:noProof w:val="0"/>
          <w:sz w:val="24"/>
          <w:szCs w:val="24"/>
          <w:lang w:val="en-US"/>
        </w:rPr>
        <w:t xml:space="preserve">3.2. </w:t>
      </w:r>
      <w:r w:rsidRPr="0FA9DDF5" w:rsidR="3C6BB8CC">
        <w:rPr>
          <w:rFonts w:ascii="Aptos" w:hAnsi="Aptos" w:eastAsia="Aptos" w:cs="Aptos"/>
          <w:b w:val="1"/>
          <w:bCs w:val="1"/>
          <w:noProof w:val="0"/>
          <w:sz w:val="24"/>
          <w:szCs w:val="24"/>
          <w:lang w:val="en-US"/>
        </w:rPr>
        <w:t>Data Cleaning and Preprocessing</w:t>
      </w:r>
    </w:p>
    <w:p w:rsidR="3C6BB8CC" w:rsidP="0FA9DDF5" w:rsidRDefault="3C6BB8CC" w14:paraId="4D5E829A" w14:textId="69AB10B7">
      <w:pPr>
        <w:pStyle w:val="Normal"/>
        <w:suppressLineNumbers w:val="0"/>
        <w:spacing w:before="0" w:beforeAutospacing="off" w:after="160" w:afterAutospacing="off" w:line="278" w:lineRule="auto"/>
        <w:ind w:left="0" w:right="0"/>
        <w:jc w:val="left"/>
        <w:rPr>
          <w:rFonts w:ascii="Aptos" w:hAnsi="Aptos" w:eastAsia="Aptos" w:cs="Aptos"/>
          <w:noProof w:val="0"/>
          <w:sz w:val="24"/>
          <w:szCs w:val="24"/>
          <w:lang w:val="en-US"/>
        </w:rPr>
      </w:pPr>
      <w:r w:rsidRPr="0FA9DDF5" w:rsidR="1B440CE3">
        <w:rPr>
          <w:rFonts w:ascii="Aptos" w:hAnsi="Aptos" w:eastAsia="Aptos" w:cs="Aptos"/>
          <w:noProof w:val="0"/>
          <w:sz w:val="24"/>
          <w:szCs w:val="24"/>
          <w:lang w:val="en-US"/>
        </w:rPr>
        <w:t>To prepare the QPR dataset for subsequent modeling analysis, a series of systematic data cleaning procedures were implemented to standardize key geographic and organizational variables and enhance data reliability.</w:t>
      </w:r>
      <w:r w:rsidRPr="0FA9DDF5" w:rsidR="3C6BB8CC">
        <w:rPr>
          <w:rFonts w:ascii="Aptos" w:hAnsi="Aptos" w:eastAsia="Aptos" w:cs="Aptos"/>
          <w:noProof w:val="0"/>
          <w:sz w:val="24"/>
          <w:szCs w:val="24"/>
          <w:lang w:val="en-US"/>
        </w:rPr>
        <w:t xml:space="preserve"> </w:t>
      </w:r>
      <w:r w:rsidRPr="0FA9DDF5" w:rsidR="730F1CBC">
        <w:rPr>
          <w:rFonts w:ascii="Aptos" w:hAnsi="Aptos" w:eastAsia="Aptos" w:cs="Aptos"/>
          <w:noProof w:val="0"/>
          <w:sz w:val="24"/>
          <w:szCs w:val="24"/>
          <w:lang w:val="en-US"/>
        </w:rPr>
        <w:t>First, the “</w:t>
      </w:r>
      <w:r w:rsidRPr="0FA9DDF5" w:rsidR="730F1CBC">
        <w:rPr>
          <w:rFonts w:ascii="Aptos" w:hAnsi="Aptos" w:eastAsia="Aptos" w:cs="Aptos"/>
          <w:i w:val="1"/>
          <w:iCs w:val="1"/>
          <w:noProof w:val="0"/>
          <w:sz w:val="24"/>
          <w:szCs w:val="24"/>
          <w:lang w:val="en-US"/>
        </w:rPr>
        <w:t>Grantee State</w:t>
      </w:r>
      <w:r w:rsidRPr="0FA9DDF5" w:rsidR="730F1CBC">
        <w:rPr>
          <w:rFonts w:ascii="Aptos" w:hAnsi="Aptos" w:eastAsia="Aptos" w:cs="Aptos"/>
          <w:noProof w:val="0"/>
          <w:sz w:val="24"/>
          <w:szCs w:val="24"/>
          <w:lang w:val="en-US"/>
        </w:rPr>
        <w:t>” variable was standardized to ensure consistent formatting across observations. State names were cleaned by removing extra whitespace and correcting inconsistent capitalization. A formatted state identifier was then generated by appending the suffix “state” (e.g., Texas state) to improve clarity and consistency in later processing steps. Second, the “</w:t>
      </w:r>
      <w:r w:rsidRPr="0FA9DDF5" w:rsidR="730F1CBC">
        <w:rPr>
          <w:rFonts w:ascii="Aptos" w:hAnsi="Aptos" w:eastAsia="Aptos" w:cs="Aptos"/>
          <w:i w:val="1"/>
          <w:iCs w:val="1"/>
          <w:noProof w:val="0"/>
          <w:sz w:val="24"/>
          <w:szCs w:val="24"/>
          <w:lang w:val="en-US"/>
        </w:rPr>
        <w:t>Activity Responsible Org</w:t>
      </w:r>
      <w:r w:rsidRPr="0FA9DDF5" w:rsidR="730F1CBC">
        <w:rPr>
          <w:rFonts w:ascii="Aptos" w:hAnsi="Aptos" w:eastAsia="Aptos" w:cs="Aptos"/>
          <w:noProof w:val="0"/>
          <w:sz w:val="24"/>
          <w:szCs w:val="24"/>
          <w:lang w:val="en-US"/>
        </w:rPr>
        <w:t xml:space="preserve">” field was normalized to reduce inconsistencies in organization names. This process included trimming leading and trailing whitespace, removing punctuation and special characters, and standardizing common abbreviations (e.g., Co. to County, Dept. to Department, Auth. to Authority). These procedures improved naming consistency and reduced potential matching errors in </w:t>
      </w:r>
      <w:r w:rsidRPr="0FA9DDF5" w:rsidR="730F1CBC">
        <w:rPr>
          <w:rFonts w:ascii="Aptos" w:hAnsi="Aptos" w:eastAsia="Aptos" w:cs="Aptos"/>
          <w:noProof w:val="0"/>
          <w:sz w:val="24"/>
          <w:szCs w:val="24"/>
          <w:lang w:val="en-US"/>
        </w:rPr>
        <w:t>subsequent</w:t>
      </w:r>
      <w:r w:rsidRPr="0FA9DDF5" w:rsidR="730F1CBC">
        <w:rPr>
          <w:rFonts w:ascii="Aptos" w:hAnsi="Aptos" w:eastAsia="Aptos" w:cs="Aptos"/>
          <w:noProof w:val="0"/>
          <w:sz w:val="24"/>
          <w:szCs w:val="24"/>
          <w:lang w:val="en-US"/>
        </w:rPr>
        <w:t xml:space="preserve"> geographic identification.</w:t>
      </w:r>
    </w:p>
    <w:p w:rsidR="3C6BB8CC" w:rsidP="0FA9DDF5" w:rsidRDefault="3C6BB8CC" w14:paraId="18803F90" w14:textId="0FE22BDD">
      <w:pPr>
        <w:pStyle w:val="Normal"/>
        <w:bidi w:val="0"/>
        <w:ind w:left="0"/>
        <w:rPr>
          <w:rFonts w:ascii="Aptos" w:hAnsi="Aptos" w:eastAsia="Aptos" w:cs="Aptos"/>
          <w:noProof w:val="0"/>
          <w:sz w:val="24"/>
          <w:szCs w:val="24"/>
          <w:lang w:val="en-US"/>
        </w:rPr>
      </w:pPr>
      <w:r>
        <w:rPr>
          <w:rFonts w:ascii="Aptos" w:hAnsi="Aptos"/>
          <w:sz w:val="304800"/>
        </w:rPr>
        <w:t>Third, a new geographic identifier was constructed to determine the county and state associated with each Activity Responsible Org. The matching workflow followed a hierarchical approach: explicit county or parish names embedded in organization titles were matched first, and remaining records were linked through city-to-county lookup tables and manual review of unresolved cases. City-level entities were then aggregated to counties, while statewide departments, agencies, authorities, and similar organizations were aggregated to state-agency profiles. In practical terms, the geography workflow maps raw organization labels to one of three categories: state-agency profile, county-linked local-government profile, or unresolved case requiring manual judgment. This procedure provided a workable geography layer for descriptive mapping, but it should not be treated as a fully audited Census relationship-file reconstruction. Geography-dependent findings are therefore interpreted as informative spatial summaries rather than as exact administrative-boundary measures.</w:t>
      </w:r>
    </w:p>
    <w:p w:rsidR="3C6BB8CC" w:rsidP="0FA9DDF5" w:rsidRDefault="3C6BB8CC" w14:paraId="53F760E3" w14:textId="551B92C7">
      <w:pPr>
        <w:pStyle w:val="Normal"/>
        <w:suppressLineNumbers w:val="0"/>
        <w:spacing w:before="0" w:beforeAutospacing="off" w:after="160" w:afterAutospacing="off" w:line="278" w:lineRule="auto"/>
        <w:ind w:left="0" w:right="0"/>
        <w:jc w:val="left"/>
        <w:rPr>
          <w:rFonts w:ascii="Aptos" w:hAnsi="Aptos" w:eastAsia="Aptos" w:cs="Aptos"/>
          <w:noProof w:val="0"/>
          <w:sz w:val="24"/>
          <w:szCs w:val="24"/>
          <w:lang w:val="en-US"/>
        </w:rPr>
      </w:pPr>
      <w:r>
        <w:rPr>
          <w:rFonts w:ascii="Aptos" w:hAnsi="Aptos"/>
          <w:sz w:val="304800"/>
        </w:rPr>
        <w:t>Finally, a quality-control framework was implemented to evaluate the reliability of the inferred geographic information. Each record was categorized by match type (for example, explicit county match, city-to-county match, or unresolved) and flagged for manual review when automated inference was uncertain. Records with fewer than four quarterly observations were excluded from the cross-sectional SEM input because such short reporting histories do not provide enough information to summarize recovery performance or timeliness reliably. Appendix Table A4 reports the recoverable data flow used here: 130,605 standardized QPR rows, 128,382 rows with valid quarter labels, 3,623 collapsed grantee-disaster-quarter records, and finally 573 administering-jurisdiction profiles - 30 state agencies and 543 local governments - for the complete-case SEM sample. If q indexes valid quarters for jurisdiction j, the analytical row stores study-window summaries Y_j = s({Y_jq}) rather than a single quarter value; if a indexes programs or activities nested within j, average program-duration measures summarize {D_ja}. The SEM therefore estimates between-jurisdiction differences in accumulated administrative profiles, not within-jurisdiction change over time. Appendix Table A8 reports the official 2023 Census crosswalk audit showing that all state-agency and county-linked SEM labels resolve to state or county GEOIDs.</w:t>
      </w:r>
    </w:p>
    <w:p w:rsidR="64695413" w:rsidP="15159F2C" w:rsidRDefault="64695413" w14:paraId="12E2E119" w14:textId="20D60226">
      <w:pPr>
        <w:pStyle w:val="Normal"/>
        <w:suppressLineNumbers w:val="0"/>
        <w:bidi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0FA9DDF5" w:rsidR="6A3D90FA">
        <w:rPr>
          <w:rFonts w:ascii="Aptos" w:hAnsi="Aptos" w:eastAsia="Aptos" w:cs="Aptos"/>
          <w:b w:val="1"/>
          <w:bCs w:val="1"/>
          <w:noProof w:val="0"/>
          <w:sz w:val="24"/>
          <w:szCs w:val="24"/>
          <w:lang w:val="en-US"/>
        </w:rPr>
        <w:t>4</w:t>
      </w:r>
      <w:r w:rsidRPr="0FA9DDF5" w:rsidR="79845318">
        <w:rPr>
          <w:rFonts w:ascii="Aptos" w:hAnsi="Aptos" w:eastAsia="Aptos" w:cs="Aptos"/>
          <w:b w:val="1"/>
          <w:bCs w:val="1"/>
          <w:noProof w:val="0"/>
          <w:sz w:val="24"/>
          <w:szCs w:val="24"/>
          <w:lang w:val="en-US"/>
        </w:rPr>
        <w:t>.</w:t>
      </w:r>
      <w:r w:rsidRPr="0FA9DDF5" w:rsidR="64695413">
        <w:rPr>
          <w:rFonts w:ascii="Aptos" w:hAnsi="Aptos" w:eastAsia="Aptos" w:cs="Aptos"/>
          <w:b w:val="1"/>
          <w:bCs w:val="1"/>
          <w:noProof w:val="0"/>
          <w:sz w:val="24"/>
          <w:szCs w:val="24"/>
          <w:lang w:val="en-US"/>
        </w:rPr>
        <w:t xml:space="preserve"> </w:t>
      </w:r>
      <w:r w:rsidRPr="0FA9DDF5" w:rsidR="64695413">
        <w:rPr>
          <w:rFonts w:ascii="Aptos" w:hAnsi="Aptos" w:eastAsia="Aptos" w:cs="Aptos"/>
          <w:b w:val="1"/>
          <w:bCs w:val="1"/>
          <w:noProof w:val="0"/>
          <w:sz w:val="24"/>
          <w:szCs w:val="24"/>
          <w:lang w:val="en-US"/>
        </w:rPr>
        <w:t>Methods</w:t>
      </w:r>
      <w:r w:rsidRPr="0FA9DDF5" w:rsidR="23C9307B">
        <w:rPr>
          <w:rFonts w:ascii="Aptos" w:hAnsi="Aptos" w:eastAsia="Aptos" w:cs="Aptos"/>
          <w:b w:val="1"/>
          <w:bCs w:val="1"/>
          <w:noProof w:val="0"/>
          <w:sz w:val="24"/>
          <w:szCs w:val="24"/>
          <w:lang w:val="en-US"/>
        </w:rPr>
        <w:t>: Structural Equation Modeling (SEM)</w:t>
      </w:r>
    </w:p>
    <w:p w:rsidR="235092B6" w:rsidP="0FA9DDF5" w:rsidRDefault="235092B6" w14:paraId="283921DB" w14:textId="442E0176">
      <w:pPr>
        <w:pStyle w:val="Normal"/>
        <w:suppressLineNumbers w:val="0"/>
        <w:bidi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0FA9DDF5" w:rsidR="235092B6">
        <w:rPr>
          <w:rFonts w:ascii="Aptos" w:hAnsi="Aptos" w:eastAsia="Aptos" w:cs="Aptos"/>
          <w:b w:val="1"/>
          <w:bCs w:val="1"/>
          <w:noProof w:val="0"/>
          <w:sz w:val="24"/>
          <w:szCs w:val="24"/>
          <w:lang w:val="en-US"/>
        </w:rPr>
        <w:t>4.1. Model selection and unit of analysis</w:t>
      </w:r>
    </w:p>
    <w:p w:rsidR="2464D659" w:rsidP="0FA9DDF5" w:rsidRDefault="2464D659" w14:paraId="523A4876" w14:textId="74FE4FF8">
      <w:pPr>
        <w:pStyle w:val="Normal"/>
        <w:suppressLineNumbers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This study employs structural equation modeling (SEM) to develop latent constructs representing governmental capacity and disaster recovery outcomes and to evaluate the cross-sectional associations among them. The design does not estimate moderation effects. Instead, the state-versus-local indicator, jurisdiction size, and social vulnerability measures enter the SEM as observed covariates, and any state/local contrasts discussed later in the paper are treated as descriptive subset comparisons rather than as formal interaction tests. SEM remains useful in this setting as a structured way to summarize multiple indicators measured on different scales, but the pooled measurement model should be read as an exploratory approximation rather than as a demonstrated invariance result across state and local cases.</w:t>
      </w:r>
    </w:p>
    <w:p w:rsidR="2464D659" w:rsidP="0FA9DDF5" w:rsidRDefault="2464D659" w14:paraId="1BDEA3AC" w14:textId="35BA2CCE">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45660053">
        <w:rPr>
          <w:rFonts w:ascii="Aptos" w:hAnsi="Aptos" w:eastAsia="Aptos" w:cs="Aptos"/>
          <w:noProof w:val="0"/>
          <w:sz w:val="24"/>
          <w:szCs w:val="24"/>
          <w:lang w:val="en-US"/>
        </w:rPr>
        <w:t>This approach is especially valuable because governmental capacity is not directly observable and must instead be inferred from measurable proxies, such as administrative resources and workload characteristics</w:t>
      </w:r>
      <w:r w:rsidRPr="0FA9DDF5" w:rsidR="756A76A9">
        <w:rPr>
          <w:rFonts w:ascii="Aptos" w:hAnsi="Aptos" w:eastAsia="Aptos" w:cs="Aptos"/>
          <w:noProof w:val="0"/>
          <w:sz w:val="24"/>
          <w:szCs w:val="24"/>
          <w:lang w:val="en-US"/>
        </w:rPr>
        <w:t xml:space="preserve"> (El-</w:t>
      </w:r>
      <w:r w:rsidRPr="0FA9DDF5" w:rsidR="756A76A9">
        <w:rPr>
          <w:rFonts w:ascii="Aptos" w:hAnsi="Aptos" w:eastAsia="Aptos" w:cs="Aptos"/>
          <w:noProof w:val="0"/>
          <w:sz w:val="24"/>
          <w:szCs w:val="24"/>
          <w:lang w:val="en-US"/>
        </w:rPr>
        <w:t>Taliawi</w:t>
      </w:r>
      <w:r w:rsidRPr="0FA9DDF5" w:rsidR="756A76A9">
        <w:rPr>
          <w:rFonts w:ascii="Aptos" w:hAnsi="Aptos" w:eastAsia="Aptos" w:cs="Aptos"/>
          <w:noProof w:val="0"/>
          <w:sz w:val="24"/>
          <w:szCs w:val="24"/>
          <w:lang w:val="en-US"/>
        </w:rPr>
        <w:t xml:space="preserve"> &amp; Van Der Wal, 2019)</w:t>
      </w:r>
      <w:r w:rsidRPr="0FA9DDF5" w:rsidR="7E762389">
        <w:rPr>
          <w:rFonts w:ascii="Aptos" w:hAnsi="Aptos" w:eastAsia="Aptos" w:cs="Aptos"/>
          <w:noProof w:val="0"/>
          <w:sz w:val="24"/>
          <w:szCs w:val="24"/>
          <w:lang w:val="en-US"/>
        </w:rPr>
        <w:t>.</w:t>
      </w:r>
      <w:r w:rsidRPr="0FA9DDF5" w:rsidR="1E0706A8">
        <w:rPr>
          <w:rFonts w:ascii="Aptos" w:hAnsi="Aptos" w:eastAsia="Aptos" w:cs="Aptos"/>
          <w:noProof w:val="0"/>
          <w:sz w:val="24"/>
          <w:szCs w:val="24"/>
          <w:lang w:val="en-US"/>
        </w:rPr>
        <w:t xml:space="preserve"> By integrating measurement and structural components into a single analytical framework, SEM provides a rigorous method for evaluating both the validity of latent constructs and the strength of their relationships with disaster recovery performance outcomes</w:t>
      </w:r>
      <w:r w:rsidRPr="0FA9DDF5" w:rsidR="7E762389">
        <w:rPr>
          <w:rFonts w:ascii="Aptos" w:hAnsi="Aptos" w:eastAsia="Aptos" w:cs="Aptos"/>
          <w:noProof w:val="0"/>
          <w:sz w:val="24"/>
          <w:szCs w:val="24"/>
          <w:lang w:val="en-US"/>
        </w:rPr>
        <w:t>.</w:t>
      </w:r>
    </w:p>
    <w:p w:rsidR="7F55F639" w:rsidP="0FA9DDF5" w:rsidRDefault="7F55F639" w14:paraId="35FF5347" w14:textId="165CB0B6">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Building on that framework, the analysis uses a cross-sectional dataset of 573 administering-jurisdiction profiles, including 30 state agencies and 543 local jurisdictions. For state cases, the observation is the state agency that administers one or more CDBG-DR grants. For local cases, the observation is a county-linked local-government profile formed by aggregating city entities and activity organizations to a common administering jurisdiction. Each observation therefore summarizes an administering jurisdiction's resource and recovery profile across the study window rather than representing a single quarter or a single disaster episode. This aggregation permits a national SEM, but it is also a strong modeling assumption because it compresses variation across disaster cohorts, federal policy periods, staffing arrangements, and portfolio complexity into one cross-sectional profile. Accordingly, county is used in the paper as the geographic container for local profiles, state agency is used for state-level profiles, and grantee is reserved for the original HUD label rather than as a synonym for the SEM's analytical unit.</w:t>
      </w:r>
    </w:p>
    <w:p w:rsidR="2464D659" w:rsidP="6CB66994" w:rsidRDefault="2464D659" w14:paraId="004044DF" w14:textId="3DF7793A">
      <w:pPr>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6CB66994" w:rsidR="7E762389">
        <w:rPr>
          <w:rFonts w:ascii="Aptos" w:hAnsi="Aptos" w:eastAsia="Aptos" w:cs="Aptos"/>
          <w:b w:val="1"/>
          <w:bCs w:val="1"/>
          <w:noProof w:val="0"/>
          <w:sz w:val="24"/>
          <w:szCs w:val="24"/>
          <w:lang w:val="en-US"/>
        </w:rPr>
        <w:t xml:space="preserve">4.2. </w:t>
      </w:r>
      <w:r w:rsidRPr="6CB66994" w:rsidR="7E762389">
        <w:rPr>
          <w:rFonts w:ascii="Aptos" w:hAnsi="Aptos" w:eastAsia="Aptos" w:cs="Aptos"/>
          <w:b w:val="1"/>
          <w:bCs w:val="1"/>
          <w:noProof w:val="0"/>
          <w:sz w:val="24"/>
          <w:szCs w:val="24"/>
          <w:lang w:val="en-US"/>
        </w:rPr>
        <w:t>Conceptua</w:t>
      </w:r>
      <w:r w:rsidRPr="6CB66994" w:rsidR="7E762389">
        <w:rPr>
          <w:rFonts w:ascii="Aptos" w:hAnsi="Aptos" w:eastAsia="Aptos" w:cs="Aptos"/>
          <w:b w:val="1"/>
          <w:bCs w:val="1"/>
          <w:noProof w:val="0"/>
          <w:sz w:val="24"/>
          <w:szCs w:val="24"/>
          <w:lang w:val="en-US"/>
        </w:rPr>
        <w:t>lization of governmental capacity</w:t>
      </w:r>
    </w:p>
    <w:p w:rsidR="2464D659" w:rsidP="0FA9DDF5" w:rsidRDefault="2464D659" w14:paraId="162645B8" w14:textId="55EE6FBF">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Pr>
          <w:rFonts w:ascii="Aptos" w:hAnsi="Aptos"/>
          <w:sz w:val="304800"/>
        </w:rPr>
        <w:t>In this study, governmental capacity is conceptualized as the institutional ability of public agencies to administer CDBG-DR funds under differing levels of workload and contextual constraint. The two-factor specification separates Administrative Resources from workload manageability, which is labeled Administrative Burden Capacity in the SEM output. Administrative Resources are represented by staffing and payroll intensity proxies derived from QCEW-based employment and payroll measures, while workload manageability is represented by staff-scaled workload indicators that relate the number of disaster programs and disaster events to available staffing. This two-part conceptualization is used as an exploratory latent summary of administrative infrastructure and workload pressure rather than as definitive proof that the indicators are interchangeable reflective manifestations of a single capacity trait.</w:t>
      </w:r>
    </w:p>
    <w:p w:rsidR="2464D659" w:rsidP="0FA9DDF5" w:rsidRDefault="2464D659" w14:paraId="2412C78B" w14:textId="17E76798">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Pr>
          <w:rFonts w:ascii="Aptos" w:hAnsi="Aptos"/>
          <w:sz w:val="304800"/>
        </w:rPr>
        <w:t>Two additional indicators reflect administrative workload intensity relative to staffing levels: the number of disaster recovery programs per staff (programs_per_staff) and the number of disaster events per staff (disasters_per_staff). Higher workload per staff implies greater administrative strain, not greater capacity. To keep coefficient signs interpretable, both workload measures are reverse-coded so that higher values on the SEM input correspond to lower relative burden and, therefore, more favorable workload conditions. Operationally, programs_per_staff_j = NumProgram_j / (avg_employment_j x E_TOTPOP_j + e) and disasters_per_staff_j = NumDisaster_j / (avg_employment_j x E_TOTPOP_j + e), where avg_employment is a population-normalized staffing proxy, E_TOTPOP is jurisdiction population, and e is a small constant used only to avoid division-by-zero. Substantively, these indicators can be read as more staff capacity per program and per disaster.</w:t>
      </w:r>
    </w:p>
    <w:p w:rsidR="58F536AA" w:rsidP="0FA9DDF5" w:rsidRDefault="58F536AA" w14:paraId="44F54F2F" w14:textId="4B438257">
      <w:pPr>
        <w:pStyle w:val="ListParagraph"/>
        <w:numPr>
          <w:ilvl w:val="0"/>
          <w:numId w:val="52"/>
        </w:numPr>
        <w:suppressLineNumbers w:val="0"/>
        <w:bidi w:val="0"/>
        <w:spacing w:before="240" w:beforeAutospacing="off" w:after="240" w:afterAutospacing="off" w:line="278" w:lineRule="auto"/>
        <w:jc w:val="left"/>
        <w:rPr>
          <w:rFonts w:ascii="Consolas" w:hAnsi="Consolas" w:eastAsia="Consolas" w:cs="Consolas"/>
          <w:noProof w:val="0"/>
          <w:sz w:val="24"/>
          <w:szCs w:val="24"/>
          <w:lang w:val="en-US"/>
        </w:rPr>
      </w:pPr>
      <w:r w:rsidRPr="0FA9DDF5" w:rsidR="58F536AA">
        <w:rPr>
          <w:rFonts w:ascii="Consolas" w:hAnsi="Consolas" w:eastAsia="Consolas" w:cs="Consolas"/>
          <w:noProof w:val="0"/>
          <w:sz w:val="24"/>
          <w:szCs w:val="24"/>
          <w:lang w:val="en-US"/>
        </w:rPr>
        <w:t xml:space="preserve">avg_employment = </w:t>
      </w:r>
      <w:r w:rsidRPr="0FA9DDF5" w:rsidR="232FE773">
        <w:rPr>
          <w:rFonts w:ascii="Consolas" w:hAnsi="Consolas" w:eastAsia="Consolas" w:cs="Consolas"/>
          <w:noProof w:val="0"/>
          <w:sz w:val="24"/>
          <w:szCs w:val="24"/>
          <w:lang w:val="en-US"/>
        </w:rPr>
        <w:t>total_</w:t>
      </w:r>
      <w:r w:rsidRPr="0FA9DDF5" w:rsidR="58F536AA">
        <w:rPr>
          <w:rFonts w:ascii="Consolas" w:hAnsi="Consolas" w:eastAsia="Consolas" w:cs="Consolas"/>
          <w:noProof w:val="0"/>
          <w:sz w:val="24"/>
          <w:szCs w:val="24"/>
          <w:lang w:val="en-US"/>
        </w:rPr>
        <w:t xml:space="preserve">employments / </w:t>
      </w:r>
      <w:r w:rsidRPr="0FA9DDF5" w:rsidR="58F536AA">
        <w:rPr>
          <w:rFonts w:ascii="Consolas" w:hAnsi="Consolas" w:eastAsia="Consolas" w:cs="Consolas"/>
          <w:noProof w:val="0"/>
          <w:sz w:val="24"/>
          <w:szCs w:val="24"/>
          <w:lang w:val="en-US"/>
        </w:rPr>
        <w:t>total_population</w:t>
      </w:r>
    </w:p>
    <w:p w:rsidR="0BF3BE5F" w:rsidP="0FA9DDF5" w:rsidRDefault="0BF3BE5F" w14:paraId="513E49E0" w14:textId="01DB4FE6">
      <w:pPr>
        <w:pStyle w:val="ListParagraph"/>
        <w:numPr>
          <w:ilvl w:val="0"/>
          <w:numId w:val="52"/>
        </w:numPr>
        <w:suppressLineNumbers w:val="0"/>
        <w:bidi w:val="0"/>
        <w:spacing w:before="240" w:beforeAutospacing="off" w:after="240" w:afterAutospacing="off" w:line="278" w:lineRule="auto"/>
        <w:jc w:val="left"/>
        <w:rPr>
          <w:rFonts w:ascii="Consolas" w:hAnsi="Consolas" w:eastAsia="Consolas" w:cs="Consolas"/>
          <w:noProof w:val="0"/>
          <w:sz w:val="24"/>
          <w:szCs w:val="24"/>
          <w:lang w:val="en-US"/>
        </w:rPr>
      </w:pPr>
      <w:r w:rsidRPr="0FA9DDF5" w:rsidR="0BF3BE5F">
        <w:rPr>
          <w:rFonts w:ascii="Consolas" w:hAnsi="Consolas" w:eastAsia="Consolas" w:cs="Consolas"/>
          <w:noProof w:val="0"/>
          <w:sz w:val="24"/>
          <w:szCs w:val="24"/>
          <w:lang w:val="en-US"/>
        </w:rPr>
        <w:t>a</w:t>
      </w:r>
      <w:r w:rsidRPr="0FA9DDF5" w:rsidR="4CC3E886">
        <w:rPr>
          <w:rFonts w:ascii="Consolas" w:hAnsi="Consolas" w:eastAsia="Consolas" w:cs="Consolas"/>
          <w:noProof w:val="0"/>
          <w:sz w:val="24"/>
          <w:szCs w:val="24"/>
          <w:lang w:val="en-US"/>
        </w:rPr>
        <w:t>vg_payroll</w:t>
      </w:r>
      <w:r w:rsidRPr="0FA9DDF5" w:rsidR="4CC3E886">
        <w:rPr>
          <w:rFonts w:ascii="Consolas" w:hAnsi="Consolas" w:eastAsia="Consolas" w:cs="Consolas"/>
          <w:noProof w:val="0"/>
          <w:sz w:val="24"/>
          <w:szCs w:val="24"/>
          <w:lang w:val="en-US"/>
        </w:rPr>
        <w:t xml:space="preserve"> = </w:t>
      </w:r>
      <w:r w:rsidRPr="0FA9DDF5" w:rsidR="4CC3E886">
        <w:rPr>
          <w:rFonts w:ascii="Consolas" w:hAnsi="Consolas" w:eastAsia="Consolas" w:cs="Consolas"/>
          <w:noProof w:val="0"/>
          <w:sz w:val="24"/>
          <w:szCs w:val="24"/>
          <w:lang w:val="en-US"/>
        </w:rPr>
        <w:t>quarter</w:t>
      </w:r>
      <w:r w:rsidRPr="0FA9DDF5" w:rsidR="491ABD66">
        <w:rPr>
          <w:rFonts w:ascii="Consolas" w:hAnsi="Consolas" w:eastAsia="Consolas" w:cs="Consolas"/>
          <w:noProof w:val="0"/>
          <w:sz w:val="24"/>
          <w:szCs w:val="24"/>
          <w:lang w:val="en-US"/>
        </w:rPr>
        <w:t>_</w:t>
      </w:r>
      <w:r w:rsidRPr="0FA9DDF5" w:rsidR="4CC3E886">
        <w:rPr>
          <w:rFonts w:ascii="Consolas" w:hAnsi="Consolas" w:eastAsia="Consolas" w:cs="Consolas"/>
          <w:noProof w:val="0"/>
          <w:sz w:val="24"/>
          <w:szCs w:val="24"/>
          <w:lang w:val="en-US"/>
        </w:rPr>
        <w:t>total</w:t>
      </w:r>
      <w:r w:rsidRPr="0FA9DDF5" w:rsidR="36792B8E">
        <w:rPr>
          <w:rFonts w:ascii="Consolas" w:hAnsi="Consolas" w:eastAsia="Consolas" w:cs="Consolas"/>
          <w:noProof w:val="0"/>
          <w:sz w:val="24"/>
          <w:szCs w:val="24"/>
          <w:lang w:val="en-US"/>
        </w:rPr>
        <w:t>_</w:t>
      </w:r>
      <w:r w:rsidRPr="0FA9DDF5" w:rsidR="4CC3E886">
        <w:rPr>
          <w:rFonts w:ascii="Consolas" w:hAnsi="Consolas" w:eastAsia="Consolas" w:cs="Consolas"/>
          <w:noProof w:val="0"/>
          <w:sz w:val="24"/>
          <w:szCs w:val="24"/>
          <w:lang w:val="en-US"/>
        </w:rPr>
        <w:t>payroll</w:t>
      </w:r>
      <w:r w:rsidRPr="0FA9DDF5" w:rsidR="5CACCA94">
        <w:rPr>
          <w:rFonts w:ascii="Consolas" w:hAnsi="Consolas" w:eastAsia="Consolas" w:cs="Consolas"/>
          <w:noProof w:val="0"/>
          <w:sz w:val="24"/>
          <w:szCs w:val="24"/>
          <w:lang w:val="en-US"/>
        </w:rPr>
        <w:t xml:space="preserve"> / </w:t>
      </w:r>
      <w:r w:rsidRPr="0FA9DDF5" w:rsidR="5CACCA94">
        <w:rPr>
          <w:rFonts w:ascii="Consolas" w:hAnsi="Consolas" w:eastAsia="Consolas" w:cs="Consolas"/>
          <w:noProof w:val="0"/>
          <w:sz w:val="24"/>
          <w:szCs w:val="24"/>
          <w:lang w:val="en-US"/>
        </w:rPr>
        <w:t>total_population</w:t>
      </w:r>
    </w:p>
    <w:p w:rsidR="2464D659" w:rsidP="6CB66994" w:rsidRDefault="2464D659" w14:paraId="45EBC3E5" w14:textId="5FFC3862">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programs_per_staff</w:t>
      </w:r>
      <w:r w:rsidRPr="0FA9DDF5" w:rsidR="7E762389">
        <w:rPr>
          <w:rFonts w:ascii="Consolas" w:hAnsi="Consolas" w:eastAsia="Consolas" w:cs="Consolas"/>
          <w:noProof w:val="0"/>
          <w:sz w:val="24"/>
          <w:szCs w:val="24"/>
          <w:lang w:val="en-US"/>
        </w:rPr>
        <w:t xml:space="preserve"> = </w:t>
      </w:r>
      <w:r w:rsidRPr="0FA9DDF5" w:rsidR="7E762389">
        <w:rPr>
          <w:rFonts w:ascii="Consolas" w:hAnsi="Consolas" w:eastAsia="Consolas" w:cs="Consolas"/>
          <w:noProof w:val="0"/>
          <w:sz w:val="24"/>
          <w:szCs w:val="24"/>
          <w:lang w:val="en-US"/>
        </w:rPr>
        <w:t>Num_Program</w:t>
      </w:r>
      <w:r w:rsidRPr="0FA9DDF5" w:rsidR="7E762389">
        <w:rPr>
          <w:rFonts w:ascii="Consolas" w:hAnsi="Consolas" w:eastAsia="Consolas" w:cs="Consolas"/>
          <w:noProof w:val="0"/>
          <w:sz w:val="24"/>
          <w:szCs w:val="24"/>
          <w:lang w:val="en-US"/>
        </w:rPr>
        <w:t xml:space="preserve"> / </w:t>
      </w:r>
      <w:r w:rsidRPr="0FA9DDF5" w:rsidR="4E584A9B">
        <w:rPr>
          <w:rFonts w:ascii="Consolas" w:hAnsi="Consolas" w:eastAsia="Consolas" w:cs="Consolas"/>
          <w:noProof w:val="0"/>
          <w:sz w:val="24"/>
          <w:szCs w:val="24"/>
          <w:lang w:val="en-US"/>
        </w:rPr>
        <w:t>total_</w:t>
      </w:r>
      <w:r w:rsidRPr="0FA9DDF5" w:rsidR="7E762389">
        <w:rPr>
          <w:rFonts w:ascii="Consolas" w:hAnsi="Consolas" w:eastAsia="Consolas" w:cs="Consolas"/>
          <w:noProof w:val="0"/>
          <w:sz w:val="24"/>
          <w:szCs w:val="24"/>
          <w:lang w:val="en-US"/>
        </w:rPr>
        <w:t>employment</w:t>
      </w:r>
      <w:r w:rsidRPr="0FA9DDF5" w:rsidR="2F9BE6E0">
        <w:rPr>
          <w:rFonts w:ascii="Consolas" w:hAnsi="Consolas" w:eastAsia="Consolas" w:cs="Consolas"/>
          <w:noProof w:val="0"/>
          <w:sz w:val="24"/>
          <w:szCs w:val="24"/>
          <w:lang w:val="en-US"/>
        </w:rPr>
        <w:t>s</w:t>
      </w:r>
    </w:p>
    <w:p w:rsidR="2464D659" w:rsidP="6CB66994" w:rsidRDefault="2464D659" w14:paraId="67D4F488" w14:textId="68A10689">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disasters_per_staff</w:t>
      </w:r>
      <w:r w:rsidRPr="0FA9DDF5" w:rsidR="7E762389">
        <w:rPr>
          <w:rFonts w:ascii="Consolas" w:hAnsi="Consolas" w:eastAsia="Consolas" w:cs="Consolas"/>
          <w:noProof w:val="0"/>
          <w:sz w:val="24"/>
          <w:szCs w:val="24"/>
          <w:lang w:val="en-US"/>
        </w:rPr>
        <w:t xml:space="preserve"> = </w:t>
      </w:r>
      <w:r w:rsidRPr="0FA9DDF5" w:rsidR="7E762389">
        <w:rPr>
          <w:rFonts w:ascii="Consolas" w:hAnsi="Consolas" w:eastAsia="Consolas" w:cs="Consolas"/>
          <w:noProof w:val="0"/>
          <w:sz w:val="24"/>
          <w:szCs w:val="24"/>
          <w:lang w:val="en-US"/>
        </w:rPr>
        <w:t>Num_Disaster</w:t>
      </w:r>
      <w:r w:rsidRPr="0FA9DDF5" w:rsidR="7E762389">
        <w:rPr>
          <w:rFonts w:ascii="Consolas" w:hAnsi="Consolas" w:eastAsia="Consolas" w:cs="Consolas"/>
          <w:noProof w:val="0"/>
          <w:sz w:val="24"/>
          <w:szCs w:val="24"/>
          <w:lang w:val="en-US"/>
        </w:rPr>
        <w:t xml:space="preserve"> / </w:t>
      </w:r>
      <w:r w:rsidRPr="0FA9DDF5" w:rsidR="52261B6F">
        <w:rPr>
          <w:rFonts w:ascii="Consolas" w:hAnsi="Consolas" w:eastAsia="Consolas" w:cs="Consolas"/>
          <w:noProof w:val="0"/>
          <w:sz w:val="24"/>
          <w:szCs w:val="24"/>
          <w:lang w:val="en-US"/>
        </w:rPr>
        <w:t>total</w:t>
      </w:r>
      <w:r w:rsidRPr="0FA9DDF5" w:rsidR="7E762389">
        <w:rPr>
          <w:rFonts w:ascii="Consolas" w:hAnsi="Consolas" w:eastAsia="Consolas" w:cs="Consolas"/>
          <w:noProof w:val="0"/>
          <w:sz w:val="24"/>
          <w:szCs w:val="24"/>
          <w:lang w:val="en-US"/>
        </w:rPr>
        <w:t>_employment</w:t>
      </w:r>
      <w:r w:rsidRPr="0FA9DDF5" w:rsidR="1ABEF71E">
        <w:rPr>
          <w:rFonts w:ascii="Consolas" w:hAnsi="Consolas" w:eastAsia="Consolas" w:cs="Consolas"/>
          <w:noProof w:val="0"/>
          <w:sz w:val="24"/>
          <w:szCs w:val="24"/>
          <w:lang w:val="en-US"/>
        </w:rPr>
        <w:t>s</w:t>
      </w:r>
    </w:p>
    <w:p w:rsidR="2464D659" w:rsidP="6CB66994" w:rsidRDefault="2464D659" w14:paraId="1A101ADC" w14:textId="66C4CF25">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6CB66994" w:rsidR="7E762389">
        <w:rPr>
          <w:rFonts w:ascii="Consolas" w:hAnsi="Consolas" w:eastAsia="Consolas" w:cs="Consolas"/>
          <w:noProof w:val="0"/>
          <w:sz w:val="24"/>
          <w:szCs w:val="24"/>
          <w:lang w:val="en-US"/>
        </w:rPr>
        <w:t>rev_programs_per_staff = - programs_per_staff</w:t>
      </w:r>
    </w:p>
    <w:p w:rsidR="2464D659" w:rsidP="0FA9DDF5" w:rsidRDefault="2464D659" w14:paraId="1DD542AA" w14:textId="56AD46B6">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rev_disasters_per_staff</w:t>
      </w:r>
      <w:r w:rsidRPr="0FA9DDF5" w:rsidR="7E762389">
        <w:rPr>
          <w:rFonts w:ascii="Consolas" w:hAnsi="Consolas" w:eastAsia="Consolas" w:cs="Consolas"/>
          <w:noProof w:val="0"/>
          <w:sz w:val="24"/>
          <w:szCs w:val="24"/>
          <w:lang w:val="en-US"/>
        </w:rPr>
        <w:t xml:space="preserve"> = - </w:t>
      </w:r>
      <w:r w:rsidRPr="0FA9DDF5" w:rsidR="7E762389">
        <w:rPr>
          <w:rFonts w:ascii="Consolas" w:hAnsi="Consolas" w:eastAsia="Consolas" w:cs="Consolas"/>
          <w:noProof w:val="0"/>
          <w:sz w:val="24"/>
          <w:szCs w:val="24"/>
          <w:lang w:val="en-US"/>
        </w:rPr>
        <w:t>disasters_per_staff</w:t>
      </w:r>
    </w:p>
    <w:p w:rsidR="2464D659" w:rsidP="6CB66994" w:rsidRDefault="2464D659" w14:paraId="3B1EFE1F" w14:textId="05771746">
      <w:pPr>
        <w:pStyle w:val="Normal"/>
        <w:suppressLineNumbers w:val="0"/>
        <w:bidi w:val="0"/>
        <w:spacing w:before="240" w:beforeAutospacing="off" w:after="240" w:afterAutospacing="off" w:line="278" w:lineRule="auto"/>
        <w:ind w:left="0"/>
        <w:jc w:val="left"/>
        <w:rPr>
          <w:rFonts w:ascii="Aptos" w:hAnsi="Aptos" w:eastAsia="Aptos" w:cs="Aptos" w:asciiTheme="minorAscii" w:hAnsiTheme="minorAscii" w:eastAsiaTheme="minorAscii" w:cstheme="minorAscii"/>
          <w:b w:val="1"/>
          <w:bCs w:val="1"/>
          <w:noProof w:val="0"/>
          <w:sz w:val="24"/>
          <w:szCs w:val="24"/>
          <w:lang w:val="en-US"/>
        </w:rPr>
      </w:pPr>
      <w:r w:rsidRPr="6CB66994" w:rsidR="52A355AD">
        <w:rPr>
          <w:rFonts w:ascii="Aptos" w:hAnsi="Aptos" w:eastAsia="Aptos" w:cs="Aptos" w:asciiTheme="minorAscii" w:hAnsiTheme="minorAscii" w:eastAsiaTheme="minorAscii" w:cstheme="minorAscii"/>
          <w:b w:val="1"/>
          <w:bCs w:val="1"/>
          <w:noProof w:val="0"/>
          <w:sz w:val="24"/>
          <w:szCs w:val="24"/>
          <w:lang w:val="en-US"/>
        </w:rPr>
        <w:t>4.3. Conceptualization of disaster recovery outcomes</w:t>
      </w:r>
    </w:p>
    <w:p w:rsidR="2464D659" w:rsidP="0FA9DDF5" w:rsidRDefault="2464D659" w14:paraId="7A66D2BA" w14:textId="3F2DE645">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Pr>
          <w:rFonts w:ascii="Aptos" w:hAnsi="Aptos"/>
          <w:sz w:val="304800"/>
        </w:rPr>
        <w:t>Disaster recovery outcomes are modeled as two latent constructs: Recovery Performance and Recovery Timeliness. Recovery Performance captures the effectiveness of financial management and program implementation and is measured using four indicators: the disbursed-to-obligated ratio, the expended-to-disbursed ratio, the share of obligated funds fully expended, and the proportion of programs completed. Together, these measures summarize how effectively jurisdictions move funds through the recovery pipeline and convert those funds into completed programs. These are cumulative administrative summary measures, not event-history outcomes. Because DRGR portfolios are updated through corrections, reimbursements, and accounting adjustments, some observed cumulative ratios can exceed 1.0 in the raw administrative file, especially for expended-to-disbursed and fully-expended measures. The main SEM retains those observed values rather than mechanically truncating them, and interprets them as imperfect but informative administrative indicators. Appendix Table A7 reports how often ratios exceed 1.0 and shows a capped-ratio sensitivity check so that this accounting feature is explicit rather than hidden.</w:t>
      </w:r>
    </w:p>
    <w:p w:rsidR="2464D659" w:rsidP="0FA9DDF5" w:rsidRDefault="2464D659" w14:paraId="2C628ED9" w14:textId="147C39AA">
      <w:pPr>
        <w:pStyle w:val="Normal"/>
        <w:suppressLineNumbers w:val="0"/>
        <w:bidi w:val="0"/>
        <w:spacing w:before="240" w:beforeAutospacing="off" w:after="240" w:afterAutospacing="off" w:line="278"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sz w:val="304800"/>
        </w:rPr>
        <w:t>Recovery Timeliness represents the speed and consistency of program and grant implementation. It is measured using the duration of grant completion and the average duration of program completion, both reverse-coded so that higher values indicate faster implementation. These are useful summary indicators, but they are also sensitive to maturity and right-censoring. Newer grants and ongoing portfolios have had less time to close out, so timeliness is treated as a cross-sectional summary of observed completion pace rather than as a fully uncensored event-history outcome. Duration of completion records months to 95% expenditure for the jurisdictional portfolio, while average program duration summarizes completion time across completed program or activity components within that portfolio.</w:t>
      </w:r>
    </w:p>
    <w:p w:rsidR="241F553F" w:rsidP="0FA9DDF5" w:rsidRDefault="241F553F" w14:paraId="1706080D" w14:textId="7734DE65">
      <w:pPr>
        <w:suppressLineNumbers w:val="0"/>
        <w:bidi w:val="0"/>
        <w:spacing w:before="240" w:beforeAutospacing="off" w:after="240" w:afterAutospacing="off" w:line="278" w:lineRule="auto"/>
        <w:jc w:val="left"/>
      </w:pPr>
      <w:r w:rsidRPr="3C60AEA8" w:rsidR="241F553F">
        <w:rPr>
          <w:rFonts w:ascii="Aptos" w:hAnsi="Aptos" w:eastAsia="Aptos" w:cs="Aptos"/>
          <w:noProof w:val="0"/>
          <w:sz w:val="24"/>
          <w:szCs w:val="24"/>
          <w:lang w:val="en-US"/>
        </w:rPr>
        <w:t xml:space="preserve">Because longer completion durations </w:t>
      </w:r>
      <w:r w:rsidRPr="3C60AEA8" w:rsidR="241F553F">
        <w:rPr>
          <w:rFonts w:ascii="Aptos" w:hAnsi="Aptos" w:eastAsia="Aptos" w:cs="Aptos"/>
          <w:noProof w:val="0"/>
          <w:sz w:val="24"/>
          <w:szCs w:val="24"/>
          <w:lang w:val="en-US"/>
        </w:rPr>
        <w:t>indicate</w:t>
      </w:r>
      <w:r w:rsidRPr="3C60AEA8" w:rsidR="241F553F">
        <w:rPr>
          <w:rFonts w:ascii="Aptos" w:hAnsi="Aptos" w:eastAsia="Aptos" w:cs="Aptos"/>
          <w:noProof w:val="0"/>
          <w:sz w:val="24"/>
          <w:szCs w:val="24"/>
          <w:lang w:val="en-US"/>
        </w:rPr>
        <w:t xml:space="preserve"> slower implementation and therefore weaker performance, both duration variables are </w:t>
      </w:r>
      <w:r w:rsidRPr="3C60AEA8" w:rsidR="241F553F">
        <w:rPr>
          <w:rFonts w:ascii="Aptos" w:hAnsi="Aptos" w:eastAsia="Aptos" w:cs="Aptos"/>
          <w:noProof w:val="0"/>
          <w:sz w:val="24"/>
          <w:szCs w:val="24"/>
          <w:lang w:val="en-US"/>
        </w:rPr>
        <w:t>reverse-coded</w:t>
      </w:r>
      <w:r w:rsidRPr="3C60AEA8" w:rsidR="241F553F">
        <w:rPr>
          <w:rFonts w:ascii="Aptos" w:hAnsi="Aptos" w:eastAsia="Aptos" w:cs="Aptos"/>
          <w:noProof w:val="0"/>
          <w:sz w:val="24"/>
          <w:szCs w:val="24"/>
          <w:lang w:val="en-US"/>
        </w:rPr>
        <w:t xml:space="preserve"> prior to model estimation. After </w:t>
      </w:r>
      <w:r w:rsidRPr="3C60AEA8" w:rsidR="241F553F">
        <w:rPr>
          <w:rFonts w:ascii="Aptos" w:hAnsi="Aptos" w:eastAsia="Aptos" w:cs="Aptos"/>
          <w:noProof w:val="0"/>
          <w:sz w:val="24"/>
          <w:szCs w:val="24"/>
          <w:lang w:val="en-US"/>
        </w:rPr>
        <w:t>reverse</w:t>
      </w:r>
      <w:r w:rsidRPr="3C60AEA8" w:rsidR="241F553F">
        <w:rPr>
          <w:rFonts w:ascii="Aptos" w:hAnsi="Aptos" w:eastAsia="Aptos" w:cs="Aptos"/>
          <w:noProof w:val="0"/>
          <w:sz w:val="24"/>
          <w:szCs w:val="24"/>
          <w:lang w:val="en-US"/>
        </w:rPr>
        <w:t xml:space="preserve"> coding, higher values for all Recovery Timeliness indicators consistently </w:t>
      </w:r>
      <w:r w:rsidRPr="3C60AEA8" w:rsidR="241F553F">
        <w:rPr>
          <w:rFonts w:ascii="Aptos" w:hAnsi="Aptos" w:eastAsia="Aptos" w:cs="Aptos"/>
          <w:noProof w:val="0"/>
          <w:sz w:val="24"/>
          <w:szCs w:val="24"/>
          <w:lang w:val="en-US"/>
        </w:rPr>
        <w:t>represent</w:t>
      </w:r>
      <w:r w:rsidRPr="3C60AEA8" w:rsidR="241F553F">
        <w:rPr>
          <w:rFonts w:ascii="Aptos" w:hAnsi="Aptos" w:eastAsia="Aptos" w:cs="Aptos"/>
          <w:noProof w:val="0"/>
          <w:sz w:val="24"/>
          <w:szCs w:val="24"/>
          <w:lang w:val="en-US"/>
        </w:rPr>
        <w:t xml:space="preserve"> faster and more efficient disaster recovery implementation.</w:t>
      </w:r>
    </w:p>
    <w:p w:rsidR="2464D659" w:rsidP="6CB66994" w:rsidRDefault="2464D659" w14:paraId="32A14509" w14:textId="0EDF5684">
      <w:pPr>
        <w:pStyle w:val="ListParagraph"/>
        <w:numPr>
          <w:ilvl w:val="0"/>
          <w:numId w:val="56"/>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rev_</w:t>
      </w:r>
      <w:r w:rsidRPr="0FA9DDF5" w:rsidR="233015C9">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uration_of_</w:t>
      </w:r>
      <w:r w:rsidRPr="0FA9DDF5" w:rsidR="65EDF4AE">
        <w:rPr>
          <w:rFonts w:ascii="Consolas" w:hAnsi="Consolas" w:eastAsia="Consolas" w:cs="Consolas"/>
          <w:noProof w:val="0"/>
          <w:sz w:val="24"/>
          <w:szCs w:val="24"/>
          <w:lang w:val="en-US"/>
        </w:rPr>
        <w:t>grant_</w:t>
      </w:r>
      <w:r w:rsidRPr="0FA9DDF5" w:rsidR="7E762389">
        <w:rPr>
          <w:rFonts w:ascii="Consolas" w:hAnsi="Consolas" w:eastAsia="Consolas" w:cs="Consolas"/>
          <w:noProof w:val="0"/>
          <w:sz w:val="24"/>
          <w:szCs w:val="24"/>
          <w:lang w:val="en-US"/>
        </w:rPr>
        <w:t>completion</w:t>
      </w:r>
      <w:r w:rsidRPr="0FA9DDF5" w:rsidR="7E762389">
        <w:rPr>
          <w:rFonts w:ascii="Consolas" w:hAnsi="Consolas" w:eastAsia="Consolas" w:cs="Consolas"/>
          <w:noProof w:val="0"/>
          <w:sz w:val="24"/>
          <w:szCs w:val="24"/>
          <w:lang w:val="en-US"/>
        </w:rPr>
        <w:t xml:space="preserve"> = - </w:t>
      </w:r>
      <w:r w:rsidRPr="0FA9DDF5" w:rsidR="2D2BCEE1">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uration_of_</w:t>
      </w:r>
      <w:r w:rsidRPr="0FA9DDF5" w:rsidR="28A4A59B">
        <w:rPr>
          <w:rFonts w:ascii="Consolas" w:hAnsi="Consolas" w:eastAsia="Consolas" w:cs="Consolas"/>
          <w:noProof w:val="0"/>
          <w:sz w:val="24"/>
          <w:szCs w:val="24"/>
          <w:lang w:val="en-US"/>
        </w:rPr>
        <w:t>grant_</w:t>
      </w:r>
      <w:r w:rsidRPr="0FA9DDF5" w:rsidR="7E762389">
        <w:rPr>
          <w:rFonts w:ascii="Consolas" w:hAnsi="Consolas" w:eastAsia="Consolas" w:cs="Consolas"/>
          <w:noProof w:val="0"/>
          <w:sz w:val="24"/>
          <w:szCs w:val="24"/>
          <w:lang w:val="en-US"/>
        </w:rPr>
        <w:t>completion</w:t>
      </w:r>
    </w:p>
    <w:p w:rsidR="2464D659" w:rsidP="6CB66994" w:rsidRDefault="2464D659" w14:paraId="626E06A3" w14:textId="79AAB8D4">
      <w:pPr>
        <w:pStyle w:val="ListParagraph"/>
        <w:numPr>
          <w:ilvl w:val="0"/>
          <w:numId w:val="56"/>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rev_</w:t>
      </w:r>
      <w:r w:rsidRPr="0FA9DDF5" w:rsidR="31AF6260">
        <w:rPr>
          <w:rFonts w:ascii="Consolas" w:hAnsi="Consolas" w:eastAsia="Consolas" w:cs="Consolas"/>
          <w:noProof w:val="0"/>
          <w:sz w:val="24"/>
          <w:szCs w:val="24"/>
          <w:lang w:val="en-US"/>
        </w:rPr>
        <w:t>a</w:t>
      </w:r>
      <w:r w:rsidRPr="0FA9DDF5" w:rsidR="7E762389">
        <w:rPr>
          <w:rFonts w:ascii="Consolas" w:hAnsi="Consolas" w:eastAsia="Consolas" w:cs="Consolas"/>
          <w:noProof w:val="0"/>
          <w:sz w:val="24"/>
          <w:szCs w:val="24"/>
          <w:lang w:val="en-US"/>
        </w:rPr>
        <w:t>verage_</w:t>
      </w:r>
      <w:r w:rsidRPr="0FA9DDF5" w:rsidR="2D6B74D2">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w:t>
      </w:r>
      <w:r w:rsidRPr="0FA9DDF5" w:rsidR="2A1D29D5">
        <w:rPr>
          <w:rFonts w:ascii="Consolas" w:hAnsi="Consolas" w:eastAsia="Consolas" w:cs="Consolas"/>
          <w:noProof w:val="0"/>
          <w:sz w:val="24"/>
          <w:szCs w:val="24"/>
          <w:lang w:val="en-US"/>
        </w:rPr>
        <w:t>p</w:t>
      </w:r>
      <w:r w:rsidRPr="0FA9DDF5" w:rsidR="7E762389">
        <w:rPr>
          <w:rFonts w:ascii="Consolas" w:hAnsi="Consolas" w:eastAsia="Consolas" w:cs="Consolas"/>
          <w:noProof w:val="0"/>
          <w:sz w:val="24"/>
          <w:szCs w:val="24"/>
          <w:lang w:val="en-US"/>
        </w:rPr>
        <w:t>rogram_</w:t>
      </w:r>
      <w:r w:rsidRPr="0FA9DDF5" w:rsidR="4D5B01CC">
        <w:rPr>
          <w:rFonts w:ascii="Consolas" w:hAnsi="Consolas" w:eastAsia="Consolas" w:cs="Consolas"/>
          <w:noProof w:val="0"/>
          <w:sz w:val="24"/>
          <w:szCs w:val="24"/>
          <w:lang w:val="en-US"/>
        </w:rPr>
        <w:t>c</w:t>
      </w:r>
      <w:r w:rsidRPr="0FA9DDF5" w:rsidR="7E762389">
        <w:rPr>
          <w:rFonts w:ascii="Consolas" w:hAnsi="Consolas" w:eastAsia="Consolas" w:cs="Consolas"/>
          <w:noProof w:val="0"/>
          <w:sz w:val="24"/>
          <w:szCs w:val="24"/>
          <w:lang w:val="en-US"/>
        </w:rPr>
        <w:t>ompletion</w:t>
      </w:r>
      <w:r w:rsidRPr="0FA9DDF5" w:rsidR="7E762389">
        <w:rPr>
          <w:rFonts w:ascii="Consolas" w:hAnsi="Consolas" w:eastAsia="Consolas" w:cs="Consolas"/>
          <w:noProof w:val="0"/>
          <w:sz w:val="24"/>
          <w:szCs w:val="24"/>
          <w:lang w:val="en-US"/>
        </w:rPr>
        <w:t xml:space="preserve"> = - </w:t>
      </w:r>
      <w:r w:rsidRPr="0FA9DDF5" w:rsidR="173C246E">
        <w:rPr>
          <w:rFonts w:ascii="Consolas" w:hAnsi="Consolas" w:eastAsia="Consolas" w:cs="Consolas"/>
          <w:noProof w:val="0"/>
          <w:sz w:val="24"/>
          <w:szCs w:val="24"/>
          <w:lang w:val="en-US"/>
        </w:rPr>
        <w:t>a</w:t>
      </w:r>
      <w:r w:rsidRPr="0FA9DDF5" w:rsidR="7E762389">
        <w:rPr>
          <w:rFonts w:ascii="Consolas" w:hAnsi="Consolas" w:eastAsia="Consolas" w:cs="Consolas"/>
          <w:noProof w:val="0"/>
          <w:sz w:val="24"/>
          <w:szCs w:val="24"/>
          <w:lang w:val="en-US"/>
        </w:rPr>
        <w:t>verage_</w:t>
      </w:r>
      <w:r w:rsidRPr="0FA9DDF5" w:rsidR="4E6BE0FC">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w:t>
      </w:r>
      <w:r w:rsidRPr="0FA9DDF5" w:rsidR="62C79531">
        <w:rPr>
          <w:rFonts w:ascii="Consolas" w:hAnsi="Consolas" w:eastAsia="Consolas" w:cs="Consolas"/>
          <w:noProof w:val="0"/>
          <w:sz w:val="24"/>
          <w:szCs w:val="24"/>
          <w:lang w:val="en-US"/>
        </w:rPr>
        <w:t>p</w:t>
      </w:r>
      <w:r w:rsidRPr="0FA9DDF5" w:rsidR="7E762389">
        <w:rPr>
          <w:rFonts w:ascii="Consolas" w:hAnsi="Consolas" w:eastAsia="Consolas" w:cs="Consolas"/>
          <w:noProof w:val="0"/>
          <w:sz w:val="24"/>
          <w:szCs w:val="24"/>
          <w:lang w:val="en-US"/>
        </w:rPr>
        <w:t>rogram_</w:t>
      </w:r>
      <w:r w:rsidRPr="0FA9DDF5" w:rsidR="351F707E">
        <w:rPr>
          <w:rFonts w:ascii="Consolas" w:hAnsi="Consolas" w:eastAsia="Consolas" w:cs="Consolas"/>
          <w:noProof w:val="0"/>
          <w:sz w:val="24"/>
          <w:szCs w:val="24"/>
          <w:lang w:val="en-US"/>
        </w:rPr>
        <w:t>c</w:t>
      </w:r>
      <w:r w:rsidRPr="0FA9DDF5" w:rsidR="7E762389">
        <w:rPr>
          <w:rFonts w:ascii="Consolas" w:hAnsi="Consolas" w:eastAsia="Consolas" w:cs="Consolas"/>
          <w:noProof w:val="0"/>
          <w:sz w:val="24"/>
          <w:szCs w:val="24"/>
          <w:lang w:val="en-US"/>
        </w:rPr>
        <w:t>ompletion</w:t>
      </w:r>
    </w:p>
    <w:p w:rsidR="2464D659" w:rsidP="6CB66994" w:rsidRDefault="2464D659" w14:paraId="0D70D739" w14:textId="7212FE43">
      <w:pPr>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6CB66994" w:rsidR="3C1C99A6">
        <w:rPr>
          <w:rFonts w:ascii="Aptos" w:hAnsi="Aptos" w:eastAsia="Aptos" w:cs="Aptos"/>
          <w:b w:val="1"/>
          <w:bCs w:val="1"/>
          <w:noProof w:val="0"/>
          <w:sz w:val="24"/>
          <w:szCs w:val="24"/>
          <w:lang w:val="en-US"/>
        </w:rPr>
        <w:t>4.4. Control variables</w:t>
      </w:r>
    </w:p>
    <w:p w:rsidR="2464D659" w:rsidP="0FA9DDF5" w:rsidRDefault="2464D659" w14:paraId="6463CA43" w14:textId="0DE621C6">
      <w:pPr>
        <w:pStyle w:val="Normal"/>
        <w:suppressLineNumbers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To account for contextual differences across jurisdictions, the SEM includes governmental level, jurisdiction size, and social vulnerability covariates (Peacock et al., 2014; CDC/ATSDR, 2026). Governmental level is represented by a binary indicator coded 1 for state agencies and 0 for local governments. This variable is modeled as a direct predictor and later used to organize descriptive subset comparisons; it is not a moderation term. Jurisdiction size is captured through total population, and the four SVI themes are included as broad contextual controls. Because the final SEM-ready dataset stores these covariates in standardized form, coefficients reflect cross-sectional associations within the aggregated administering-jurisdiction sample rather than temporal effects of changing population or SVI conditions. State and local cases are therefore adjusted within a pooled model, but they are not treated as institutionally interchangeable units for strong comparative inference.</w:t>
      </w:r>
    </w:p>
    <w:p w:rsidR="78C1B7CB" w:rsidP="0FA9DDF5" w:rsidRDefault="78C1B7CB" w14:paraId="6B0423E0" w14:textId="4416751D">
      <w:pPr>
        <w:pStyle w:val="Normal"/>
        <w:suppressLineNumbers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0FA9DDF5" w:rsidR="78C1B7CB">
        <w:rPr>
          <w:rFonts w:ascii="Aptos" w:hAnsi="Aptos" w:eastAsia="Aptos" w:cs="Aptos"/>
          <w:b w:val="1"/>
          <w:bCs w:val="1"/>
          <w:noProof w:val="0"/>
          <w:sz w:val="24"/>
          <w:szCs w:val="24"/>
          <w:lang w:val="en-US"/>
        </w:rPr>
        <w:t>4.</w:t>
      </w:r>
      <w:r w:rsidRPr="0FA9DDF5" w:rsidR="277E9D05">
        <w:rPr>
          <w:rFonts w:ascii="Aptos" w:hAnsi="Aptos" w:eastAsia="Aptos" w:cs="Aptos"/>
          <w:b w:val="1"/>
          <w:bCs w:val="1"/>
          <w:noProof w:val="0"/>
          <w:sz w:val="24"/>
          <w:szCs w:val="24"/>
          <w:lang w:val="en-US"/>
        </w:rPr>
        <w:t>5</w:t>
      </w:r>
      <w:r w:rsidRPr="0FA9DDF5" w:rsidR="78C1B7CB">
        <w:rPr>
          <w:rFonts w:ascii="Aptos" w:hAnsi="Aptos" w:eastAsia="Aptos" w:cs="Aptos"/>
          <w:b w:val="1"/>
          <w:bCs w:val="1"/>
          <w:noProof w:val="0"/>
          <w:sz w:val="24"/>
          <w:szCs w:val="24"/>
          <w:lang w:val="en-US"/>
        </w:rPr>
        <w:t xml:space="preserve">. </w:t>
      </w:r>
      <w:r w:rsidRPr="0FA9DDF5" w:rsidR="78C1B7CB">
        <w:rPr>
          <w:rFonts w:ascii="Aptos" w:hAnsi="Aptos" w:eastAsia="Aptos" w:cs="Aptos"/>
          <w:b w:val="1"/>
          <w:bCs w:val="1"/>
          <w:noProof w:val="0"/>
          <w:sz w:val="24"/>
          <w:szCs w:val="24"/>
          <w:lang w:val="en-US"/>
        </w:rPr>
        <w:t>SEM</w:t>
      </w:r>
      <w:r w:rsidRPr="0FA9DDF5" w:rsidR="0E4D2F37">
        <w:rPr>
          <w:rFonts w:ascii="Aptos" w:hAnsi="Aptos" w:eastAsia="Aptos" w:cs="Aptos"/>
          <w:b w:val="1"/>
          <w:bCs w:val="1"/>
          <w:noProof w:val="0"/>
          <w:sz w:val="24"/>
          <w:szCs w:val="24"/>
          <w:lang w:val="en-US"/>
        </w:rPr>
        <w:t xml:space="preserve"> modeling framework</w:t>
      </w:r>
    </w:p>
    <w:p w:rsidR="78C1B7CB" w:rsidP="0FA9DDF5" w:rsidRDefault="78C1B7CB" w14:paraId="54F3F4A6" w14:textId="2652AD65">
      <w:pPr>
        <w:pStyle w:val="Normal"/>
        <w:suppressLineNumbers w:val="0"/>
        <w:bidi w:val="0"/>
        <w:spacing w:before="240" w:beforeAutospacing="off" w:after="240" w:afterAutospacing="off" w:line="278" w:lineRule="auto"/>
        <w:jc w:val="left"/>
        <w:rPr>
          <w:rFonts w:ascii="Aptos" w:hAnsi="Aptos" w:eastAsia="Aptos" w:cs="Aptos"/>
          <w:noProof w:val="0"/>
          <w:sz w:val="24"/>
          <w:szCs w:val="24"/>
          <w:lang w:val="en-US"/>
        </w:rPr>
      </w:pPr>
      <w:r>
        <w:rPr>
          <w:rFonts w:ascii="Aptos" w:hAnsi="Aptos"/>
          <w:sz w:val="304800"/>
        </w:rPr>
        <w:t>The primary SEM specification decomposes governmental capacity into two related latent dimensions - Administrative Resources and Administrative Burden Capacity - while representing disaster recovery outcomes as two related latent constructs - Recovery Performance and Recovery Timeliness. This specification is used as the main interpretive model because it better separates resource levels from workload pressure and produces stronger conventional fit indices than the one-factor alternative, even though the alternative retains lower AIC and BIC. The two-factor SEM is therefore retained as the article's main summary model, while the underlying measurement logic remains explicitly exploratory.</w:t>
      </w:r>
    </w:p>
    <w:p w:rsidR="78C1B7CB" w:rsidP="0FA9DDF5" w:rsidRDefault="78C1B7CB" w14:paraId="04292E2F" w14:textId="3CCF7907">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1CED6B6A">
        <w:rPr>
          <w:rFonts w:ascii="Aptos" w:hAnsi="Aptos" w:eastAsia="Aptos" w:cs="Aptos"/>
          <w:noProof w:val="0"/>
          <w:sz w:val="24"/>
          <w:szCs w:val="24"/>
          <w:lang w:val="en-US"/>
        </w:rPr>
        <w:t>Figure 1 presents the integrated conceptual and empirical framework guiding this study. The framework conceptualizes disaster recovery outcomes as the result of interactions among contextual conditions, governmental capacity, and administrative processes. Specifically, jurisdiction size, social vulnerability, and governmental level define the contextual environment within which recovery administration occurs and may influence both governmental capacity and recovery outcomes. These relationships ultimately shape variation in recovery performance and recovery timeliness across jurisdictions, as well as the spatial distribution of administrative governance risk.</w:t>
      </w:r>
    </w:p>
    <w:p w:rsidR="75ADE057" w:rsidP="0FA9DDF5" w:rsidRDefault="75ADE057" w14:paraId="043A68EF" w14:textId="1F898B2B">
      <w:pPr>
        <w:pStyle w:val="Normal"/>
        <w:suppressLineNumbers w:val="0"/>
        <w:bidi w:val="0"/>
        <w:spacing w:before="240" w:beforeAutospacing="off" w:after="240" w:afterAutospacing="off" w:line="278" w:lineRule="auto"/>
        <w:jc w:val="left"/>
        <w:rPr>
          <w:rFonts w:ascii="Aptos" w:hAnsi="Aptos" w:eastAsia="Aptos" w:cs="Aptos"/>
          <w:noProof w:val="0"/>
          <w:sz w:val="24"/>
          <w:szCs w:val="24"/>
          <w:lang w:val="en-US"/>
        </w:rPr>
      </w:pPr>
      <w:r>
        <w:rPr>
          <w:rFonts w:ascii="Aptos" w:hAnsi="Aptos"/>
          <w:sz w:val="304800"/>
        </w:rPr>
        <w:t>The SEM framework enables the analysis to distinguish between the effects of greater administrative resources and those associated with lower relative workload burdens. Both latent capacity dimensions are specified as predictors of Recovery Performance and Recovery Timeliness while controlling for governmental level, jurisdiction size, and the four SVI dimensions. The two capacity dimensions are allowed to covary, as are the two outcome constructs. These are modeled as direct relationships rather than as interaction or moderation effects.</w:t>
      </w:r>
    </w:p>
    <w:p w:rsidR="78C1B7CB" w:rsidP="41D8F452" w:rsidRDefault="78C1B7CB" w14:paraId="7539D575" w14:textId="462E6A39">
      <w:pPr>
        <w:suppressLineNumbers w:val="0"/>
        <w:bidi w:val="0"/>
        <w:spacing w:before="240" w:beforeAutospacing="off" w:after="240" w:afterAutospacing="off" w:line="278" w:lineRule="auto"/>
        <w:jc w:val="center"/>
        <w:rPr>
          <w:rFonts w:ascii="Aptos" w:hAnsi="Aptos" w:eastAsia="Aptos" w:cs="Aptos"/>
          <w:noProof w:val="0"/>
          <w:sz w:val="24"/>
          <w:szCs w:val="24"/>
          <w:lang w:val="en-US"/>
        </w:rPr>
      </w:pPr>
      <w:r w:rsidR="78C1B7CB">
        <w:drawing>
          <wp:inline wp14:editId="4BEEBA7A" wp14:anchorId="64C3F0C9">
            <wp:extent cx="5879604" cy="4864618"/>
            <wp:effectExtent l="0" t="0" r="0" b="0"/>
            <wp:docPr id="1928719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014971" name="Picture 1743014971"/>
                    <pic:cNvPicPr/>
                  </pic:nvPicPr>
                  <pic:blipFill>
                    <a:blip xmlns:r="http://schemas.openxmlformats.org/officeDocument/2006/relationships" r:embed="rId1553974518">
                      <a:extLst>
                        <a:ext uri="{28A0092B-C50C-407E-A947-70E740481C1C}">
                          <a14:useLocalDpi xmlns:a14="http://schemas.microsoft.com/office/drawing/2010/main"/>
                        </a:ext>
                      </a:extLst>
                    </a:blip>
                    <a:stretch>
                      <a:fillRect/>
                    </a:stretch>
                  </pic:blipFill>
                  <pic:spPr>
                    <a:xfrm>
                      <a:off x="0" y="0"/>
                      <a:ext cx="5879604" cy="4864618"/>
                    </a:xfrm>
                    <a:prstGeom prst="rect">
                      <a:avLst/>
                    </a:prstGeom>
                  </pic:spPr>
                </pic:pic>
              </a:graphicData>
            </a:graphic>
          </wp:inline>
        </w:drawing>
      </w:r>
    </w:p>
    <w:p w:rsidR="78C1B7CB" w:rsidP="0FA9DDF5" w:rsidRDefault="78C1B7CB" w14:paraId="0FCFEA28" w14:textId="5648FF70">
      <w:pPr>
        <w:pStyle w:val="Normal"/>
        <w:suppressLineNumbers w:val="0"/>
        <w:bidi w:val="0"/>
        <w:spacing w:before="240" w:beforeAutospacing="off" w:after="240" w:afterAutospacing="off" w:line="278" w:lineRule="auto"/>
        <w:jc w:val="left"/>
        <w:rPr>
          <w:rFonts w:ascii="Aptos" w:hAnsi="Aptos" w:eastAsia="Aptos" w:cs="Aptos"/>
          <w:b w:val="0"/>
          <w:bCs w:val="0"/>
          <w:noProof w:val="0"/>
          <w:sz w:val="24"/>
          <w:szCs w:val="24"/>
          <w:lang w:val="en-US"/>
        </w:rPr>
      </w:pPr>
      <w:r w:rsidRPr="0FA9DDF5" w:rsidR="78C1B7CB">
        <w:rPr>
          <w:rFonts w:ascii="Aptos" w:hAnsi="Aptos" w:eastAsia="Aptos" w:cs="Aptos"/>
          <w:b w:val="1"/>
          <w:bCs w:val="1"/>
          <w:noProof w:val="0"/>
          <w:sz w:val="24"/>
          <w:szCs w:val="24"/>
          <w:lang w:val="en-US"/>
        </w:rPr>
        <w:t xml:space="preserve">Figure 1. </w:t>
      </w:r>
      <w:r w:rsidRPr="0FA9DDF5" w:rsidR="78C1B7CB">
        <w:rPr>
          <w:rFonts w:ascii="Aptos" w:hAnsi="Aptos" w:eastAsia="Aptos" w:cs="Aptos"/>
          <w:b w:val="0"/>
          <w:bCs w:val="0"/>
          <w:noProof w:val="0"/>
          <w:sz w:val="24"/>
          <w:szCs w:val="24"/>
          <w:lang w:val="en-US"/>
        </w:rPr>
        <w:t>Structural equation model of governmental capacity and disaster recovery outcomes</w:t>
      </w:r>
      <w:r w:rsidRPr="0FA9DDF5" w:rsidR="4FCF6513">
        <w:rPr>
          <w:rFonts w:ascii="Aptos" w:hAnsi="Aptos" w:eastAsia="Aptos" w:cs="Aptos"/>
          <w:b w:val="0"/>
          <w:bCs w:val="0"/>
          <w:noProof w:val="0"/>
          <w:sz w:val="24"/>
          <w:szCs w:val="24"/>
          <w:lang w:val="en-US"/>
        </w:rPr>
        <w:t>.</w:t>
      </w:r>
    </w:p>
    <w:p w:rsidR="716257BA" w:rsidP="0FA9DDF5" w:rsidRDefault="716257BA" w14:paraId="07C3EB4C" w14:textId="41020A5E">
      <w:pPr>
        <w:pStyle w:val="Normal"/>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716257BA">
        <w:rPr>
          <w:rFonts w:ascii="Aptos" w:hAnsi="Aptos" w:eastAsia="Aptos" w:cs="Aptos"/>
          <w:noProof w:val="0"/>
          <w:sz w:val="24"/>
          <w:szCs w:val="24"/>
          <w:lang w:val="en-US"/>
        </w:rPr>
        <w:t>Specifically, the SEM framework consists of two components: a measurement model and a structural model, which together are used to examine the mechanisms influencing disaster recovery program outcomes. The measurement model defines the relationships between latent constructs and their observed indicators, ensuring that key concepts – such as governmental capacity and recovery outcomes – are reliably represented by multiple empirical measures.</w:t>
      </w:r>
    </w:p>
    <w:p w:rsidR="78C1B7CB" w:rsidP="0FA9DDF5" w:rsidRDefault="78C1B7CB" w14:paraId="7628F133" w14:textId="7338BB7B">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AdminResources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avg_employment</w:t>
      </w:r>
      <w:r w:rsidRPr="0FA9DDF5" w:rsidR="78C1B7CB">
        <w:rPr>
          <w:rFonts w:ascii="Consolas" w:hAnsi="Consolas" w:eastAsia="Consolas" w:cs="Consolas"/>
          <w:noProof w:val="0"/>
          <w:sz w:val="24"/>
          <w:szCs w:val="24"/>
          <w:lang w:val="en-US"/>
        </w:rPr>
        <w:t xml:space="preserve">, </w:t>
      </w:r>
      <w:r w:rsidRPr="0FA9DDF5" w:rsidR="78C1B7CB">
        <w:rPr>
          <w:rFonts w:ascii="Consolas" w:hAnsi="Consolas" w:eastAsia="Consolas" w:cs="Consolas"/>
          <w:noProof w:val="0"/>
          <w:sz w:val="24"/>
          <w:szCs w:val="24"/>
          <w:lang w:val="en-US"/>
        </w:rPr>
        <w:t>avg_payroll</w:t>
      </w:r>
    </w:p>
    <w:p w:rsidR="78C1B7CB" w:rsidP="0FA9DDF5" w:rsidRDefault="78C1B7CB" w14:paraId="1AE3AE64" w14:textId="76913A86">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AdminBurdenCapacity</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rev_programs_per_staff</w:t>
      </w:r>
      <w:r w:rsidRPr="0FA9DDF5" w:rsidR="78C1B7CB">
        <w:rPr>
          <w:rFonts w:ascii="Consolas" w:hAnsi="Consolas" w:eastAsia="Consolas" w:cs="Consolas"/>
          <w:noProof w:val="0"/>
          <w:sz w:val="24"/>
          <w:szCs w:val="24"/>
          <w:lang w:val="en-US"/>
        </w:rPr>
        <w:t xml:space="preserve">, </w:t>
      </w:r>
      <w:r w:rsidRPr="0FA9DDF5" w:rsidR="78C1B7CB">
        <w:rPr>
          <w:rFonts w:ascii="Consolas" w:hAnsi="Consolas" w:eastAsia="Consolas" w:cs="Consolas"/>
          <w:noProof w:val="0"/>
          <w:sz w:val="24"/>
          <w:szCs w:val="24"/>
          <w:lang w:val="en-US"/>
        </w:rPr>
        <w:t>rev_disasters_per_staff</w:t>
      </w:r>
    </w:p>
    <w:p w:rsidR="78C1B7CB" w:rsidP="0FA9DDF5" w:rsidRDefault="78C1B7CB" w14:paraId="0F5DDFB0" w14:textId="2F7106AE">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RecoveryPerformance</w:t>
      </w:r>
      <w:r w:rsidRPr="0FA9DDF5" w:rsidR="78C1B7CB">
        <w:rPr>
          <w:rFonts w:ascii="Consolas" w:hAnsi="Consolas" w:eastAsia="Consolas" w:cs="Consolas"/>
          <w:noProof w:val="0"/>
          <w:sz w:val="24"/>
          <w:szCs w:val="24"/>
          <w:lang w:val="en-US"/>
        </w:rPr>
        <w:t xml:space="preserve"> ← </w:t>
      </w:r>
      <w:r w:rsidRPr="0FA9DDF5" w:rsidR="41317F54">
        <w:rPr>
          <w:rFonts w:ascii="Consolas" w:hAnsi="Consolas" w:eastAsia="Consolas" w:cs="Consolas"/>
          <w:noProof w:val="0"/>
          <w:sz w:val="24"/>
          <w:szCs w:val="24"/>
          <w:lang w:val="en-US"/>
        </w:rPr>
        <w:t>r</w:t>
      </w:r>
      <w:r w:rsidRPr="0FA9DDF5" w:rsidR="78C1B7CB">
        <w:rPr>
          <w:rFonts w:ascii="Consolas" w:hAnsi="Consolas" w:eastAsia="Consolas" w:cs="Consolas"/>
          <w:noProof w:val="0"/>
          <w:sz w:val="24"/>
          <w:szCs w:val="24"/>
          <w:lang w:val="en-US"/>
        </w:rPr>
        <w:t>atio_disbursed_to_obligated</w:t>
      </w:r>
      <w:r w:rsidRPr="0FA9DDF5" w:rsidR="78C1B7CB">
        <w:rPr>
          <w:rFonts w:ascii="Consolas" w:hAnsi="Consolas" w:eastAsia="Consolas" w:cs="Consolas"/>
          <w:noProof w:val="0"/>
          <w:sz w:val="24"/>
          <w:szCs w:val="24"/>
          <w:lang w:val="en-US"/>
        </w:rPr>
        <w:t xml:space="preserve">, </w:t>
      </w:r>
      <w:r w:rsidRPr="0FA9DDF5" w:rsidR="778EF062">
        <w:rPr>
          <w:rFonts w:ascii="Consolas" w:hAnsi="Consolas" w:eastAsia="Consolas" w:cs="Consolas"/>
          <w:noProof w:val="0"/>
          <w:sz w:val="24"/>
          <w:szCs w:val="24"/>
          <w:lang w:val="en-US"/>
        </w:rPr>
        <w:t>ra</w:t>
      </w:r>
      <w:r w:rsidRPr="0FA9DDF5" w:rsidR="78C1B7CB">
        <w:rPr>
          <w:rFonts w:ascii="Consolas" w:hAnsi="Consolas" w:eastAsia="Consolas" w:cs="Consolas"/>
          <w:noProof w:val="0"/>
          <w:sz w:val="24"/>
          <w:szCs w:val="24"/>
          <w:lang w:val="en-US"/>
        </w:rPr>
        <w:t>tio_expended_to_disbursed</w:t>
      </w:r>
      <w:r w:rsidRPr="0FA9DDF5" w:rsidR="78C1B7CB">
        <w:rPr>
          <w:rFonts w:ascii="Consolas" w:hAnsi="Consolas" w:eastAsia="Consolas" w:cs="Consolas"/>
          <w:noProof w:val="0"/>
          <w:sz w:val="24"/>
          <w:szCs w:val="24"/>
          <w:lang w:val="en-US"/>
        </w:rPr>
        <w:t xml:space="preserve">, </w:t>
      </w:r>
      <w:r w:rsidRPr="0FA9DDF5" w:rsidR="1731D6EB">
        <w:rPr>
          <w:rFonts w:ascii="Consolas" w:hAnsi="Consolas" w:eastAsia="Consolas" w:cs="Consolas"/>
          <w:noProof w:val="0"/>
          <w:sz w:val="24"/>
          <w:szCs w:val="24"/>
          <w:lang w:val="en-US"/>
        </w:rPr>
        <w:t>r</w:t>
      </w:r>
      <w:r w:rsidRPr="0FA9DDF5" w:rsidR="78C1B7CB">
        <w:rPr>
          <w:rFonts w:ascii="Consolas" w:hAnsi="Consolas" w:eastAsia="Consolas" w:cs="Consolas"/>
          <w:noProof w:val="0"/>
          <w:sz w:val="24"/>
          <w:szCs w:val="24"/>
          <w:lang w:val="en-US"/>
        </w:rPr>
        <w:t>atio_</w:t>
      </w:r>
      <w:r w:rsidRPr="0FA9DDF5" w:rsidR="6F474238">
        <w:rPr>
          <w:rFonts w:ascii="Consolas" w:hAnsi="Consolas" w:eastAsia="Consolas" w:cs="Consolas"/>
          <w:noProof w:val="0"/>
          <w:sz w:val="24"/>
          <w:szCs w:val="24"/>
          <w:lang w:val="en-US"/>
        </w:rPr>
        <w:t>total_</w:t>
      </w:r>
      <w:r w:rsidRPr="0FA9DDF5" w:rsidR="78C1B7CB">
        <w:rPr>
          <w:rFonts w:ascii="Consolas" w:hAnsi="Consolas" w:eastAsia="Consolas" w:cs="Consolas"/>
          <w:noProof w:val="0"/>
          <w:sz w:val="24"/>
          <w:szCs w:val="24"/>
          <w:lang w:val="en-US"/>
        </w:rPr>
        <w:t>obligated_funds_fully_expended</w:t>
      </w:r>
      <w:r w:rsidRPr="0FA9DDF5" w:rsidR="78C1B7CB">
        <w:rPr>
          <w:rFonts w:ascii="Consolas" w:hAnsi="Consolas" w:eastAsia="Consolas" w:cs="Consolas"/>
          <w:noProof w:val="0"/>
          <w:sz w:val="24"/>
          <w:szCs w:val="24"/>
          <w:lang w:val="en-US"/>
        </w:rPr>
        <w:t xml:space="preserve">, </w:t>
      </w:r>
      <w:r w:rsidRPr="0FA9DDF5" w:rsidR="0E6C0640">
        <w:rPr>
          <w:rFonts w:ascii="Consolas" w:hAnsi="Consolas" w:eastAsia="Consolas" w:cs="Consolas"/>
          <w:noProof w:val="0"/>
          <w:sz w:val="24"/>
          <w:szCs w:val="24"/>
          <w:lang w:val="en-US"/>
        </w:rPr>
        <w:t>r</w:t>
      </w:r>
      <w:r w:rsidRPr="0FA9DDF5" w:rsidR="78C1B7CB">
        <w:rPr>
          <w:rFonts w:ascii="Consolas" w:hAnsi="Consolas" w:eastAsia="Consolas" w:cs="Consolas"/>
          <w:noProof w:val="0"/>
          <w:sz w:val="24"/>
          <w:szCs w:val="24"/>
          <w:lang w:val="en-US"/>
        </w:rPr>
        <w:t>atio_</w:t>
      </w:r>
      <w:r w:rsidRPr="0FA9DDF5" w:rsidR="3EFCFD53">
        <w:rPr>
          <w:rFonts w:ascii="Consolas" w:hAnsi="Consolas" w:eastAsia="Consolas" w:cs="Consolas"/>
          <w:noProof w:val="0"/>
          <w:sz w:val="24"/>
          <w:szCs w:val="24"/>
          <w:lang w:val="en-US"/>
        </w:rPr>
        <w:t>p</w:t>
      </w:r>
      <w:r w:rsidRPr="0FA9DDF5" w:rsidR="78C1B7CB">
        <w:rPr>
          <w:rFonts w:ascii="Consolas" w:hAnsi="Consolas" w:eastAsia="Consolas" w:cs="Consolas"/>
          <w:noProof w:val="0"/>
          <w:sz w:val="24"/>
          <w:szCs w:val="24"/>
          <w:lang w:val="en-US"/>
        </w:rPr>
        <w:t>rogram_</w:t>
      </w:r>
      <w:r w:rsidRPr="0FA9DDF5" w:rsidR="15A9DAE6">
        <w:rPr>
          <w:rFonts w:ascii="Consolas" w:hAnsi="Consolas" w:eastAsia="Consolas" w:cs="Consolas"/>
          <w:noProof w:val="0"/>
          <w:sz w:val="24"/>
          <w:szCs w:val="24"/>
          <w:lang w:val="en-US"/>
        </w:rPr>
        <w:t>c</w:t>
      </w:r>
      <w:r w:rsidRPr="0FA9DDF5" w:rsidR="78C1B7CB">
        <w:rPr>
          <w:rFonts w:ascii="Consolas" w:hAnsi="Consolas" w:eastAsia="Consolas" w:cs="Consolas"/>
          <w:noProof w:val="0"/>
          <w:sz w:val="24"/>
          <w:szCs w:val="24"/>
          <w:lang w:val="en-US"/>
        </w:rPr>
        <w:t>ompleted</w:t>
      </w:r>
    </w:p>
    <w:p w:rsidR="78C1B7CB" w:rsidP="0FA9DDF5" w:rsidRDefault="78C1B7CB" w14:paraId="279F811A" w14:textId="27767ADB">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RecoveryTimeliness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rev_</w:t>
      </w:r>
      <w:r w:rsidRPr="0FA9DDF5" w:rsidR="5B090965">
        <w:rPr>
          <w:rFonts w:ascii="Consolas" w:hAnsi="Consolas" w:eastAsia="Consolas" w:cs="Consolas"/>
          <w:noProof w:val="0"/>
          <w:sz w:val="24"/>
          <w:szCs w:val="24"/>
          <w:lang w:val="en-US"/>
        </w:rPr>
        <w:t>d</w:t>
      </w:r>
      <w:r w:rsidRPr="0FA9DDF5" w:rsidR="78C1B7CB">
        <w:rPr>
          <w:rFonts w:ascii="Consolas" w:hAnsi="Consolas" w:eastAsia="Consolas" w:cs="Consolas"/>
          <w:noProof w:val="0"/>
          <w:sz w:val="24"/>
          <w:szCs w:val="24"/>
          <w:lang w:val="en-US"/>
        </w:rPr>
        <w:t>uration_of_</w:t>
      </w:r>
      <w:r w:rsidRPr="0FA9DDF5" w:rsidR="457CB350">
        <w:rPr>
          <w:rFonts w:ascii="Consolas" w:hAnsi="Consolas" w:eastAsia="Consolas" w:cs="Consolas"/>
          <w:noProof w:val="0"/>
          <w:sz w:val="24"/>
          <w:szCs w:val="24"/>
          <w:lang w:val="en-US"/>
        </w:rPr>
        <w:t>grant_</w:t>
      </w:r>
      <w:r w:rsidRPr="0FA9DDF5" w:rsidR="78C1B7CB">
        <w:rPr>
          <w:rFonts w:ascii="Consolas" w:hAnsi="Consolas" w:eastAsia="Consolas" w:cs="Consolas"/>
          <w:noProof w:val="0"/>
          <w:sz w:val="24"/>
          <w:szCs w:val="24"/>
          <w:lang w:val="en-US"/>
        </w:rPr>
        <w:t>completion</w:t>
      </w:r>
      <w:r w:rsidRPr="0FA9DDF5" w:rsidR="78C1B7CB">
        <w:rPr>
          <w:rFonts w:ascii="Consolas" w:hAnsi="Consolas" w:eastAsia="Consolas" w:cs="Consolas"/>
          <w:noProof w:val="0"/>
          <w:sz w:val="24"/>
          <w:szCs w:val="24"/>
          <w:lang w:val="en-US"/>
        </w:rPr>
        <w:t xml:space="preserve">, </w:t>
      </w:r>
      <w:r w:rsidRPr="0FA9DDF5" w:rsidR="78C1B7CB">
        <w:rPr>
          <w:rFonts w:ascii="Consolas" w:hAnsi="Consolas" w:eastAsia="Consolas" w:cs="Consolas"/>
          <w:noProof w:val="0"/>
          <w:sz w:val="24"/>
          <w:szCs w:val="24"/>
          <w:lang w:val="en-US"/>
        </w:rPr>
        <w:t>rev_</w:t>
      </w:r>
      <w:r w:rsidRPr="0FA9DDF5" w:rsidR="795A372D">
        <w:rPr>
          <w:rFonts w:ascii="Consolas" w:hAnsi="Consolas" w:eastAsia="Consolas" w:cs="Consolas"/>
          <w:noProof w:val="0"/>
          <w:sz w:val="24"/>
          <w:szCs w:val="24"/>
          <w:lang w:val="en-US"/>
        </w:rPr>
        <w:t>a</w:t>
      </w:r>
      <w:r w:rsidRPr="0FA9DDF5" w:rsidR="78C1B7CB">
        <w:rPr>
          <w:rFonts w:ascii="Consolas" w:hAnsi="Consolas" w:eastAsia="Consolas" w:cs="Consolas"/>
          <w:noProof w:val="0"/>
          <w:sz w:val="24"/>
          <w:szCs w:val="24"/>
          <w:lang w:val="en-US"/>
        </w:rPr>
        <w:t>verage_</w:t>
      </w:r>
      <w:r w:rsidRPr="0FA9DDF5" w:rsidR="3A122A39">
        <w:rPr>
          <w:rFonts w:ascii="Consolas" w:hAnsi="Consolas" w:eastAsia="Consolas" w:cs="Consolas"/>
          <w:noProof w:val="0"/>
          <w:sz w:val="24"/>
          <w:szCs w:val="24"/>
          <w:lang w:val="en-US"/>
        </w:rPr>
        <w:t>d</w:t>
      </w:r>
      <w:r w:rsidRPr="0FA9DDF5" w:rsidR="78C1B7CB">
        <w:rPr>
          <w:rFonts w:ascii="Consolas" w:hAnsi="Consolas" w:eastAsia="Consolas" w:cs="Consolas"/>
          <w:noProof w:val="0"/>
          <w:sz w:val="24"/>
          <w:szCs w:val="24"/>
          <w:lang w:val="en-US"/>
        </w:rPr>
        <w:t>uration_</w:t>
      </w:r>
      <w:r w:rsidRPr="0FA9DDF5" w:rsidR="7AD79087">
        <w:rPr>
          <w:rFonts w:ascii="Consolas" w:hAnsi="Consolas" w:eastAsia="Consolas" w:cs="Consolas"/>
          <w:noProof w:val="0"/>
          <w:sz w:val="24"/>
          <w:szCs w:val="24"/>
          <w:lang w:val="en-US"/>
        </w:rPr>
        <w:t>p</w:t>
      </w:r>
      <w:r w:rsidRPr="0FA9DDF5" w:rsidR="78C1B7CB">
        <w:rPr>
          <w:rFonts w:ascii="Consolas" w:hAnsi="Consolas" w:eastAsia="Consolas" w:cs="Consolas"/>
          <w:noProof w:val="0"/>
          <w:sz w:val="24"/>
          <w:szCs w:val="24"/>
          <w:lang w:val="en-US"/>
        </w:rPr>
        <w:t>rogram_</w:t>
      </w:r>
      <w:r w:rsidRPr="0FA9DDF5" w:rsidR="77027C4E">
        <w:rPr>
          <w:rFonts w:ascii="Consolas" w:hAnsi="Consolas" w:eastAsia="Consolas" w:cs="Consolas"/>
          <w:noProof w:val="0"/>
          <w:sz w:val="24"/>
          <w:szCs w:val="24"/>
          <w:lang w:val="en-US"/>
        </w:rPr>
        <w:t>c</w:t>
      </w:r>
      <w:r w:rsidRPr="0FA9DDF5" w:rsidR="78C1B7CB">
        <w:rPr>
          <w:rFonts w:ascii="Consolas" w:hAnsi="Consolas" w:eastAsia="Consolas" w:cs="Consolas"/>
          <w:noProof w:val="0"/>
          <w:sz w:val="24"/>
          <w:szCs w:val="24"/>
          <w:lang w:val="en-US"/>
        </w:rPr>
        <w:t>ompletion</w:t>
      </w:r>
    </w:p>
    <w:p w:rsidR="758804D7" w:rsidP="0FA9DDF5" w:rsidRDefault="758804D7" w14:paraId="599FDB22" w14:textId="46FDA979">
      <w:pPr>
        <w:pStyle w:val="Normal"/>
        <w:bidi w:val="0"/>
        <w:spacing w:before="240" w:beforeAutospacing="off" w:after="240" w:afterAutospacing="off"/>
        <w:jc w:val="left"/>
      </w:pPr>
      <w:r w:rsidRPr="0FA9DDF5" w:rsidR="758804D7">
        <w:rPr>
          <w:rFonts w:ascii="Aptos" w:hAnsi="Aptos" w:eastAsia="Aptos" w:cs="Aptos"/>
          <w:noProof w:val="0"/>
          <w:sz w:val="24"/>
          <w:szCs w:val="24"/>
          <w:lang w:val="en-US"/>
        </w:rPr>
        <w:t>The structural model specifies the relationships between governmental capacity, control variables, and the latent outcome constructs of Recovery Performance and Recovery Timeliness, and is defined as follows:</w:t>
      </w:r>
    </w:p>
    <w:p w:rsidR="2464D659" w:rsidP="0FA9DDF5" w:rsidRDefault="2464D659" w14:paraId="56F09D90" w14:textId="0CB2C813">
      <w:pPr>
        <w:pStyle w:val="ListParagraph"/>
        <w:numPr>
          <w:ilvl w:val="0"/>
          <w:numId w:val="63"/>
        </w:numPr>
        <w:suppressLineNumbers w:val="0"/>
        <w:spacing w:before="240" w:beforeAutospacing="off" w:after="240" w:afterAutospacing="off" w:line="278" w:lineRule="auto"/>
        <w:ind w:left="720" w:right="0" w:hanging="360"/>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RecoveryPerformance</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AdminResources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AdminBurdenCapacity</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state_</w:t>
      </w:r>
      <w:r w:rsidRPr="0FA9DDF5" w:rsidR="41D8B321">
        <w:rPr>
          <w:rFonts w:ascii="Consolas" w:hAnsi="Consolas" w:eastAsia="Consolas" w:cs="Consolas"/>
          <w:noProof w:val="0"/>
          <w:sz w:val="24"/>
          <w:szCs w:val="24"/>
          <w:lang w:val="en-US"/>
        </w:rPr>
        <w:t>or_local</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total_population</w:t>
      </w:r>
      <w:r w:rsidRPr="0FA9DDF5" w:rsidR="78C1B7CB">
        <w:rPr>
          <w:rFonts w:ascii="Consolas" w:hAnsi="Consolas" w:eastAsia="Consolas" w:cs="Consolas"/>
          <w:noProof w:val="0"/>
          <w:sz w:val="24"/>
          <w:szCs w:val="24"/>
          <w:lang w:val="en-US"/>
        </w:rPr>
        <w:t xml:space="preserve"> + SVI controls</w:t>
      </w:r>
    </w:p>
    <w:p w:rsidR="2464D659" w:rsidP="0FA9DDF5" w:rsidRDefault="2464D659" w14:paraId="60BC05AC" w14:textId="65A4EB9D">
      <w:pPr>
        <w:pStyle w:val="ListParagraph"/>
        <w:numPr>
          <w:ilvl w:val="0"/>
          <w:numId w:val="63"/>
        </w:numPr>
        <w:suppressLineNumbers w:val="0"/>
        <w:bidi w:val="0"/>
        <w:spacing w:before="240" w:beforeAutospacing="off" w:after="240" w:afterAutospacing="off" w:line="278" w:lineRule="auto"/>
        <w:ind w:left="720" w:right="0" w:hanging="360"/>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RecoveryTimeliness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AdminResources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AdminBurdenCapacity</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state_</w:t>
      </w:r>
      <w:r w:rsidRPr="0FA9DDF5" w:rsidR="4F0FFE10">
        <w:rPr>
          <w:rFonts w:ascii="Consolas" w:hAnsi="Consolas" w:eastAsia="Consolas" w:cs="Consolas"/>
          <w:noProof w:val="0"/>
          <w:sz w:val="24"/>
          <w:szCs w:val="24"/>
          <w:lang w:val="en-US"/>
        </w:rPr>
        <w:t>or_local</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total_popu</w:t>
      </w:r>
      <w:r w:rsidRPr="0FA9DDF5" w:rsidR="78C1B7CB">
        <w:rPr>
          <w:rFonts w:ascii="Consolas" w:hAnsi="Consolas" w:eastAsia="Consolas" w:cs="Consolas"/>
          <w:noProof w:val="0"/>
          <w:sz w:val="24"/>
          <w:szCs w:val="24"/>
          <w:lang w:val="en-US"/>
        </w:rPr>
        <w:t>lation</w:t>
      </w:r>
      <w:r w:rsidRPr="0FA9DDF5" w:rsidR="78C1B7CB">
        <w:rPr>
          <w:rFonts w:ascii="Consolas" w:hAnsi="Consolas" w:eastAsia="Consolas" w:cs="Consolas"/>
          <w:noProof w:val="0"/>
          <w:sz w:val="24"/>
          <w:szCs w:val="24"/>
          <w:lang w:val="en-US"/>
        </w:rPr>
        <w:t xml:space="preserve"> + SVI controls</w:t>
      </w:r>
    </w:p>
    <w:p w:rsidR="2464D659" w:rsidP="0FA9DDF5" w:rsidRDefault="2464D659" w14:paraId="79D96FF2" w14:textId="24A4E754">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Pr>
          <w:rFonts w:ascii="Aptos" w:hAnsi="Aptos"/>
          <w:sz w:val="304800"/>
        </w:rPr>
        <w:t>The working expectation is that jurisdictions with greater administrative resources and lower relative workload pressure will exhibit stronger recovery outcomes. This expectation is treated as a cross-sectional associational hypothesis rather than as a claim of causal identification.</w:t>
      </w:r>
    </w:p>
    <w:p w:rsidR="2464D659" w:rsidP="0FA9DDF5" w:rsidRDefault="2464D659" w14:paraId="398B178C" w14:textId="1B66B183">
      <w:pPr>
        <w:pStyle w:val="Normal"/>
        <w:suppressLineNumbers w:val="0"/>
        <w:bidi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0FA9DDF5" w:rsidR="11081DEB">
        <w:rPr>
          <w:rFonts w:ascii="Aptos" w:hAnsi="Aptos" w:eastAsia="Aptos" w:cs="Aptos"/>
          <w:b w:val="1"/>
          <w:bCs w:val="1"/>
          <w:noProof w:val="0"/>
          <w:sz w:val="24"/>
          <w:szCs w:val="24"/>
          <w:lang w:val="en-US"/>
        </w:rPr>
        <w:t xml:space="preserve">4.6. </w:t>
      </w:r>
      <w:r w:rsidRPr="0FA9DDF5" w:rsidR="353F891F">
        <w:rPr>
          <w:rFonts w:ascii="Aptos" w:hAnsi="Aptos" w:eastAsia="Aptos" w:cs="Aptos"/>
          <w:b w:val="1"/>
          <w:bCs w:val="1"/>
          <w:noProof w:val="0"/>
          <w:sz w:val="24"/>
          <w:szCs w:val="24"/>
          <w:lang w:val="en-US"/>
        </w:rPr>
        <w:t>Experimental design</w:t>
      </w:r>
      <w:r w:rsidRPr="0FA9DDF5" w:rsidR="74861359">
        <w:rPr>
          <w:rFonts w:ascii="Aptos" w:hAnsi="Aptos" w:eastAsia="Aptos" w:cs="Aptos"/>
          <w:b w:val="1"/>
          <w:bCs w:val="1"/>
          <w:noProof w:val="0"/>
          <w:sz w:val="24"/>
          <w:szCs w:val="24"/>
          <w:lang w:val="en-US"/>
        </w:rPr>
        <w:t xml:space="preserve"> and </w:t>
      </w:r>
      <w:r w:rsidRPr="0FA9DDF5" w:rsidR="7B475BED">
        <w:rPr>
          <w:rFonts w:ascii="Aptos" w:hAnsi="Aptos" w:eastAsia="Aptos" w:cs="Aptos"/>
          <w:b w:val="1"/>
          <w:bCs w:val="1"/>
          <w:noProof w:val="0"/>
          <w:sz w:val="24"/>
          <w:szCs w:val="24"/>
          <w:lang w:val="en-US"/>
        </w:rPr>
        <w:t xml:space="preserve">model </w:t>
      </w:r>
      <w:r w:rsidRPr="0FA9DDF5" w:rsidR="74861359">
        <w:rPr>
          <w:rFonts w:ascii="Aptos" w:hAnsi="Aptos" w:eastAsia="Aptos" w:cs="Aptos"/>
          <w:b w:val="1"/>
          <w:bCs w:val="1"/>
          <w:noProof w:val="0"/>
          <w:sz w:val="24"/>
          <w:szCs w:val="24"/>
          <w:lang w:val="en-US"/>
        </w:rPr>
        <w:t>estimation</w:t>
      </w:r>
    </w:p>
    <w:p w:rsidR="01D0B7D9" w:rsidP="0FA9DDF5" w:rsidRDefault="01D0B7D9" w14:paraId="23A6BA9E" w14:textId="366922F3">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Two model-comparison and sensitivity strategies were implemented. First, the analysis compares a two-factor SEM, in which Administrative Resources and Administrative Burden Capacity are estimated separately, with a one-factor SEM that combines all four indicators into a single Governmental Capacity factor. Second, archived references to a smaller cleaned sample (N = 169) are retained only for provenance documentation. Because the exact filtering rule for that subset cannot be reconstructed, it is no longer used as a substantive robustness test for the paper's claims. Appendix Table A10 shows that the smaller sample is a strict subset of the 573-jurisdiction file but does not appear to be recoverable from any simple one-threshold outlier screen.</w:t>
      </w:r>
    </w:p>
    <w:p w:rsidR="23714B09" w:rsidP="0FA9DDF5" w:rsidRDefault="23714B09" w14:paraId="0BE5B09C" w14:textId="104F7C8B">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23714B09">
        <w:rPr>
          <w:rFonts w:ascii="Aptos" w:hAnsi="Aptos" w:eastAsia="Aptos" w:cs="Aptos"/>
          <w:noProof w:val="0"/>
          <w:sz w:val="24"/>
          <w:szCs w:val="24"/>
          <w:lang w:val="en-US"/>
        </w:rPr>
        <w:t>In the alternative SEM framework, the measurement model for Governmental Capacity (</w:t>
      </w:r>
      <w:r w:rsidRPr="3C60AEA8" w:rsidR="23714B09">
        <w:rPr>
          <w:rFonts w:ascii="Consolas" w:hAnsi="Consolas" w:eastAsia="Consolas" w:cs="Consolas"/>
          <w:noProof w:val="0"/>
          <w:sz w:val="24"/>
          <w:szCs w:val="24"/>
          <w:lang w:val="en-US"/>
        </w:rPr>
        <w:t>GovCapacity</w:t>
      </w:r>
      <w:r w:rsidRPr="3C60AEA8" w:rsidR="23714B09">
        <w:rPr>
          <w:rFonts w:ascii="Aptos" w:hAnsi="Aptos" w:eastAsia="Aptos" w:cs="Aptos"/>
          <w:noProof w:val="0"/>
          <w:sz w:val="24"/>
          <w:szCs w:val="24"/>
          <w:lang w:val="en-US"/>
        </w:rPr>
        <w:t>) is defined using four observed indicators:</w:t>
      </w:r>
      <w:r w:rsidRPr="3C60AEA8" w:rsidR="12E38066">
        <w:rPr>
          <w:rFonts w:ascii="Aptos" w:hAnsi="Aptos" w:eastAsia="Aptos" w:cs="Aptos"/>
          <w:noProof w:val="0"/>
          <w:sz w:val="24"/>
          <w:szCs w:val="24"/>
          <w:lang w:val="en-US"/>
        </w:rPr>
        <w:t xml:space="preserve"> </w:t>
      </w:r>
      <w:r w:rsidRPr="3C60AEA8" w:rsidR="18A2DF47">
        <w:rPr>
          <w:rFonts w:ascii="Consolas" w:hAnsi="Consolas" w:eastAsia="Consolas" w:cs="Consolas"/>
          <w:noProof w:val="0"/>
          <w:sz w:val="24"/>
          <w:szCs w:val="24"/>
          <w:lang w:val="en-US"/>
        </w:rPr>
        <w:t>avg_employment</w:t>
      </w:r>
      <w:r w:rsidRPr="3C60AEA8" w:rsidR="18A2DF47">
        <w:rPr>
          <w:rFonts w:ascii="Aptos" w:hAnsi="Aptos" w:eastAsia="Aptos" w:cs="Aptos" w:asciiTheme="minorAscii" w:hAnsiTheme="minorAscii" w:eastAsiaTheme="minorAscii" w:cstheme="minorAscii"/>
          <w:noProof w:val="0"/>
          <w:sz w:val="24"/>
          <w:szCs w:val="24"/>
          <w:lang w:val="en-US"/>
        </w:rPr>
        <w:t>,</w:t>
      </w:r>
      <w:r w:rsidRPr="3C60AEA8" w:rsidR="18A2DF47">
        <w:rPr>
          <w:rFonts w:ascii="Consolas" w:hAnsi="Consolas" w:eastAsia="Consolas" w:cs="Consolas"/>
          <w:noProof w:val="0"/>
          <w:sz w:val="24"/>
          <w:szCs w:val="24"/>
          <w:lang w:val="en-US"/>
        </w:rPr>
        <w:t xml:space="preserve"> </w:t>
      </w:r>
      <w:r w:rsidRPr="3C60AEA8" w:rsidR="18A2DF47">
        <w:rPr>
          <w:rFonts w:ascii="Consolas" w:hAnsi="Consolas" w:eastAsia="Consolas" w:cs="Consolas"/>
          <w:noProof w:val="0"/>
          <w:sz w:val="24"/>
          <w:szCs w:val="24"/>
          <w:lang w:val="en-US"/>
        </w:rPr>
        <w:t>avg_payroll</w:t>
      </w:r>
      <w:r w:rsidRPr="3C60AEA8" w:rsidR="18A2DF47">
        <w:rPr>
          <w:rFonts w:ascii="Aptos" w:hAnsi="Aptos" w:eastAsia="Aptos" w:cs="Aptos" w:asciiTheme="minorAscii" w:hAnsiTheme="minorAscii" w:eastAsiaTheme="minorAscii" w:cstheme="minorAscii"/>
          <w:noProof w:val="0"/>
          <w:sz w:val="24"/>
          <w:szCs w:val="24"/>
          <w:lang w:val="en-US"/>
        </w:rPr>
        <w:t>,</w:t>
      </w:r>
      <w:r w:rsidRPr="3C60AEA8" w:rsidR="18A2DF47">
        <w:rPr>
          <w:rFonts w:ascii="Consolas" w:hAnsi="Consolas" w:eastAsia="Consolas" w:cs="Consolas"/>
          <w:noProof w:val="0"/>
          <w:sz w:val="24"/>
          <w:szCs w:val="24"/>
          <w:lang w:val="en-US"/>
        </w:rPr>
        <w:t xml:space="preserve"> </w:t>
      </w:r>
      <w:r w:rsidRPr="3C60AEA8" w:rsidR="18A2DF47">
        <w:rPr>
          <w:rFonts w:ascii="Consolas" w:hAnsi="Consolas" w:eastAsia="Consolas" w:cs="Consolas"/>
          <w:noProof w:val="0"/>
          <w:sz w:val="24"/>
          <w:szCs w:val="24"/>
          <w:lang w:val="en-US"/>
        </w:rPr>
        <w:t>rev_programs_per_staff</w:t>
      </w:r>
      <w:r w:rsidRPr="3C60AEA8" w:rsidR="18A2DF47">
        <w:rPr>
          <w:rFonts w:ascii="Aptos" w:hAnsi="Aptos" w:eastAsia="Aptos" w:cs="Aptos" w:asciiTheme="minorAscii" w:hAnsiTheme="minorAscii" w:eastAsiaTheme="minorAscii" w:cstheme="minorAscii"/>
          <w:noProof w:val="0"/>
          <w:sz w:val="24"/>
          <w:szCs w:val="24"/>
          <w:lang w:val="en-US"/>
        </w:rPr>
        <w:t>,</w:t>
      </w:r>
      <w:r w:rsidRPr="3C60AEA8" w:rsidR="569530E4">
        <w:rPr>
          <w:rFonts w:ascii="Aptos" w:hAnsi="Aptos" w:eastAsia="Aptos" w:cs="Aptos" w:asciiTheme="minorAscii" w:hAnsiTheme="minorAscii" w:eastAsiaTheme="minorAscii" w:cstheme="minorAscii"/>
          <w:noProof w:val="0"/>
          <w:sz w:val="24"/>
          <w:szCs w:val="24"/>
          <w:lang w:val="en-US"/>
        </w:rPr>
        <w:t xml:space="preserve"> and</w:t>
      </w:r>
      <w:r w:rsidRPr="3C60AEA8" w:rsidR="18A2DF47">
        <w:rPr>
          <w:rFonts w:ascii="Consolas" w:hAnsi="Consolas" w:eastAsia="Consolas" w:cs="Consolas"/>
          <w:noProof w:val="0"/>
          <w:sz w:val="24"/>
          <w:szCs w:val="24"/>
          <w:lang w:val="en-US"/>
        </w:rPr>
        <w:t xml:space="preserve"> </w:t>
      </w:r>
      <w:r w:rsidRPr="3C60AEA8" w:rsidR="18A2DF47">
        <w:rPr>
          <w:rFonts w:ascii="Consolas" w:hAnsi="Consolas" w:eastAsia="Consolas" w:cs="Consolas"/>
          <w:noProof w:val="0"/>
          <w:sz w:val="24"/>
          <w:szCs w:val="24"/>
          <w:lang w:val="en-US"/>
        </w:rPr>
        <w:t>rev_disasters_per_staff</w:t>
      </w:r>
      <w:r w:rsidRPr="3C60AEA8" w:rsidR="2F9D3CAC">
        <w:rPr>
          <w:rFonts w:ascii="Aptos" w:hAnsi="Aptos" w:eastAsia="Aptos" w:cs="Aptos"/>
          <w:noProof w:val="0"/>
          <w:sz w:val="24"/>
          <w:szCs w:val="24"/>
          <w:lang w:val="en-US"/>
        </w:rPr>
        <w:t>,</w:t>
      </w:r>
      <w:r w:rsidRPr="3C60AEA8" w:rsidR="7FA728AA">
        <w:rPr>
          <w:rFonts w:ascii="Aptos" w:hAnsi="Aptos" w:eastAsia="Aptos" w:cs="Aptos"/>
          <w:noProof w:val="0"/>
          <w:sz w:val="24"/>
          <w:szCs w:val="24"/>
          <w:lang w:val="en-US"/>
        </w:rPr>
        <w:t xml:space="preserve"> </w:t>
      </w:r>
      <w:r w:rsidRPr="3C60AEA8" w:rsidR="6A3059BC">
        <w:rPr>
          <w:rFonts w:ascii="Aptos" w:hAnsi="Aptos" w:eastAsia="Aptos" w:cs="Aptos"/>
          <w:noProof w:val="0"/>
          <w:sz w:val="24"/>
          <w:szCs w:val="24"/>
          <w:lang w:val="en-US"/>
        </w:rPr>
        <w:t xml:space="preserve">while the measurement models for the disaster recovery outcome constructs </w:t>
      </w:r>
      <w:r w:rsidRPr="3C60AEA8" w:rsidR="6A3059BC">
        <w:rPr>
          <w:rFonts w:ascii="Aptos" w:hAnsi="Aptos" w:eastAsia="Aptos" w:cs="Aptos"/>
          <w:noProof w:val="0"/>
          <w:sz w:val="24"/>
          <w:szCs w:val="24"/>
          <w:lang w:val="en-US"/>
        </w:rPr>
        <w:t>remain</w:t>
      </w:r>
      <w:r w:rsidRPr="3C60AEA8" w:rsidR="6A3059BC">
        <w:rPr>
          <w:rFonts w:ascii="Aptos" w:hAnsi="Aptos" w:eastAsia="Aptos" w:cs="Aptos"/>
          <w:noProof w:val="0"/>
          <w:sz w:val="24"/>
          <w:szCs w:val="24"/>
          <w:lang w:val="en-US"/>
        </w:rPr>
        <w:t xml:space="preserve"> unchanged. The structural model then estimates the extent to which governmental capacity influences recovery outcomes – Recovery Performance and Recovery Timeliness – while </w:t>
      </w:r>
      <w:r w:rsidRPr="3C60AEA8" w:rsidR="6A3059BC">
        <w:rPr>
          <w:rFonts w:ascii="Aptos" w:hAnsi="Aptos" w:eastAsia="Aptos" w:cs="Aptos"/>
          <w:noProof w:val="0"/>
          <w:sz w:val="24"/>
          <w:szCs w:val="24"/>
          <w:lang w:val="en-US"/>
        </w:rPr>
        <w:t>controlling for</w:t>
      </w:r>
      <w:r w:rsidRPr="3C60AEA8" w:rsidR="6A3059BC">
        <w:rPr>
          <w:rFonts w:ascii="Aptos" w:hAnsi="Aptos" w:eastAsia="Aptos" w:cs="Aptos"/>
          <w:noProof w:val="0"/>
          <w:sz w:val="24"/>
          <w:szCs w:val="24"/>
          <w:lang w:val="en-US"/>
        </w:rPr>
        <w:t xml:space="preserve"> governmental level, </w:t>
      </w:r>
      <w:r w:rsidRPr="3C60AEA8" w:rsidR="6A3059BC">
        <w:rPr>
          <w:rFonts w:ascii="Aptos" w:hAnsi="Aptos" w:eastAsia="Aptos" w:cs="Aptos"/>
          <w:noProof w:val="0"/>
          <w:sz w:val="24"/>
          <w:szCs w:val="24"/>
          <w:lang w:val="en-US"/>
        </w:rPr>
        <w:t>jurisdiction</w:t>
      </w:r>
      <w:r w:rsidRPr="3C60AEA8" w:rsidR="6A3059BC">
        <w:rPr>
          <w:rFonts w:ascii="Aptos" w:hAnsi="Aptos" w:eastAsia="Aptos" w:cs="Aptos"/>
          <w:noProof w:val="0"/>
          <w:sz w:val="24"/>
          <w:szCs w:val="24"/>
          <w:lang w:val="en-US"/>
        </w:rPr>
        <w:t xml:space="preserve"> size, and social vulnerability. The structural relationships are specified as follows:</w:t>
      </w:r>
    </w:p>
    <w:p w:rsidR="18A2DF47" w:rsidP="0FA9DDF5" w:rsidRDefault="18A2DF47" w14:paraId="3EDB90E5" w14:textId="1A0C982C">
      <w:pPr>
        <w:pStyle w:val="ListParagraph"/>
        <w:numPr>
          <w:ilvl w:val="0"/>
          <w:numId w:val="64"/>
        </w:numPr>
        <w:suppressLineNumbers w:val="0"/>
        <w:bidi w:val="0"/>
        <w:spacing w:before="0" w:beforeAutospacing="off" w:after="160" w:afterAutospacing="off" w:line="278" w:lineRule="auto"/>
        <w:jc w:val="left"/>
        <w:rPr>
          <w:rFonts w:ascii="Consolas" w:hAnsi="Consolas" w:eastAsia="Consolas" w:cs="Consolas"/>
          <w:noProof w:val="0"/>
          <w:sz w:val="24"/>
          <w:szCs w:val="24"/>
          <w:lang w:val="en-US"/>
        </w:rPr>
      </w:pPr>
      <w:r w:rsidRPr="0FA9DDF5" w:rsidR="18A2DF47">
        <w:rPr>
          <w:rFonts w:ascii="Consolas" w:hAnsi="Consolas" w:eastAsia="Consolas" w:cs="Consolas"/>
          <w:noProof w:val="0"/>
          <w:sz w:val="24"/>
          <w:szCs w:val="24"/>
          <w:lang w:val="en-US"/>
        </w:rPr>
        <w:t>RecoveryPerformance</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GovCapacity</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state_</w:t>
      </w:r>
      <w:r w:rsidRPr="0FA9DDF5" w:rsidR="35FAF158">
        <w:rPr>
          <w:rFonts w:ascii="Consolas" w:hAnsi="Consolas" w:eastAsia="Consolas" w:cs="Consolas"/>
          <w:noProof w:val="0"/>
          <w:sz w:val="24"/>
          <w:szCs w:val="24"/>
          <w:lang w:val="en-US"/>
        </w:rPr>
        <w:t>or_local</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total_population</w:t>
      </w:r>
      <w:r w:rsidRPr="0FA9DDF5" w:rsidR="18A2DF47">
        <w:rPr>
          <w:rFonts w:ascii="Consolas" w:hAnsi="Consolas" w:eastAsia="Consolas" w:cs="Consolas"/>
          <w:noProof w:val="0"/>
          <w:sz w:val="24"/>
          <w:szCs w:val="24"/>
          <w:lang w:val="en-US"/>
        </w:rPr>
        <w:t xml:space="preserve"> + SVI controls</w:t>
      </w:r>
    </w:p>
    <w:p w:rsidR="18A2DF47" w:rsidP="0FA9DDF5" w:rsidRDefault="18A2DF47" w14:paraId="4CBBCF0B" w14:textId="0821389F">
      <w:pPr>
        <w:pStyle w:val="ListParagraph"/>
        <w:numPr>
          <w:ilvl w:val="0"/>
          <w:numId w:val="64"/>
        </w:numPr>
        <w:suppressLineNumbers w:val="0"/>
        <w:bidi w:val="0"/>
        <w:spacing w:before="0" w:beforeAutospacing="off" w:after="160" w:afterAutospacing="off" w:line="278" w:lineRule="auto"/>
        <w:jc w:val="left"/>
        <w:rPr>
          <w:rFonts w:ascii="Consolas" w:hAnsi="Consolas" w:eastAsia="Consolas" w:cs="Consolas"/>
          <w:noProof w:val="0"/>
          <w:sz w:val="24"/>
          <w:szCs w:val="24"/>
          <w:lang w:val="en-US"/>
        </w:rPr>
      </w:pPr>
      <w:r w:rsidRPr="0FA9DDF5" w:rsidR="18A2DF47">
        <w:rPr>
          <w:rFonts w:ascii="Consolas" w:hAnsi="Consolas" w:eastAsia="Consolas" w:cs="Consolas"/>
          <w:noProof w:val="0"/>
          <w:sz w:val="24"/>
          <w:szCs w:val="24"/>
          <w:lang w:val="en-US"/>
        </w:rPr>
        <w:t>RecoveryTimeliness</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GovCapacity</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state_</w:t>
      </w:r>
      <w:r w:rsidRPr="0FA9DDF5" w:rsidR="1DA4C3D9">
        <w:rPr>
          <w:rFonts w:ascii="Consolas" w:hAnsi="Consolas" w:eastAsia="Consolas" w:cs="Consolas"/>
          <w:noProof w:val="0"/>
          <w:sz w:val="24"/>
          <w:szCs w:val="24"/>
          <w:lang w:val="en-US"/>
        </w:rPr>
        <w:t>or_loca</w:t>
      </w:r>
      <w:r w:rsidRPr="0FA9DDF5" w:rsidR="18A2DF47">
        <w:rPr>
          <w:rFonts w:ascii="Consolas" w:hAnsi="Consolas" w:eastAsia="Consolas" w:cs="Consolas"/>
          <w:noProof w:val="0"/>
          <w:sz w:val="24"/>
          <w:szCs w:val="24"/>
          <w:lang w:val="en-US"/>
        </w:rPr>
        <w:t>l</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t</w:t>
      </w:r>
      <w:r w:rsidRPr="0FA9DDF5" w:rsidR="18A2DF47">
        <w:rPr>
          <w:rFonts w:ascii="Consolas" w:hAnsi="Consolas" w:eastAsia="Consolas" w:cs="Consolas"/>
          <w:noProof w:val="0"/>
          <w:sz w:val="24"/>
          <w:szCs w:val="24"/>
          <w:lang w:val="en-US"/>
        </w:rPr>
        <w:t>ota</w:t>
      </w:r>
      <w:r w:rsidRPr="0FA9DDF5" w:rsidR="18A2DF47">
        <w:rPr>
          <w:rFonts w:ascii="Consolas" w:hAnsi="Consolas" w:eastAsia="Consolas" w:cs="Consolas"/>
          <w:noProof w:val="0"/>
          <w:sz w:val="24"/>
          <w:szCs w:val="24"/>
          <w:lang w:val="en-US"/>
        </w:rPr>
        <w:t>l_population</w:t>
      </w:r>
      <w:r w:rsidRPr="0FA9DDF5" w:rsidR="18A2DF47">
        <w:rPr>
          <w:rFonts w:ascii="Consolas" w:hAnsi="Consolas" w:eastAsia="Consolas" w:cs="Consolas"/>
          <w:noProof w:val="0"/>
          <w:sz w:val="24"/>
          <w:szCs w:val="24"/>
          <w:lang w:val="en-US"/>
        </w:rPr>
        <w:t xml:space="preserve"> + S</w:t>
      </w:r>
      <w:r w:rsidRPr="0FA9DDF5" w:rsidR="18A2DF47">
        <w:rPr>
          <w:rFonts w:ascii="Consolas" w:hAnsi="Consolas" w:eastAsia="Consolas" w:cs="Consolas"/>
          <w:noProof w:val="0"/>
          <w:sz w:val="24"/>
          <w:szCs w:val="24"/>
          <w:lang w:val="en-US"/>
        </w:rPr>
        <w:t>VI controls</w:t>
      </w:r>
    </w:p>
    <w:p w:rsidR="57F5A20D" w:rsidP="0FA9DDF5" w:rsidRDefault="57F5A20D" w14:paraId="59A3A9E3" w14:textId="13F7AC55">
      <w:pPr>
        <w:suppressLineNumbers w:val="0"/>
        <w:spacing w:before="0" w:beforeAutospacing="off" w:after="0" w:afterAutospacing="off"/>
        <w:rPr>
          <w:b w:val="0"/>
          <w:bCs w:val="0"/>
        </w:rPr>
      </w:pPr>
      <w:r>
        <w:rPr>
          <w:rFonts w:ascii="Aptos" w:hAnsi="Aptos"/>
          <w:sz w:val="304800"/>
        </w:rPr>
        <w:t>Prior to SEM estimation, all continuous indicators were standardized as z-scores to improve comparability across variables and to support model convergence, while the state_level indicator remained coded 0/1. The complete-case SEM input contains 573 jurisdictions and 17 variables with no remaining missing values. Workload measures use the staff-scaled denominators described above, and a small constant is used during ratio construction to avoid division-by-zero problems in jurisdictions with very small staffing counts. The SEMs were estimated with conventional maximum likelihood estimation (Lee &amp; Zhu, 2002), so the fit statistics, standard errors, confidence intervals, and p-values reported here are conventional ML quantities. Model evaluation relies on a combination of fit statistics - chi-square, CFI, TLI, RMSEA, AIC, and BIC - rather than on a single threshold. Model comparison is therefore treated as a tradeoff exercise: the two-factor model is substantively more informative and fits better on the main incremental and absolute fit measures, while the one-factor model remains more parsimonious by information criteria. Appendix Table A3 verifies the archived fit statistics against reruns on the recovered 573-jurisdiction SEM-ready dataset, including the reported AIC and BIC values.</w:t>
      </w:r>
    </w:p>
    <w:p w:rsidR="0FA9DDF5" w:rsidP="0FA9DDF5" w:rsidRDefault="0FA9DDF5" w14:paraId="4447D751" w14:textId="13F80412">
      <w:pPr>
        <w:suppressLineNumbers w:val="0"/>
        <w:bidi w:val="0"/>
        <w:spacing w:before="0" w:beforeAutospacing="off" w:after="0" w:afterAutospacing="off"/>
        <w:rPr>
          <w:rFonts w:ascii="Aptos" w:hAnsi="Aptos" w:eastAsia="Aptos" w:cs="Aptos"/>
          <w:noProof w:val="0"/>
          <w:sz w:val="24"/>
          <w:szCs w:val="24"/>
          <w:lang w:val="en-US"/>
        </w:rPr>
      </w:pPr>
    </w:p>
    <w:p w:rsidR="375C155A" w:rsidP="0FA9DDF5" w:rsidRDefault="375C155A" w14:paraId="2CF6F839" w14:textId="1CF8AFDB">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lang w:val="en-US"/>
        </w:rPr>
      </w:pPr>
      <w:r w:rsidRPr="0FA9DDF5" w:rsidR="375C155A">
        <w:rPr>
          <w:rFonts w:ascii="Aptos" w:hAnsi="Aptos" w:eastAsia="Aptos" w:cs="Aptos"/>
          <w:b w:val="1"/>
          <w:bCs w:val="1"/>
          <w:noProof w:val="0"/>
          <w:sz w:val="24"/>
          <w:szCs w:val="24"/>
          <w:lang w:val="en-US"/>
        </w:rPr>
        <w:t>5. Results</w:t>
      </w:r>
    </w:p>
    <w:p w:rsidR="1ECC39F7" w:rsidP="41D8F452" w:rsidRDefault="1ECC39F7" w14:paraId="0A4730C4" w14:textId="62538C13">
      <w:pPr>
        <w:pStyle w:val="Normal"/>
        <w:ind w:left="0"/>
        <w:jc w:val="left"/>
        <w:rPr>
          <w:rFonts w:ascii="Aptos" w:hAnsi="Aptos" w:eastAsia="Aptos" w:cs="Aptos"/>
          <w:b w:val="1"/>
          <w:bCs w:val="1"/>
          <w:noProof w:val="0"/>
          <w:sz w:val="24"/>
          <w:szCs w:val="24"/>
          <w:lang w:val="en-US"/>
        </w:rPr>
      </w:pPr>
      <w:r w:rsidRPr="0FA9DDF5" w:rsidR="075415DB">
        <w:rPr>
          <w:rFonts w:ascii="Aptos" w:hAnsi="Aptos" w:eastAsia="Aptos" w:cs="Aptos"/>
          <w:b w:val="1"/>
          <w:bCs w:val="1"/>
          <w:noProof w:val="0"/>
          <w:sz w:val="24"/>
          <w:szCs w:val="24"/>
          <w:lang w:val="en-US"/>
        </w:rPr>
        <w:t>5</w:t>
      </w:r>
      <w:r w:rsidRPr="0FA9DDF5" w:rsidR="074C0253">
        <w:rPr>
          <w:rFonts w:ascii="Aptos" w:hAnsi="Aptos" w:eastAsia="Aptos" w:cs="Aptos"/>
          <w:b w:val="1"/>
          <w:bCs w:val="1"/>
          <w:noProof w:val="0"/>
          <w:sz w:val="24"/>
          <w:szCs w:val="24"/>
          <w:lang w:val="en-US"/>
        </w:rPr>
        <w:t>.</w:t>
      </w:r>
      <w:r w:rsidRPr="0FA9DDF5" w:rsidR="55536F8D">
        <w:rPr>
          <w:rFonts w:ascii="Aptos" w:hAnsi="Aptos" w:eastAsia="Aptos" w:cs="Aptos"/>
          <w:b w:val="1"/>
          <w:bCs w:val="1"/>
          <w:noProof w:val="0"/>
          <w:sz w:val="24"/>
          <w:szCs w:val="24"/>
          <w:lang w:val="en-US"/>
        </w:rPr>
        <w:t>1</w:t>
      </w:r>
      <w:r w:rsidRPr="0FA9DDF5" w:rsidR="074C0253">
        <w:rPr>
          <w:rFonts w:ascii="Aptos" w:hAnsi="Aptos" w:eastAsia="Aptos" w:cs="Aptos"/>
          <w:b w:val="1"/>
          <w:bCs w:val="1"/>
          <w:noProof w:val="0"/>
          <w:sz w:val="24"/>
          <w:szCs w:val="24"/>
          <w:lang w:val="en-US"/>
        </w:rPr>
        <w:t>.</w:t>
      </w:r>
      <w:r w:rsidRPr="0FA9DDF5" w:rsidR="074C0253">
        <w:rPr>
          <w:rFonts w:ascii="Aptos" w:hAnsi="Aptos" w:eastAsia="Aptos" w:cs="Aptos"/>
          <w:b w:val="1"/>
          <w:bCs w:val="1"/>
          <w:noProof w:val="0"/>
          <w:sz w:val="24"/>
          <w:szCs w:val="24"/>
          <w:lang w:val="en-US"/>
        </w:rPr>
        <w:t xml:space="preserve"> </w:t>
      </w:r>
      <w:r w:rsidRPr="0FA9DDF5" w:rsidR="074C0253">
        <w:rPr>
          <w:rFonts w:ascii="Aptos" w:hAnsi="Aptos" w:eastAsia="Aptos" w:cs="Aptos"/>
          <w:b w:val="1"/>
          <w:bCs w:val="1"/>
          <w:noProof w:val="0"/>
          <w:sz w:val="24"/>
          <w:szCs w:val="24"/>
          <w:lang w:val="en-US"/>
        </w:rPr>
        <w:t xml:space="preserve">SEM </w:t>
      </w:r>
      <w:r w:rsidRPr="0FA9DDF5" w:rsidR="71E1BF61">
        <w:rPr>
          <w:rFonts w:ascii="Aptos" w:hAnsi="Aptos" w:eastAsia="Aptos" w:cs="Aptos"/>
          <w:b w:val="1"/>
          <w:bCs w:val="1"/>
          <w:noProof w:val="0"/>
          <w:sz w:val="24"/>
          <w:szCs w:val="24"/>
          <w:lang w:val="en-US"/>
        </w:rPr>
        <w:t>model comparison</w:t>
      </w:r>
    </w:p>
    <w:p w:rsidR="1184AF56" w:rsidP="0FA9DDF5" w:rsidRDefault="1184AF56" w14:paraId="54A8F33A" w14:textId="0E8AF5DE">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Pr>
          <w:rFonts w:ascii="Aptos" w:hAnsi="Aptos"/>
          <w:b w:val="0"/>
          <w:sz w:val="304800"/>
        </w:rPr>
        <w:t>Both SEM specifications were estimated to examine the relationship between governmental capacity and disaster recovery outcomes: (1) a one-factor model in which all four capacity indicators load on a single Governmental Capacity factor and (2) a two-factor model that separates Administrative Resources from Administrative Burden Capacity. Table 1 reports the comparison for the 573-jurisdiction complete-case SEM sample.</w:t>
      </w:r>
    </w:p>
    <w:p w:rsidR="694BF16A" w:rsidP="6CB66994" w:rsidRDefault="694BF16A" w14:paraId="0448409B" w14:textId="372316B1">
      <w:pPr>
        <w:pStyle w:val="Normal"/>
        <w:spacing w:before="240" w:beforeAutospacing="off" w:after="240" w:afterAutospacing="off"/>
        <w:jc w:val="left"/>
        <w:rPr>
          <w:rFonts w:ascii="Aptos" w:hAnsi="Aptos" w:eastAsia="Aptos" w:cs="Aptos"/>
          <w:b w:val="0"/>
          <w:bCs w:val="0"/>
          <w:noProof w:val="0"/>
          <w:sz w:val="24"/>
          <w:szCs w:val="24"/>
          <w:lang w:val="en-US"/>
        </w:rPr>
      </w:pPr>
      <w:r w:rsidRPr="0FA9DDF5" w:rsidR="694BF16A">
        <w:rPr>
          <w:rFonts w:ascii="Aptos" w:hAnsi="Aptos" w:eastAsia="Aptos" w:cs="Aptos"/>
          <w:b w:val="1"/>
          <w:bCs w:val="1"/>
          <w:noProof w:val="0"/>
          <w:sz w:val="24"/>
          <w:szCs w:val="24"/>
          <w:lang w:val="en-US"/>
        </w:rPr>
        <w:t>Table 1</w:t>
      </w:r>
      <w:r w:rsidRPr="0FA9DDF5" w:rsidR="694BF16A">
        <w:rPr>
          <w:rFonts w:ascii="Aptos" w:hAnsi="Aptos" w:eastAsia="Aptos" w:cs="Aptos"/>
          <w:b w:val="0"/>
          <w:bCs w:val="0"/>
          <w:noProof w:val="0"/>
          <w:sz w:val="24"/>
          <w:szCs w:val="24"/>
          <w:lang w:val="en-US"/>
        </w:rPr>
        <w:t xml:space="preserve">. SEM </w:t>
      </w:r>
      <w:r w:rsidRPr="0FA9DDF5" w:rsidR="4E9446DC">
        <w:rPr>
          <w:rFonts w:ascii="Aptos" w:hAnsi="Aptos" w:eastAsia="Aptos" w:cs="Aptos"/>
          <w:b w:val="0"/>
          <w:bCs w:val="0"/>
          <w:noProof w:val="0"/>
          <w:sz w:val="24"/>
          <w:szCs w:val="24"/>
          <w:lang w:val="en-US"/>
        </w:rPr>
        <w:t>m</w:t>
      </w:r>
      <w:r w:rsidRPr="0FA9DDF5" w:rsidR="694BF16A">
        <w:rPr>
          <w:rFonts w:ascii="Aptos" w:hAnsi="Aptos" w:eastAsia="Aptos" w:cs="Aptos"/>
          <w:b w:val="0"/>
          <w:bCs w:val="0"/>
          <w:noProof w:val="0"/>
          <w:sz w:val="24"/>
          <w:szCs w:val="24"/>
          <w:lang w:val="en-US"/>
        </w:rPr>
        <w:t xml:space="preserve">odel </w:t>
      </w:r>
      <w:r w:rsidRPr="0FA9DDF5" w:rsidR="4DFEBF82">
        <w:rPr>
          <w:rFonts w:ascii="Aptos" w:hAnsi="Aptos" w:eastAsia="Aptos" w:cs="Aptos"/>
          <w:b w:val="0"/>
          <w:bCs w:val="0"/>
          <w:noProof w:val="0"/>
          <w:sz w:val="24"/>
          <w:szCs w:val="24"/>
          <w:lang w:val="en-US"/>
        </w:rPr>
        <w:t>f</w:t>
      </w:r>
      <w:r w:rsidRPr="0FA9DDF5" w:rsidR="694BF16A">
        <w:rPr>
          <w:rFonts w:ascii="Aptos" w:hAnsi="Aptos" w:eastAsia="Aptos" w:cs="Aptos"/>
          <w:b w:val="0"/>
          <w:bCs w:val="0"/>
          <w:noProof w:val="0"/>
          <w:sz w:val="24"/>
          <w:szCs w:val="24"/>
          <w:lang w:val="en-US"/>
        </w:rPr>
        <w:t xml:space="preserve">it </w:t>
      </w:r>
      <w:r w:rsidRPr="0FA9DDF5" w:rsidR="3D6E899A">
        <w:rPr>
          <w:rFonts w:ascii="Aptos" w:hAnsi="Aptos" w:eastAsia="Aptos" w:cs="Aptos"/>
          <w:b w:val="0"/>
          <w:bCs w:val="0"/>
          <w:noProof w:val="0"/>
          <w:sz w:val="24"/>
          <w:szCs w:val="24"/>
          <w:lang w:val="en-US"/>
        </w:rPr>
        <w:t>c</w:t>
      </w:r>
      <w:r w:rsidRPr="0FA9DDF5" w:rsidR="694BF16A">
        <w:rPr>
          <w:rFonts w:ascii="Aptos" w:hAnsi="Aptos" w:eastAsia="Aptos" w:cs="Aptos"/>
          <w:b w:val="0"/>
          <w:bCs w:val="0"/>
          <w:noProof w:val="0"/>
          <w:sz w:val="24"/>
          <w:szCs w:val="24"/>
          <w:lang w:val="en-US"/>
        </w:rPr>
        <w:t>omparison</w:t>
      </w:r>
    </w:p>
    <w:tbl>
      <w:tblPr>
        <w:tblStyle w:val="TableGrid"/>
        <w:tblW w:w="0" w:type="auto"/>
        <w:tblLook w:val="06A0" w:firstRow="1" w:lastRow="0" w:firstColumn="1" w:lastColumn="0" w:noHBand="1" w:noVBand="1"/>
      </w:tblPr>
      <w:tblGrid>
        <w:gridCol w:w="2565"/>
        <w:gridCol w:w="1140"/>
        <w:gridCol w:w="1005"/>
        <w:gridCol w:w="1065"/>
        <w:gridCol w:w="1149"/>
        <w:gridCol w:w="1099"/>
        <w:gridCol w:w="1337"/>
      </w:tblGrid>
      <w:tr w:rsidR="0FA9DDF5" w:rsidTr="0FA9DDF5" w14:paraId="4E0472C8">
        <w:trPr>
          <w:trHeight w:val="300"/>
        </w:trPr>
        <w:tc>
          <w:tcPr>
            <w:tcW w:w="2565" w:type="dxa"/>
            <w:tcMar/>
          </w:tcPr>
          <w:p w:rsidR="1C851E4A" w:rsidP="0FA9DDF5" w:rsidRDefault="1C851E4A" w14:paraId="3AE4F332" w14:textId="765E1E65">
            <w:pPr>
              <w:pStyle w:val="Normal"/>
              <w:rPr>
                <w:rFonts w:ascii="Aptos" w:hAnsi="Aptos" w:eastAsia="Aptos" w:cs="Aptos"/>
                <w:b w:val="0"/>
                <w:bCs w:val="0"/>
                <w:noProof w:val="0"/>
                <w:sz w:val="24"/>
                <w:szCs w:val="24"/>
                <w:lang w:val="en-US"/>
              </w:rPr>
            </w:pPr>
            <w:r>
              <w:rPr>
                <w:rFonts w:ascii="Aptos" w:hAnsi="Aptos"/>
                <w:b w:val="0"/>
                <w:sz w:val="304800"/>
              </w:rPr>
              <w:t>Fit index</w:t>
            </w:r>
          </w:p>
        </w:tc>
        <w:tc>
          <w:tcPr>
            <w:tcW w:w="1140" w:type="dxa"/>
            <w:tcMar/>
          </w:tcPr>
          <w:p w:rsidR="5FC3B8BC" w:rsidP="0FA9DDF5" w:rsidRDefault="5FC3B8BC" w14:paraId="00C2D74E" w14:textId="0C961284">
            <w:pPr>
              <w:spacing w:before="0" w:beforeAutospacing="off" w:after="0" w:afterAutospacing="off"/>
              <w:rPr>
                <w:b w:val="0"/>
                <w:bCs w:val="0"/>
              </w:rPr>
            </w:pPr>
            <w:r>
              <w:rPr>
                <w:b w:val="0"/>
              </w:rPr>
              <w:t>chi-square (DoF)</w:t>
            </w:r>
          </w:p>
        </w:tc>
        <w:tc>
          <w:tcPr>
            <w:tcW w:w="1005" w:type="dxa"/>
            <w:tcMar/>
          </w:tcPr>
          <w:p w:rsidR="5FC3B8BC" w:rsidP="0FA9DDF5" w:rsidRDefault="5FC3B8BC" w14:paraId="1C9B596E" w14:textId="076B94C0">
            <w:pPr>
              <w:pStyle w:val="Normal"/>
              <w:rPr>
                <w:rFonts w:ascii="Aptos" w:hAnsi="Aptos" w:eastAsia="Aptos" w:cs="Aptos"/>
                <w:b w:val="0"/>
                <w:bCs w:val="0"/>
                <w:noProof w:val="0"/>
                <w:sz w:val="24"/>
                <w:szCs w:val="24"/>
                <w:lang w:val="en-US"/>
              </w:rPr>
            </w:pPr>
            <w:r>
              <w:rPr>
                <w:rFonts w:ascii="Aptos" w:hAnsi="Aptos"/>
                <w:b w:val="0"/>
                <w:sz w:val="304800"/>
              </w:rPr>
              <w:t>CFI</w:t>
            </w:r>
          </w:p>
        </w:tc>
        <w:tc>
          <w:tcPr>
            <w:tcW w:w="1065" w:type="dxa"/>
            <w:tcMar/>
          </w:tcPr>
          <w:p w:rsidR="5FC3B8BC" w:rsidP="0FA9DDF5" w:rsidRDefault="5FC3B8BC" w14:paraId="7D8E1AEA" w14:textId="3562894A">
            <w:pPr>
              <w:pStyle w:val="Normal"/>
              <w:rPr>
                <w:rFonts w:ascii="Aptos" w:hAnsi="Aptos" w:eastAsia="Aptos" w:cs="Aptos"/>
                <w:b w:val="0"/>
                <w:bCs w:val="0"/>
                <w:noProof w:val="0"/>
                <w:sz w:val="24"/>
                <w:szCs w:val="24"/>
                <w:lang w:val="en-US"/>
              </w:rPr>
            </w:pPr>
            <w:r>
              <w:rPr>
                <w:rFonts w:ascii="Aptos" w:hAnsi="Aptos"/>
                <w:b w:val="0"/>
                <w:sz w:val="304800"/>
              </w:rPr>
              <w:t>TLI</w:t>
            </w:r>
          </w:p>
        </w:tc>
        <w:tc>
          <w:tcPr>
            <w:tcW w:w="1149" w:type="dxa"/>
            <w:tcMar/>
          </w:tcPr>
          <w:p w:rsidR="5FC3B8BC" w:rsidP="0FA9DDF5" w:rsidRDefault="5FC3B8BC" w14:paraId="1FA8FE79" w14:textId="024478DB">
            <w:pPr>
              <w:pStyle w:val="Normal"/>
              <w:rPr>
                <w:rFonts w:ascii="Aptos" w:hAnsi="Aptos" w:eastAsia="Aptos" w:cs="Aptos"/>
                <w:b w:val="0"/>
                <w:bCs w:val="0"/>
                <w:noProof w:val="0"/>
                <w:sz w:val="24"/>
                <w:szCs w:val="24"/>
                <w:lang w:val="en-US"/>
              </w:rPr>
            </w:pPr>
            <w:r>
              <w:rPr>
                <w:rFonts w:ascii="Aptos" w:hAnsi="Aptos"/>
                <w:b w:val="0"/>
                <w:sz w:val="304800"/>
              </w:rPr>
              <w:t>RMSEA</w:t>
            </w:r>
          </w:p>
        </w:tc>
        <w:tc>
          <w:tcPr>
            <w:tcW w:w="1099" w:type="dxa"/>
            <w:tcMar/>
          </w:tcPr>
          <w:p w:rsidR="5FC3B8BC" w:rsidP="0FA9DDF5" w:rsidRDefault="5FC3B8BC" w14:paraId="0FB94DA3" w14:textId="5674E160">
            <w:pPr>
              <w:pStyle w:val="Normal"/>
              <w:rPr>
                <w:rFonts w:ascii="Aptos" w:hAnsi="Aptos" w:eastAsia="Aptos" w:cs="Aptos"/>
                <w:b w:val="0"/>
                <w:bCs w:val="0"/>
                <w:noProof w:val="0"/>
                <w:sz w:val="24"/>
                <w:szCs w:val="24"/>
                <w:lang w:val="en-US"/>
              </w:rPr>
            </w:pPr>
            <w:r>
              <w:rPr>
                <w:rFonts w:ascii="Aptos" w:hAnsi="Aptos"/>
                <w:b w:val="0"/>
                <w:sz w:val="304800"/>
              </w:rPr>
              <w:t>AIC</w:t>
            </w:r>
          </w:p>
        </w:tc>
        <w:tc>
          <w:tcPr>
            <w:tcW w:w="1337" w:type="dxa"/>
            <w:tcMar/>
          </w:tcPr>
          <w:p w:rsidR="5FC3B8BC" w:rsidP="0FA9DDF5" w:rsidRDefault="5FC3B8BC" w14:paraId="1ECA7861" w14:textId="560CB25D">
            <w:pPr>
              <w:pStyle w:val="Normal"/>
              <w:rPr>
                <w:rFonts w:ascii="Aptos" w:hAnsi="Aptos" w:eastAsia="Aptos" w:cs="Aptos"/>
                <w:b w:val="0"/>
                <w:bCs w:val="0"/>
                <w:noProof w:val="0"/>
                <w:sz w:val="24"/>
                <w:szCs w:val="24"/>
                <w:lang w:val="en-US"/>
              </w:rPr>
            </w:pPr>
            <w:r>
              <w:rPr>
                <w:rFonts w:ascii="Aptos" w:hAnsi="Aptos"/>
                <w:b w:val="0"/>
                <w:sz w:val="304800"/>
              </w:rPr>
              <w:t>BIC</w:t>
            </w:r>
          </w:p>
        </w:tc>
      </w:tr>
      <w:tr w:rsidR="0FA9DDF5" w:rsidTr="0FA9DDF5" w14:paraId="1D7D239C">
        <w:trPr>
          <w:trHeight w:val="300"/>
        </w:trPr>
        <w:tc>
          <w:tcPr>
            <w:tcW w:w="2565" w:type="dxa"/>
            <w:tcMar/>
          </w:tcPr>
          <w:p w:rsidR="1C851E4A" w:rsidP="0FA9DDF5" w:rsidRDefault="1C851E4A" w14:paraId="020B2D9E" w14:textId="27FD1EDC">
            <w:pPr>
              <w:pStyle w:val="Normal"/>
              <w:rPr>
                <w:rFonts w:ascii="Aptos" w:hAnsi="Aptos" w:eastAsia="Aptos" w:cs="Aptos"/>
                <w:b w:val="0"/>
                <w:bCs w:val="0"/>
                <w:noProof w:val="0"/>
                <w:sz w:val="24"/>
                <w:szCs w:val="24"/>
                <w:lang w:val="en-US"/>
              </w:rPr>
            </w:pPr>
            <w:r>
              <w:rPr>
                <w:rFonts w:ascii="Aptos" w:hAnsi="Aptos"/>
                <w:b w:val="0"/>
                <w:sz w:val="304800"/>
              </w:rPr>
              <w:t>One-factor capacity model</w:t>
            </w:r>
          </w:p>
        </w:tc>
        <w:tc>
          <w:tcPr>
            <w:tcW w:w="1140" w:type="dxa"/>
            <w:tcMar/>
          </w:tcPr>
          <w:p w:rsidR="705A85D0" w:rsidP="0FA9DDF5" w:rsidRDefault="705A85D0" w14:paraId="37CFE44F" w14:textId="23B417D6">
            <w:pPr>
              <w:pStyle w:val="Normal"/>
              <w:rPr>
                <w:rFonts w:ascii="Aptos" w:hAnsi="Aptos" w:eastAsia="Aptos" w:cs="Aptos"/>
                <w:b w:val="0"/>
                <w:bCs w:val="0"/>
                <w:noProof w:val="0"/>
                <w:sz w:val="24"/>
                <w:szCs w:val="24"/>
                <w:lang w:val="en-US"/>
              </w:rPr>
            </w:pPr>
            <w:r>
              <w:rPr>
                <w:rFonts w:ascii="Aptos" w:hAnsi="Aptos"/>
                <w:b w:val="0"/>
                <w:sz w:val="304800"/>
              </w:rPr>
              <w:t>741.72 (101)</w:t>
            </w:r>
          </w:p>
        </w:tc>
        <w:tc>
          <w:tcPr>
            <w:tcW w:w="1005" w:type="dxa"/>
            <w:tcMar/>
          </w:tcPr>
          <w:p w:rsidR="705A85D0" w:rsidP="0FA9DDF5" w:rsidRDefault="705A85D0" w14:paraId="58FD1539" w14:textId="0C0073A1">
            <w:pPr>
              <w:pStyle w:val="Normal"/>
              <w:rPr>
                <w:rFonts w:ascii="Aptos" w:hAnsi="Aptos" w:eastAsia="Aptos" w:cs="Aptos"/>
                <w:b w:val="0"/>
                <w:bCs w:val="0"/>
                <w:noProof w:val="0"/>
                <w:sz w:val="24"/>
                <w:szCs w:val="24"/>
                <w:lang w:val="en-US"/>
              </w:rPr>
            </w:pPr>
            <w:r>
              <w:rPr>
                <w:rFonts w:ascii="Aptos" w:hAnsi="Aptos"/>
                <w:b w:val="0"/>
                <w:sz w:val="304800"/>
              </w:rPr>
              <w:t>0.854</w:t>
            </w:r>
          </w:p>
        </w:tc>
        <w:tc>
          <w:tcPr>
            <w:tcW w:w="1065" w:type="dxa"/>
            <w:tcMar/>
          </w:tcPr>
          <w:p w:rsidR="705A85D0" w:rsidP="0FA9DDF5" w:rsidRDefault="705A85D0" w14:paraId="436DD8B3" w14:textId="15E856DE">
            <w:pPr>
              <w:pStyle w:val="Normal"/>
              <w:rPr>
                <w:rFonts w:ascii="Aptos" w:hAnsi="Aptos" w:eastAsia="Aptos" w:cs="Aptos"/>
                <w:b w:val="0"/>
                <w:bCs w:val="0"/>
                <w:noProof w:val="0"/>
                <w:sz w:val="24"/>
                <w:szCs w:val="24"/>
                <w:lang w:val="en-US"/>
              </w:rPr>
            </w:pPr>
            <w:r>
              <w:rPr>
                <w:rFonts w:ascii="Aptos" w:hAnsi="Aptos"/>
                <w:b w:val="0"/>
                <w:sz w:val="304800"/>
              </w:rPr>
              <w:t>0.818</w:t>
            </w:r>
          </w:p>
        </w:tc>
        <w:tc>
          <w:tcPr>
            <w:tcW w:w="1149" w:type="dxa"/>
            <w:tcMar/>
          </w:tcPr>
          <w:p w:rsidR="705A85D0" w:rsidP="0FA9DDF5" w:rsidRDefault="705A85D0" w14:paraId="0B884EBC" w14:textId="12CB8D76">
            <w:pPr>
              <w:pStyle w:val="Normal"/>
              <w:rPr>
                <w:rFonts w:ascii="Aptos" w:hAnsi="Aptos" w:eastAsia="Aptos" w:cs="Aptos"/>
                <w:b w:val="0"/>
                <w:bCs w:val="0"/>
                <w:noProof w:val="0"/>
                <w:sz w:val="24"/>
                <w:szCs w:val="24"/>
                <w:lang w:val="en-US"/>
              </w:rPr>
            </w:pPr>
            <w:r>
              <w:rPr>
                <w:rFonts w:ascii="Aptos" w:hAnsi="Aptos"/>
                <w:b w:val="0"/>
                <w:sz w:val="304800"/>
              </w:rPr>
              <w:t>0.105</w:t>
            </w:r>
          </w:p>
        </w:tc>
        <w:tc>
          <w:tcPr>
            <w:tcW w:w="1099" w:type="dxa"/>
            <w:tcMar/>
          </w:tcPr>
          <w:p w:rsidR="705A85D0" w:rsidP="0FA9DDF5" w:rsidRDefault="705A85D0" w14:paraId="7789BA60" w14:textId="6D95AD5D">
            <w:pPr>
              <w:pStyle w:val="Normal"/>
              <w:rPr>
                <w:rFonts w:ascii="Aptos" w:hAnsi="Aptos" w:eastAsia="Aptos" w:cs="Aptos"/>
                <w:b w:val="0"/>
                <w:bCs w:val="0"/>
                <w:noProof w:val="0"/>
                <w:sz w:val="24"/>
                <w:szCs w:val="24"/>
                <w:lang w:val="en-US"/>
              </w:rPr>
            </w:pPr>
            <w:r>
              <w:rPr>
                <w:rFonts w:ascii="Aptos" w:hAnsi="Aptos"/>
                <w:b w:val="0"/>
                <w:sz w:val="304800"/>
              </w:rPr>
              <w:t>67.41</w:t>
            </w:r>
          </w:p>
        </w:tc>
        <w:tc>
          <w:tcPr>
            <w:tcW w:w="1337" w:type="dxa"/>
            <w:tcMar/>
          </w:tcPr>
          <w:p w:rsidR="705A85D0" w:rsidP="0FA9DDF5" w:rsidRDefault="705A85D0" w14:paraId="67E4E7E8" w14:textId="3915BA87">
            <w:pPr>
              <w:pStyle w:val="Normal"/>
              <w:rPr>
                <w:rFonts w:ascii="Aptos" w:hAnsi="Aptos" w:eastAsia="Aptos" w:cs="Aptos"/>
                <w:b w:val="0"/>
                <w:bCs w:val="0"/>
                <w:noProof w:val="0"/>
                <w:sz w:val="24"/>
                <w:szCs w:val="24"/>
                <w:lang w:val="en-US"/>
              </w:rPr>
            </w:pPr>
            <w:r>
              <w:rPr>
                <w:rFonts w:ascii="Aptos" w:hAnsi="Aptos"/>
                <w:b w:val="0"/>
                <w:sz w:val="304800"/>
              </w:rPr>
              <w:t>219.69</w:t>
            </w:r>
          </w:p>
        </w:tc>
      </w:tr>
      <w:tr w:rsidR="0FA9DDF5" w:rsidTr="0FA9DDF5" w14:paraId="2D5680BC">
        <w:trPr>
          <w:trHeight w:val="300"/>
        </w:trPr>
        <w:tc>
          <w:tcPr>
            <w:tcW w:w="2565" w:type="dxa"/>
            <w:tcMar/>
          </w:tcPr>
          <w:p w:rsidR="1C851E4A" w:rsidP="0FA9DDF5" w:rsidRDefault="1C851E4A" w14:paraId="0B3B042B" w14:textId="5BC22881">
            <w:pPr>
              <w:pStyle w:val="Normal"/>
              <w:rPr>
                <w:rFonts w:ascii="Aptos" w:hAnsi="Aptos" w:eastAsia="Aptos" w:cs="Aptos"/>
                <w:b w:val="0"/>
                <w:bCs w:val="0"/>
                <w:noProof w:val="0"/>
                <w:sz w:val="24"/>
                <w:szCs w:val="24"/>
                <w:lang w:val="en-US"/>
              </w:rPr>
            </w:pPr>
            <w:r>
              <w:rPr>
                <w:rFonts w:ascii="Aptos" w:hAnsi="Aptos"/>
                <w:b w:val="0"/>
                <w:sz w:val="304800"/>
              </w:rPr>
              <w:t>Two-factor capacity model</w:t>
            </w:r>
          </w:p>
        </w:tc>
        <w:tc>
          <w:tcPr>
            <w:tcW w:w="1140" w:type="dxa"/>
            <w:tcMar/>
          </w:tcPr>
          <w:p w:rsidR="179868C2" w:rsidP="0FA9DDF5" w:rsidRDefault="179868C2" w14:paraId="7C6F6040" w14:textId="176041E2">
            <w:pPr>
              <w:pStyle w:val="Normal"/>
              <w:rPr>
                <w:rFonts w:ascii="Aptos" w:hAnsi="Aptos" w:eastAsia="Aptos" w:cs="Aptos"/>
                <w:b w:val="0"/>
                <w:bCs w:val="0"/>
                <w:noProof w:val="0"/>
                <w:sz w:val="24"/>
                <w:szCs w:val="24"/>
                <w:lang w:val="en-US"/>
              </w:rPr>
            </w:pPr>
            <w:r>
              <w:rPr>
                <w:rFonts w:ascii="Aptos" w:hAnsi="Aptos"/>
                <w:b w:val="0"/>
                <w:sz w:val="304800"/>
              </w:rPr>
              <w:t>469.82 (98)</w:t>
            </w:r>
          </w:p>
        </w:tc>
        <w:tc>
          <w:tcPr>
            <w:tcW w:w="1005" w:type="dxa"/>
            <w:tcMar/>
          </w:tcPr>
          <w:p w:rsidR="179868C2" w:rsidP="0FA9DDF5" w:rsidRDefault="179868C2" w14:paraId="2B7EE68C" w14:textId="7787599F">
            <w:pPr>
              <w:pStyle w:val="Normal"/>
              <w:rPr>
                <w:rFonts w:ascii="Aptos" w:hAnsi="Aptos" w:eastAsia="Aptos" w:cs="Aptos"/>
                <w:b w:val="0"/>
                <w:bCs w:val="0"/>
                <w:noProof w:val="0"/>
                <w:sz w:val="24"/>
                <w:szCs w:val="24"/>
                <w:lang w:val="en-US"/>
              </w:rPr>
            </w:pPr>
            <w:r>
              <w:rPr>
                <w:rFonts w:ascii="Aptos" w:hAnsi="Aptos"/>
                <w:b w:val="0"/>
                <w:sz w:val="304800"/>
              </w:rPr>
              <w:t>0.915</w:t>
            </w:r>
          </w:p>
        </w:tc>
        <w:tc>
          <w:tcPr>
            <w:tcW w:w="1065" w:type="dxa"/>
            <w:tcMar/>
          </w:tcPr>
          <w:p w:rsidR="179868C2" w:rsidP="0FA9DDF5" w:rsidRDefault="179868C2" w14:paraId="2443E00A" w14:textId="0D3D52B3">
            <w:pPr>
              <w:pStyle w:val="Normal"/>
              <w:rPr>
                <w:rFonts w:ascii="Aptos" w:hAnsi="Aptos" w:eastAsia="Aptos" w:cs="Aptos"/>
                <w:b w:val="0"/>
                <w:bCs w:val="0"/>
                <w:noProof w:val="0"/>
                <w:sz w:val="24"/>
                <w:szCs w:val="24"/>
                <w:lang w:val="en-US"/>
              </w:rPr>
            </w:pPr>
            <w:r>
              <w:rPr>
                <w:rFonts w:ascii="Aptos" w:hAnsi="Aptos"/>
                <w:b w:val="0"/>
                <w:sz w:val="304800"/>
              </w:rPr>
              <w:t>0.891</w:t>
            </w:r>
          </w:p>
        </w:tc>
        <w:tc>
          <w:tcPr>
            <w:tcW w:w="1149" w:type="dxa"/>
            <w:tcMar/>
          </w:tcPr>
          <w:p w:rsidR="179868C2" w:rsidP="0FA9DDF5" w:rsidRDefault="179868C2" w14:paraId="35895486" w14:textId="7C4959A4">
            <w:pPr>
              <w:pStyle w:val="Normal"/>
              <w:rPr>
                <w:rFonts w:ascii="Aptos" w:hAnsi="Aptos" w:eastAsia="Aptos" w:cs="Aptos"/>
                <w:b w:val="0"/>
                <w:bCs w:val="0"/>
                <w:noProof w:val="0"/>
                <w:sz w:val="24"/>
                <w:szCs w:val="24"/>
                <w:lang w:val="en-US"/>
              </w:rPr>
            </w:pPr>
            <w:r>
              <w:rPr>
                <w:rFonts w:ascii="Aptos" w:hAnsi="Aptos"/>
                <w:b w:val="0"/>
                <w:sz w:val="304800"/>
              </w:rPr>
              <w:t>0.081</w:t>
            </w:r>
          </w:p>
        </w:tc>
        <w:tc>
          <w:tcPr>
            <w:tcW w:w="1099" w:type="dxa"/>
            <w:tcMar/>
          </w:tcPr>
          <w:p w:rsidR="179868C2" w:rsidP="0FA9DDF5" w:rsidRDefault="179868C2" w14:paraId="5CAFD16B" w14:textId="7E173CCF">
            <w:pPr>
              <w:pStyle w:val="Normal"/>
              <w:rPr>
                <w:rFonts w:ascii="Aptos" w:hAnsi="Aptos" w:eastAsia="Aptos" w:cs="Aptos"/>
                <w:b w:val="0"/>
                <w:bCs w:val="0"/>
                <w:noProof w:val="0"/>
                <w:sz w:val="24"/>
                <w:szCs w:val="24"/>
                <w:lang w:val="en-US"/>
              </w:rPr>
            </w:pPr>
            <w:r>
              <w:rPr>
                <w:rFonts w:ascii="Aptos" w:hAnsi="Aptos"/>
                <w:b w:val="0"/>
                <w:sz w:val="304800"/>
              </w:rPr>
              <w:t>74.36</w:t>
            </w:r>
          </w:p>
        </w:tc>
        <w:tc>
          <w:tcPr>
            <w:tcW w:w="1337" w:type="dxa"/>
            <w:tcMar/>
          </w:tcPr>
          <w:p w:rsidR="179868C2" w:rsidP="0FA9DDF5" w:rsidRDefault="179868C2" w14:paraId="0D12872D" w14:textId="774589B7">
            <w:pPr>
              <w:pStyle w:val="Normal"/>
              <w:rPr>
                <w:rFonts w:ascii="Aptos" w:hAnsi="Aptos" w:eastAsia="Aptos" w:cs="Aptos"/>
                <w:b w:val="0"/>
                <w:bCs w:val="0"/>
                <w:noProof w:val="0"/>
                <w:sz w:val="24"/>
                <w:szCs w:val="24"/>
                <w:lang w:val="en-US"/>
              </w:rPr>
            </w:pPr>
            <w:r>
              <w:rPr>
                <w:rFonts w:ascii="Aptos" w:hAnsi="Aptos"/>
                <w:b w:val="0"/>
                <w:sz w:val="304800"/>
              </w:rPr>
              <w:t>239.69</w:t>
            </w:r>
          </w:p>
        </w:tc>
      </w:tr>
    </w:tbl>
    <w:p w:rsidR="45DE8FF0" w:rsidP="0FA9DDF5" w:rsidRDefault="45DE8FF0" w14:paraId="45BBD756" w14:textId="7073577C">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b w:val="0"/>
          <w:sz w:val="304800"/>
        </w:rPr>
        <w:t>The model comparison reveals a genuine tradeoff rather than an unambiguous winner. The one-factor model has lower information criteria (AIC = 67.41; BIC = 219.69), but the two-factor model fits the covariance structure more convincingly on the conventional SEM diagnostics (chi-square(98) = 469.82 versus chi-square(101) = 741.72; both chi-square p-values &lt; 0.001; CFI = 0.915 versus 0.854; TLI = 0.891 versus 0.818; RMSEA = 0.081 versus 0.105). Because the two-factor model aligns more closely with the theory that resources and workload are distinct dimensions of administrative capacity, and because it improves the main fit indices materially, it is used as the primary substantive model in the remainder of the paper. At the same time, the one-factor alternative is more parsimonious by AIC/BIC, so the two-factor model should be interpreted as preferred conditionally rather than as definitively superior on every criterion. Appendix Table A3 reports the imported-versus-rerun fit comparison and confirms that the unusual AIC/BIC scale reflects the archived output convention rather than a transcription error.</w:t>
      </w:r>
    </w:p>
    <w:p w:rsidR="45DE8FF0" w:rsidP="0FA9DDF5" w:rsidRDefault="45DE8FF0" w14:paraId="536E4131" w14:textId="342AF26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The measurement parameters of the two-factor model also motivate a cautious but interpretable reading. Within Administrative Resources, standardized loadings are strong for employment (0.953) and payroll (0.992). Within Administrative Burden Capacity, the reverse-coded programs-per-staff indicator loads at 0.577 and disasters-per-staff loads at approximately 1.000, indicating that the second factor is driven more heavily by the disaster-workload component. Recovery Performance is less coherent: disbursed-to-obligated loads at 0.785, obligated funds fully expended at 0.988, programs completed at 0.477, and expended-to-disbursed at -0.131. Recovery Timeliness is identified by reverse-coded duration of completion (0.545) and reverse-coded average program duration (1.000). The two latent capacity dimensions are positively correlated (standardized covariance = 0.402), and the structural part of the model explains more variance in Recovery Timeliness than in Recovery Performance (approximate latent R^2 = 0.20 versus 0.09, based on standardized residual variances). These features do not invalidate the two-factor model, but they do argue for interpreting it as an exploratory cross-sectional measurement structure rather than as a final, fully settled confirmatory SEM. Recovery Timeliness is the more coherent and policy-relevant outcome in this specification, whereas Recovery Performance is better treated as a broader secondary summary of financial and programmatic execution. Appendix Table A1 reports the full recovered measurement summary, Appendix Table A2 reports the complete structural and covariance output, Appendix Table A6 shows the main sensitivity checks, and Appendix Table A9 summarizes the proxy-validation diagnostics.</w:t>
      </w:r>
    </w:p>
    <w:p w:rsidR="45DE8FF0" w:rsidP="41D8F452" w:rsidRDefault="45DE8FF0" w14:paraId="60D3877E" w14:textId="7CA6CA99">
      <w:pPr>
        <w:spacing w:before="240" w:beforeAutospacing="off" w:after="240" w:afterAutospacing="off"/>
        <w:jc w:val="left"/>
        <w:rPr>
          <w:rFonts w:ascii="Aptos" w:hAnsi="Aptos" w:eastAsia="Aptos" w:cs="Aptos"/>
          <w:b w:val="1"/>
          <w:bCs w:val="1"/>
          <w:i w:val="0"/>
          <w:iCs w:val="0"/>
          <w:noProof w:val="0"/>
          <w:sz w:val="24"/>
          <w:szCs w:val="24"/>
          <w:lang w:val="en-US"/>
        </w:rPr>
      </w:pPr>
      <w:r w:rsidRPr="3C60AEA8" w:rsidR="45DE8FF0">
        <w:rPr>
          <w:rFonts w:ascii="Aptos" w:hAnsi="Aptos" w:eastAsia="Aptos" w:cs="Aptos"/>
          <w:b w:val="1"/>
          <w:bCs w:val="1"/>
          <w:i w:val="0"/>
          <w:iCs w:val="0"/>
          <w:noProof w:val="0"/>
          <w:sz w:val="24"/>
          <w:szCs w:val="24"/>
          <w:lang w:val="en-US"/>
        </w:rPr>
        <w:t>5.</w:t>
      </w:r>
      <w:r w:rsidRPr="3C60AEA8" w:rsidR="45DE8FF0">
        <w:rPr>
          <w:rFonts w:ascii="Aptos" w:hAnsi="Aptos" w:eastAsia="Aptos" w:cs="Aptos"/>
          <w:b w:val="1"/>
          <w:bCs w:val="1"/>
          <w:i w:val="0"/>
          <w:iCs w:val="0"/>
          <w:noProof w:val="0"/>
          <w:sz w:val="24"/>
          <w:szCs w:val="24"/>
          <w:lang w:val="en-US"/>
        </w:rPr>
        <w:t xml:space="preserve">2. </w:t>
      </w:r>
      <w:r w:rsidRPr="3C60AEA8" w:rsidR="11F7DF8A">
        <w:rPr>
          <w:rFonts w:ascii="Aptos" w:hAnsi="Aptos" w:eastAsia="Aptos" w:cs="Aptos"/>
          <w:b w:val="1"/>
          <w:bCs w:val="1"/>
          <w:i w:val="0"/>
          <w:iCs w:val="0"/>
          <w:noProof w:val="0"/>
          <w:sz w:val="24"/>
          <w:szCs w:val="24"/>
          <w:lang w:val="en-US"/>
        </w:rPr>
        <w:t>Structural relationships between governmental capacity and recovery outcomes</w:t>
      </w:r>
    </w:p>
    <w:p w:rsidR="520C9C3C" w:rsidP="3C60AEA8" w:rsidRDefault="520C9C3C" w14:paraId="589C8D44" w14:textId="74804565">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Pr>
          <w:rFonts w:ascii="Aptos" w:hAnsi="Aptos"/>
          <w:sz w:val="304800"/>
        </w:rPr>
        <w:t>The structural results indicate that Administrative Resources and Administrative Burden Capacity relate to different recovery outcomes in different ways. Table 2 reports a highlighted subset of the standardized structural path coefficients from the two-factor SEM together with unstandardized 95% confidence intervals. Appendix Table A2 reports the full modeled path set, factor covariances, and residual terms. Supplementary SEM-implied relationship plots and a limited set of descriptive county-level maps are retained only as secondary illustrations; the core evidentiary weight of the paper rests on the SEM and its measurement and structural parameters.</w:t>
      </w:r>
    </w:p>
    <w:p w:rsidR="56E006AA" w:rsidP="0FA9DDF5" w:rsidRDefault="56E006AA" w14:paraId="3EFFC439" w14:textId="6F21260E">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56E006AA">
        <w:rPr>
          <w:rFonts w:ascii="Aptos" w:hAnsi="Aptos" w:eastAsia="Aptos" w:cs="Aptos"/>
          <w:b w:val="1"/>
          <w:bCs w:val="1"/>
          <w:noProof w:val="0"/>
          <w:sz w:val="24"/>
          <w:szCs w:val="24"/>
          <w:lang w:val="en-US"/>
        </w:rPr>
        <w:t>Table 2</w:t>
      </w:r>
      <w:r w:rsidRPr="0FA9DDF5" w:rsidR="56E006AA">
        <w:rPr>
          <w:rFonts w:ascii="Aptos" w:hAnsi="Aptos" w:eastAsia="Aptos" w:cs="Aptos"/>
          <w:noProof w:val="0"/>
          <w:sz w:val="24"/>
          <w:szCs w:val="24"/>
          <w:lang w:val="en-US"/>
        </w:rPr>
        <w:t xml:space="preserve">. Structural </w:t>
      </w:r>
      <w:r w:rsidRPr="0FA9DDF5" w:rsidR="6F713B87">
        <w:rPr>
          <w:rFonts w:ascii="Aptos" w:hAnsi="Aptos" w:eastAsia="Aptos" w:cs="Aptos"/>
          <w:noProof w:val="0"/>
          <w:sz w:val="24"/>
          <w:szCs w:val="24"/>
          <w:lang w:val="en-US"/>
        </w:rPr>
        <w:t>p</w:t>
      </w:r>
      <w:r w:rsidRPr="0FA9DDF5" w:rsidR="56E006AA">
        <w:rPr>
          <w:rFonts w:ascii="Aptos" w:hAnsi="Aptos" w:eastAsia="Aptos" w:cs="Aptos"/>
          <w:noProof w:val="0"/>
          <w:sz w:val="24"/>
          <w:szCs w:val="24"/>
          <w:lang w:val="en-US"/>
        </w:rPr>
        <w:t xml:space="preserve">ath </w:t>
      </w:r>
      <w:r w:rsidRPr="0FA9DDF5" w:rsidR="2CC6EF30">
        <w:rPr>
          <w:rFonts w:ascii="Aptos" w:hAnsi="Aptos" w:eastAsia="Aptos" w:cs="Aptos"/>
          <w:noProof w:val="0"/>
          <w:sz w:val="24"/>
          <w:szCs w:val="24"/>
          <w:lang w:val="en-US"/>
        </w:rPr>
        <w:t>e</w:t>
      </w:r>
      <w:r w:rsidRPr="0FA9DDF5" w:rsidR="56E006AA">
        <w:rPr>
          <w:rFonts w:ascii="Aptos" w:hAnsi="Aptos" w:eastAsia="Aptos" w:cs="Aptos"/>
          <w:noProof w:val="0"/>
          <w:sz w:val="24"/>
          <w:szCs w:val="24"/>
          <w:lang w:val="en-US"/>
        </w:rPr>
        <w:t>stimates</w:t>
      </w:r>
      <w:r w:rsidRPr="0FA9DDF5" w:rsidR="226C0EFA">
        <w:rPr>
          <w:rFonts w:ascii="Aptos" w:hAnsi="Aptos" w:eastAsia="Aptos" w:cs="Aptos"/>
          <w:noProof w:val="0"/>
          <w:sz w:val="24"/>
          <w:szCs w:val="24"/>
          <w:lang w:val="en-US"/>
        </w:rPr>
        <w:t xml:space="preserve"> in the standard SEM framework</w:t>
      </w:r>
    </w:p>
    <w:tbl>
      <w:tblPr>
        <w:tblStyle w:val="TableNormal"/>
        <w:bidiVisual w:val="0"/>
        <w:tblW w:w="0" w:type="auto"/>
        <w:tblBorders>
          <w:top w:val="single" w:color="000000" w:themeColor="text1" w:sz="12"/>
          <w:bottom w:val="single" w:color="000000" w:themeColor="text1" w:sz="12"/>
        </w:tblBorders>
        <w:tblLook w:val="06A0" w:firstRow="1" w:lastRow="0" w:firstColumn="1" w:lastColumn="0" w:noHBand="1" w:noVBand="1"/>
      </w:tblPr>
      <w:tblGrid>
        <w:gridCol w:w="2685"/>
        <w:gridCol w:w="3270"/>
        <w:gridCol w:w="1845"/>
        <w:gridCol w:w="1045"/>
      </w:tblGrid>
      <w:tr w:rsidR="6CB66994" w:rsidTr="3C60AEA8" w14:paraId="3C17BD80">
        <w:trPr>
          <w:trHeight w:val="300"/>
        </w:trPr>
        <w:tc>
          <w:tcPr>
            <w:tcW w:w="2685" w:type="dxa"/>
            <w:tcBorders>
              <w:bottom w:val="single" w:color="000000" w:themeColor="text1" w:sz="12"/>
            </w:tcBorders>
            <w:tcMar/>
            <w:vAlign w:val="center"/>
          </w:tcPr>
          <w:p w:rsidR="6CB66994" w:rsidP="0FA9DDF5" w:rsidRDefault="6CB66994" w14:paraId="0A8E68B1" w14:textId="27011B57">
            <w:pPr>
              <w:pStyle w:val="Normal"/>
              <w:suppressLineNumbers w:val="0"/>
              <w:bidi w:val="0"/>
              <w:spacing w:before="0" w:beforeAutospacing="off" w:after="0" w:afterAutospacing="off" w:line="278" w:lineRule="auto"/>
              <w:ind w:left="0" w:right="0"/>
              <w:jc w:val="center"/>
              <w:rPr>
                <w:b w:val="0"/>
                <w:bCs w:val="0"/>
              </w:rPr>
            </w:pPr>
            <w:r>
              <w:rPr>
                <w:b w:val="0"/>
              </w:rPr>
              <w:t>Recovery outcome</w:t>
            </w:r>
          </w:p>
        </w:tc>
        <w:tc>
          <w:tcPr>
            <w:tcW w:w="3270" w:type="dxa"/>
            <w:tcBorders>
              <w:bottom w:val="single" w:color="000000" w:themeColor="text1" w:sz="12"/>
            </w:tcBorders>
            <w:tcMar/>
            <w:vAlign w:val="center"/>
          </w:tcPr>
          <w:p w:rsidR="6CB66994" w:rsidP="6CB66994" w:rsidRDefault="6CB66994" w14:paraId="07242EA1" w14:textId="02C4D03D">
            <w:pPr>
              <w:spacing w:before="0" w:beforeAutospacing="off" w:after="0" w:afterAutospacing="off"/>
              <w:jc w:val="center"/>
              <w:rPr>
                <w:b w:val="0"/>
                <w:bCs w:val="0"/>
              </w:rPr>
            </w:pPr>
            <w:r>
              <w:rPr>
                <w:b w:val="0"/>
              </w:rPr>
              <w:t>Predictor</w:t>
            </w:r>
          </w:p>
        </w:tc>
        <w:tc>
          <w:tcPr>
            <w:tcW w:w="1845" w:type="dxa"/>
            <w:tcBorders>
              <w:bottom w:val="single" w:color="000000" w:themeColor="text1" w:sz="12"/>
            </w:tcBorders>
            <w:tcMar/>
            <w:vAlign w:val="center"/>
          </w:tcPr>
          <w:p w:rsidR="6CB66994" w:rsidP="6CB66994" w:rsidRDefault="6CB66994" w14:paraId="7265C6EB" w14:textId="7DDD1C26">
            <w:pPr>
              <w:spacing w:before="0" w:beforeAutospacing="off" w:after="0" w:afterAutospacing="off"/>
              <w:jc w:val="center"/>
              <w:rPr>
                <w:b w:val="0"/>
                <w:bCs w:val="0"/>
              </w:rPr>
            </w:pPr>
            <w:r>
              <w:rPr>
                <w:b w:val="0"/>
              </w:rPr>
              <w:t>Standardized beta</w:t>
            </w:r>
          </w:p>
        </w:tc>
        <w:tc>
          <w:tcPr>
            <w:tcW w:w="1045" w:type="dxa"/>
            <w:tcBorders>
              <w:bottom w:val="single" w:color="000000" w:themeColor="text1" w:sz="12"/>
            </w:tcBorders>
            <w:tcMar/>
            <w:vAlign w:val="center"/>
          </w:tcPr>
          <w:p w:rsidR="6CB66994" w:rsidP="6CB66994" w:rsidRDefault="6CB66994" w14:paraId="38F48EB0" w14:textId="11D74B29">
            <w:pPr>
              <w:spacing w:before="0" w:beforeAutospacing="off" w:after="0" w:afterAutospacing="off"/>
              <w:jc w:val="center"/>
              <w:rPr>
                <w:b w:val="0"/>
                <w:bCs w:val="0"/>
              </w:rPr>
            </w:pPr>
            <w:r>
              <w:rPr>
                <w:b w:val="0"/>
                <w:i/>
              </w:rPr>
              <w:t>95% CI / p-value</w:t>
            </w:r>
          </w:p>
        </w:tc>
      </w:tr>
      <w:tr w:rsidR="6CB66994" w:rsidTr="3C60AEA8" w14:paraId="129EC120">
        <w:trPr>
          <w:trHeight w:val="300"/>
        </w:trPr>
        <w:tc>
          <w:tcPr>
            <w:tcW w:w="2685" w:type="dxa"/>
            <w:tcBorders>
              <w:top w:val="single" w:color="000000" w:themeColor="text1" w:sz="12"/>
            </w:tcBorders>
            <w:tcMar/>
            <w:vAlign w:val="center"/>
          </w:tcPr>
          <w:p w:rsidR="6CB66994" w:rsidP="6CB66994" w:rsidRDefault="6CB66994" w14:paraId="7744EA91" w14:textId="5AEA8436">
            <w:pPr>
              <w:spacing w:before="0" w:beforeAutospacing="off" w:after="0" w:afterAutospacing="off"/>
              <w:rPr>
                <w:b w:val="0"/>
                <w:bCs w:val="0"/>
              </w:rPr>
            </w:pPr>
            <w:r>
              <w:rPr>
                <w:b w:val="0"/>
              </w:rPr>
              <w:t>Recovery Timeliness</w:t>
            </w:r>
          </w:p>
        </w:tc>
        <w:tc>
          <w:tcPr>
            <w:tcW w:w="3270" w:type="dxa"/>
            <w:tcBorders>
              <w:top w:val="single" w:color="000000" w:themeColor="text1" w:sz="12"/>
            </w:tcBorders>
            <w:tcMar/>
            <w:vAlign w:val="center"/>
          </w:tcPr>
          <w:p w:rsidR="6CB66994" w:rsidP="6CB66994" w:rsidRDefault="6CB66994" w14:paraId="716E39E2" w14:textId="0A539227">
            <w:pPr>
              <w:spacing w:before="0" w:beforeAutospacing="off" w:after="0" w:afterAutospacing="off"/>
              <w:rPr>
                <w:b w:val="0"/>
                <w:bCs w:val="0"/>
              </w:rPr>
            </w:pPr>
            <w:r>
              <w:rPr>
                <w:b w:val="0"/>
              </w:rPr>
              <w:t>Administrative Resources</w:t>
            </w:r>
          </w:p>
        </w:tc>
        <w:tc>
          <w:tcPr>
            <w:tcW w:w="1845" w:type="dxa"/>
            <w:tcBorders>
              <w:top w:val="single" w:color="000000" w:themeColor="text1" w:sz="12"/>
            </w:tcBorders>
            <w:tcMar/>
            <w:vAlign w:val="center"/>
          </w:tcPr>
          <w:p w:rsidR="6CB66994" w:rsidP="6CB66994" w:rsidRDefault="6CB66994" w14:paraId="380B5924" w14:textId="54EC23C8">
            <w:pPr>
              <w:spacing w:before="0" w:beforeAutospacing="off" w:after="0" w:afterAutospacing="off"/>
              <w:rPr>
                <w:b w:val="0"/>
                <w:bCs w:val="0"/>
              </w:rPr>
            </w:pPr>
            <w:r>
              <w:rPr>
                <w:b w:val="0"/>
              </w:rPr>
              <w:t>0.080</w:t>
            </w:r>
          </w:p>
        </w:tc>
        <w:tc>
          <w:tcPr>
            <w:tcW w:w="1045" w:type="dxa"/>
            <w:tcBorders>
              <w:top w:val="single" w:color="000000" w:themeColor="text1" w:sz="12"/>
            </w:tcBorders>
            <w:tcMar/>
            <w:vAlign w:val="center"/>
          </w:tcPr>
          <w:p w:rsidR="6CB66994" w:rsidP="6CB66994" w:rsidRDefault="6CB66994" w14:paraId="2CF76636" w14:textId="3AD51184">
            <w:pPr>
              <w:spacing w:before="0" w:beforeAutospacing="off" w:after="0" w:afterAutospacing="off"/>
              <w:rPr>
                <w:b w:val="0"/>
                <w:bCs w:val="0"/>
              </w:rPr>
            </w:pPr>
            <w:r>
              <w:rPr>
                <w:b w:val="0"/>
              </w:rPr>
              <w:t>[-0.004, 0.095]; p=0.072</w:t>
            </w:r>
          </w:p>
        </w:tc>
      </w:tr>
      <w:tr w:rsidR="6CB66994" w:rsidTr="3C60AEA8" w14:paraId="67DD6122">
        <w:trPr>
          <w:trHeight w:val="300"/>
        </w:trPr>
        <w:tc>
          <w:tcPr>
            <w:tcW w:w="2685" w:type="dxa"/>
            <w:tcMar/>
            <w:vAlign w:val="center"/>
          </w:tcPr>
          <w:p w:rsidR="6CB66994" w:rsidP="6CB66994" w:rsidRDefault="6CB66994" w14:paraId="0C579EF4" w14:textId="658840EF">
            <w:pPr>
              <w:spacing w:before="0" w:beforeAutospacing="off" w:after="0" w:afterAutospacing="off"/>
              <w:rPr>
                <w:b w:val="0"/>
                <w:bCs w:val="0"/>
              </w:rPr>
            </w:pPr>
            <w:r>
              <w:rPr>
                <w:b w:val="0"/>
              </w:rPr>
              <w:t>Recovery Timeliness</w:t>
            </w:r>
          </w:p>
        </w:tc>
        <w:tc>
          <w:tcPr>
            <w:tcW w:w="3270" w:type="dxa"/>
            <w:tcMar/>
            <w:vAlign w:val="center"/>
          </w:tcPr>
          <w:p w:rsidR="6CB66994" w:rsidP="6CB66994" w:rsidRDefault="6CB66994" w14:paraId="6349CA38" w14:textId="2E72E4DC">
            <w:pPr>
              <w:spacing w:before="0" w:beforeAutospacing="off" w:after="0" w:afterAutospacing="off"/>
              <w:rPr>
                <w:b w:val="0"/>
                <w:bCs w:val="0"/>
              </w:rPr>
            </w:pPr>
            <w:r>
              <w:rPr>
                <w:b w:val="0"/>
              </w:rPr>
              <w:t>Administrative Burden Capacity</w:t>
            </w:r>
          </w:p>
        </w:tc>
        <w:tc>
          <w:tcPr>
            <w:tcW w:w="1845" w:type="dxa"/>
            <w:tcMar/>
            <w:vAlign w:val="center"/>
          </w:tcPr>
          <w:p w:rsidR="6CB66994" w:rsidP="6CB66994" w:rsidRDefault="6CB66994" w14:paraId="4ADBC2F7" w14:textId="75291058">
            <w:pPr>
              <w:spacing w:before="0" w:beforeAutospacing="off" w:after="0" w:afterAutospacing="off"/>
              <w:rPr>
                <w:b w:val="0"/>
                <w:bCs w:val="0"/>
              </w:rPr>
            </w:pPr>
            <w:r>
              <w:rPr>
                <w:b w:val="0"/>
              </w:rPr>
              <w:t>0.266</w:t>
            </w:r>
          </w:p>
        </w:tc>
        <w:tc>
          <w:tcPr>
            <w:tcW w:w="1045" w:type="dxa"/>
            <w:tcMar/>
            <w:vAlign w:val="center"/>
          </w:tcPr>
          <w:p w:rsidR="6CB66994" w:rsidP="6CB66994" w:rsidRDefault="6CB66994" w14:paraId="1D3FAA04" w14:textId="7A83D570">
            <w:pPr>
              <w:spacing w:before="0" w:beforeAutospacing="off" w:after="0" w:afterAutospacing="off"/>
              <w:rPr>
                <w:b w:val="0"/>
                <w:bCs w:val="0"/>
              </w:rPr>
            </w:pPr>
            <w:r>
              <w:rPr>
                <w:b w:val="0"/>
              </w:rPr>
              <w:t>[0.151, 0.352]; p&lt;0.001</w:t>
            </w:r>
          </w:p>
        </w:tc>
      </w:tr>
      <w:tr w:rsidR="6CB66994" w:rsidTr="3C60AEA8" w14:paraId="74F321C0">
        <w:trPr>
          <w:trHeight w:val="300"/>
        </w:trPr>
        <w:tc>
          <w:tcPr>
            <w:tcW w:w="2685" w:type="dxa"/>
            <w:tcMar/>
            <w:vAlign w:val="center"/>
          </w:tcPr>
          <w:p w:rsidR="6CB66994" w:rsidP="6CB66994" w:rsidRDefault="6CB66994" w14:paraId="317BC63E" w14:textId="46F661BA">
            <w:pPr>
              <w:spacing w:before="0" w:beforeAutospacing="off" w:after="0" w:afterAutospacing="off"/>
              <w:rPr>
                <w:b w:val="0"/>
                <w:bCs w:val="0"/>
              </w:rPr>
            </w:pPr>
            <w:r>
              <w:rPr>
                <w:b w:val="0"/>
              </w:rPr>
              <w:t>Recovery Timeliness</w:t>
            </w:r>
          </w:p>
        </w:tc>
        <w:tc>
          <w:tcPr>
            <w:tcW w:w="3270" w:type="dxa"/>
            <w:tcMar/>
            <w:vAlign w:val="center"/>
          </w:tcPr>
          <w:p w:rsidR="6CB66994" w:rsidP="6CB66994" w:rsidRDefault="6CB66994" w14:paraId="1598F741" w14:textId="0F1EC9C1">
            <w:pPr>
              <w:spacing w:before="0" w:beforeAutospacing="off" w:after="0" w:afterAutospacing="off"/>
              <w:rPr>
                <w:b w:val="0"/>
                <w:bCs w:val="0"/>
              </w:rPr>
            </w:pPr>
            <w:r>
              <w:rPr>
                <w:b w:val="0"/>
              </w:rPr>
              <w:t>State or local government</w:t>
            </w:r>
          </w:p>
        </w:tc>
        <w:tc>
          <w:tcPr>
            <w:tcW w:w="1845" w:type="dxa"/>
            <w:tcMar/>
            <w:vAlign w:val="center"/>
          </w:tcPr>
          <w:p w:rsidR="6CB66994" w:rsidP="6CB66994" w:rsidRDefault="6CB66994" w14:paraId="2F519403" w14:textId="5BC58468">
            <w:pPr>
              <w:spacing w:before="0" w:beforeAutospacing="off" w:after="0" w:afterAutospacing="off"/>
              <w:rPr>
                <w:b w:val="0"/>
                <w:bCs w:val="0"/>
              </w:rPr>
            </w:pPr>
            <w:r>
              <w:rPr>
                <w:b w:val="0"/>
              </w:rPr>
              <w:t>-0.106</w:t>
            </w:r>
          </w:p>
        </w:tc>
        <w:tc>
          <w:tcPr>
            <w:tcW w:w="1045" w:type="dxa"/>
            <w:tcMar/>
            <w:vAlign w:val="center"/>
          </w:tcPr>
          <w:p w:rsidR="6CB66994" w:rsidP="6CB66994" w:rsidRDefault="6CB66994" w14:paraId="0F03C907" w14:textId="186C4644">
            <w:pPr>
              <w:spacing w:before="0" w:beforeAutospacing="off" w:after="0" w:afterAutospacing="off"/>
              <w:rPr>
                <w:b w:val="0"/>
                <w:bCs w:val="0"/>
              </w:rPr>
            </w:pPr>
            <w:r>
              <w:rPr>
                <w:b w:val="0"/>
              </w:rPr>
              <w:t>[-0.520, 0.000]; p=0.050</w:t>
            </w:r>
          </w:p>
        </w:tc>
      </w:tr>
      <w:tr w:rsidR="6CB66994" w:rsidTr="3C60AEA8" w14:paraId="67CC7F37">
        <w:trPr>
          <w:trHeight w:val="300"/>
        </w:trPr>
        <w:tc>
          <w:tcPr>
            <w:tcW w:w="2685" w:type="dxa"/>
            <w:tcMar/>
            <w:vAlign w:val="center"/>
          </w:tcPr>
          <w:p w:rsidR="6CB66994" w:rsidP="6CB66994" w:rsidRDefault="6CB66994" w14:paraId="00738000" w14:textId="33DD19BF">
            <w:pPr>
              <w:spacing w:before="0" w:beforeAutospacing="off" w:after="0" w:afterAutospacing="off"/>
              <w:rPr>
                <w:b w:val="0"/>
                <w:bCs w:val="0"/>
              </w:rPr>
            </w:pPr>
            <w:r>
              <w:rPr>
                <w:b w:val="0"/>
              </w:rPr>
              <w:t>Recovery Timeliness</w:t>
            </w:r>
          </w:p>
        </w:tc>
        <w:tc>
          <w:tcPr>
            <w:tcW w:w="3270" w:type="dxa"/>
            <w:tcMar/>
            <w:vAlign w:val="center"/>
          </w:tcPr>
          <w:p w:rsidR="6CB66994" w:rsidP="6CB66994" w:rsidRDefault="6CB66994" w14:paraId="1E95914A" w14:textId="74856925">
            <w:pPr>
              <w:spacing w:before="0" w:beforeAutospacing="off" w:after="0" w:afterAutospacing="off"/>
              <w:rPr>
                <w:b w:val="0"/>
                <w:bCs w:val="0"/>
              </w:rPr>
            </w:pPr>
            <w:r>
              <w:rPr>
                <w:b w:val="0"/>
              </w:rPr>
              <w:t>SVI Theme 1: Socioeconomic</w:t>
            </w:r>
          </w:p>
        </w:tc>
        <w:tc>
          <w:tcPr>
            <w:tcW w:w="1845" w:type="dxa"/>
            <w:tcMar/>
            <w:vAlign w:val="center"/>
          </w:tcPr>
          <w:p w:rsidR="6CB66994" w:rsidP="6CB66994" w:rsidRDefault="6CB66994" w14:paraId="77104703" w14:textId="7F3F07D3">
            <w:pPr>
              <w:spacing w:before="0" w:beforeAutospacing="off" w:after="0" w:afterAutospacing="off"/>
              <w:rPr>
                <w:b w:val="0"/>
                <w:bCs w:val="0"/>
              </w:rPr>
            </w:pPr>
            <w:r>
              <w:rPr>
                <w:b w:val="0"/>
              </w:rPr>
              <w:t>-0.194</w:t>
            </w:r>
          </w:p>
        </w:tc>
        <w:tc>
          <w:tcPr>
            <w:tcW w:w="1045" w:type="dxa"/>
            <w:tcMar/>
            <w:vAlign w:val="center"/>
          </w:tcPr>
          <w:p w:rsidR="6CB66994" w:rsidP="6CB66994" w:rsidRDefault="6CB66994" w14:paraId="3456FC25" w14:textId="20721893">
            <w:pPr>
              <w:spacing w:before="0" w:beforeAutospacing="off" w:after="0" w:afterAutospacing="off"/>
              <w:rPr>
                <w:b w:val="0"/>
                <w:bCs w:val="0"/>
              </w:rPr>
            </w:pPr>
            <w:r>
              <w:rPr>
                <w:b w:val="0"/>
              </w:rPr>
              <w:t>[-0.177, -0.035]; p=0.004</w:t>
            </w:r>
          </w:p>
        </w:tc>
      </w:tr>
      <w:tr w:rsidR="6CB66994" w:rsidTr="3C60AEA8" w14:paraId="09D5E532">
        <w:trPr>
          <w:trHeight w:val="300"/>
        </w:trPr>
        <w:tc>
          <w:tcPr>
            <w:tcW w:w="2685" w:type="dxa"/>
            <w:tcMar/>
            <w:vAlign w:val="center"/>
          </w:tcPr>
          <w:p w:rsidR="6CB66994" w:rsidP="6CB66994" w:rsidRDefault="6CB66994" w14:paraId="1B67953A" w14:textId="3F8226DF">
            <w:pPr>
              <w:spacing w:before="0" w:beforeAutospacing="off" w:after="0" w:afterAutospacing="off"/>
              <w:rPr>
                <w:b w:val="0"/>
                <w:bCs w:val="0"/>
              </w:rPr>
            </w:pPr>
            <w:r>
              <w:rPr>
                <w:b w:val="0"/>
              </w:rPr>
              <w:t>Recovery Timeliness</w:t>
            </w:r>
          </w:p>
        </w:tc>
        <w:tc>
          <w:tcPr>
            <w:tcW w:w="3270" w:type="dxa"/>
            <w:tcMar/>
            <w:vAlign w:val="center"/>
          </w:tcPr>
          <w:p w:rsidR="6CB66994" w:rsidP="6CB66994" w:rsidRDefault="6CB66994" w14:paraId="23CA0ADC" w14:textId="33B524CC">
            <w:pPr>
              <w:spacing w:before="0" w:beforeAutospacing="off" w:after="0" w:afterAutospacing="off"/>
              <w:rPr>
                <w:b w:val="0"/>
                <w:bCs w:val="0"/>
              </w:rPr>
            </w:pPr>
            <w:r>
              <w:rPr>
                <w:b w:val="0"/>
              </w:rPr>
              <w:t>SVI Theme 2: Household composition &amp; disability</w:t>
            </w:r>
          </w:p>
        </w:tc>
        <w:tc>
          <w:tcPr>
            <w:tcW w:w="1845" w:type="dxa"/>
            <w:tcMar/>
            <w:vAlign w:val="center"/>
          </w:tcPr>
          <w:p w:rsidR="6CB66994" w:rsidP="6CB66994" w:rsidRDefault="6CB66994" w14:paraId="5DD16F97" w14:textId="1AE1C6EA">
            <w:pPr>
              <w:spacing w:before="0" w:beforeAutospacing="off" w:after="0" w:afterAutospacing="off"/>
              <w:rPr>
                <w:b w:val="0"/>
                <w:bCs w:val="0"/>
              </w:rPr>
            </w:pPr>
            <w:r>
              <w:rPr>
                <w:b w:val="0"/>
              </w:rPr>
              <w:t>-0.159</w:t>
            </w:r>
          </w:p>
        </w:tc>
        <w:tc>
          <w:tcPr>
            <w:tcW w:w="1045" w:type="dxa"/>
            <w:tcMar/>
            <w:vAlign w:val="center"/>
          </w:tcPr>
          <w:p w:rsidR="6CB66994" w:rsidP="6CB66994" w:rsidRDefault="6CB66994" w14:paraId="29B7F938" w14:textId="19F5D2C9">
            <w:pPr>
              <w:spacing w:before="0" w:beforeAutospacing="off" w:after="0" w:afterAutospacing="off"/>
              <w:rPr>
                <w:b w:val="0"/>
                <w:bCs w:val="0"/>
              </w:rPr>
            </w:pPr>
            <w:r>
              <w:rPr>
                <w:b w:val="0"/>
              </w:rPr>
              <w:t>[-0.146, -0.027]; p=0.004</w:t>
            </w:r>
          </w:p>
        </w:tc>
      </w:tr>
      <w:tr w:rsidR="6CB66994" w:rsidTr="3C60AEA8" w14:paraId="01259E3A">
        <w:trPr>
          <w:trHeight w:val="300"/>
        </w:trPr>
        <w:tc>
          <w:tcPr>
            <w:tcW w:w="2685" w:type="dxa"/>
            <w:tcMar/>
            <w:vAlign w:val="center"/>
          </w:tcPr>
          <w:p w:rsidR="6CB66994" w:rsidP="6CB66994" w:rsidRDefault="6CB66994" w14:paraId="68298D8F" w14:textId="0C74EAE8">
            <w:pPr>
              <w:spacing w:before="0" w:beforeAutospacing="off" w:after="0" w:afterAutospacing="off"/>
              <w:rPr>
                <w:b w:val="0"/>
                <w:bCs w:val="0"/>
              </w:rPr>
            </w:pPr>
            <w:r>
              <w:rPr>
                <w:b w:val="0"/>
              </w:rPr>
              <w:t>Recovery Performance</w:t>
            </w:r>
          </w:p>
        </w:tc>
        <w:tc>
          <w:tcPr>
            <w:tcW w:w="3270" w:type="dxa"/>
            <w:tcMar/>
            <w:vAlign w:val="center"/>
          </w:tcPr>
          <w:p w:rsidR="6CB66994" w:rsidP="6CB66994" w:rsidRDefault="6CB66994" w14:paraId="52349D53" w14:textId="5F54189B">
            <w:pPr>
              <w:spacing w:before="0" w:beforeAutospacing="off" w:after="0" w:afterAutospacing="off"/>
              <w:rPr>
                <w:b w:val="0"/>
                <w:bCs w:val="0"/>
              </w:rPr>
            </w:pPr>
            <w:r>
              <w:rPr>
                <w:b w:val="0"/>
              </w:rPr>
              <w:t>Administrative Resources</w:t>
            </w:r>
          </w:p>
        </w:tc>
        <w:tc>
          <w:tcPr>
            <w:tcW w:w="1845" w:type="dxa"/>
            <w:tcMar/>
            <w:vAlign w:val="center"/>
          </w:tcPr>
          <w:p w:rsidR="6CB66994" w:rsidP="6CB66994" w:rsidRDefault="6CB66994" w14:paraId="06D53E0A" w14:textId="174575A9">
            <w:pPr>
              <w:spacing w:before="0" w:beforeAutospacing="off" w:after="0" w:afterAutospacing="off"/>
              <w:rPr>
                <w:b w:val="0"/>
                <w:bCs w:val="0"/>
              </w:rPr>
            </w:pPr>
            <w:r>
              <w:rPr>
                <w:b w:val="0"/>
              </w:rPr>
              <w:t>-0.170</w:t>
            </w:r>
          </w:p>
        </w:tc>
        <w:tc>
          <w:tcPr>
            <w:tcW w:w="1045" w:type="dxa"/>
            <w:tcMar/>
            <w:vAlign w:val="center"/>
          </w:tcPr>
          <w:p w:rsidR="6CB66994" w:rsidP="6CB66994" w:rsidRDefault="6CB66994" w14:paraId="1F227517" w14:textId="52BA8123">
            <w:pPr>
              <w:spacing w:before="0" w:beforeAutospacing="off" w:after="0" w:afterAutospacing="off"/>
              <w:rPr>
                <w:b w:val="0"/>
                <w:bCs w:val="0"/>
              </w:rPr>
            </w:pPr>
            <w:r>
              <w:rPr>
                <w:b w:val="0"/>
              </w:rPr>
              <w:t>[-0.212, -0.066]; p&lt;0.001</w:t>
            </w:r>
          </w:p>
        </w:tc>
      </w:tr>
      <w:tr w:rsidR="6CB66994" w:rsidTr="3C60AEA8" w14:paraId="091803DD">
        <w:trPr>
          <w:trHeight w:val="300"/>
        </w:trPr>
        <w:tc>
          <w:tcPr>
            <w:tcW w:w="2685" w:type="dxa"/>
            <w:tcMar/>
            <w:vAlign w:val="center"/>
          </w:tcPr>
          <w:p w:rsidR="6CB66994" w:rsidP="6CB66994" w:rsidRDefault="6CB66994" w14:paraId="44A4E6E8" w14:textId="4F1A07B4">
            <w:pPr>
              <w:spacing w:before="0" w:beforeAutospacing="off" w:after="0" w:afterAutospacing="off"/>
              <w:rPr>
                <w:b w:val="0"/>
                <w:bCs w:val="0"/>
              </w:rPr>
            </w:pPr>
            <w:r>
              <w:rPr>
                <w:b w:val="0"/>
              </w:rPr>
              <w:t>Recovery Performance</w:t>
            </w:r>
          </w:p>
        </w:tc>
        <w:tc>
          <w:tcPr>
            <w:tcW w:w="3270" w:type="dxa"/>
            <w:tcMar/>
            <w:vAlign w:val="center"/>
          </w:tcPr>
          <w:p w:rsidR="6CB66994" w:rsidP="6CB66994" w:rsidRDefault="6CB66994" w14:paraId="5FC149E7" w14:textId="2331634B">
            <w:pPr>
              <w:spacing w:before="0" w:beforeAutospacing="off" w:after="0" w:afterAutospacing="off"/>
              <w:rPr>
                <w:b w:val="0"/>
                <w:bCs w:val="0"/>
              </w:rPr>
            </w:pPr>
            <w:r>
              <w:rPr>
                <w:b w:val="0"/>
              </w:rPr>
              <w:t>Administrative Burden Capacity</w:t>
            </w:r>
          </w:p>
        </w:tc>
        <w:tc>
          <w:tcPr>
            <w:tcW w:w="1845" w:type="dxa"/>
            <w:tcMar/>
            <w:vAlign w:val="center"/>
          </w:tcPr>
          <w:p w:rsidR="6CB66994" w:rsidP="6CB66994" w:rsidRDefault="6CB66994" w14:paraId="39E918E7" w14:textId="770F7C22">
            <w:pPr>
              <w:spacing w:before="0" w:beforeAutospacing="off" w:after="0" w:afterAutospacing="off"/>
              <w:rPr>
                <w:b w:val="0"/>
                <w:bCs w:val="0"/>
              </w:rPr>
            </w:pPr>
            <w:r>
              <w:rPr>
                <w:b w:val="0"/>
              </w:rPr>
              <w:t>0.077</w:t>
            </w:r>
          </w:p>
        </w:tc>
        <w:tc>
          <w:tcPr>
            <w:tcW w:w="1045" w:type="dxa"/>
            <w:tcMar/>
            <w:vAlign w:val="center"/>
          </w:tcPr>
          <w:p w:rsidR="6CB66994" w:rsidP="6CB66994" w:rsidRDefault="6CB66994" w14:paraId="15A0A3EF" w14:textId="09DF305E">
            <w:pPr>
              <w:spacing w:before="0" w:beforeAutospacing="off" w:after="0" w:afterAutospacing="off"/>
              <w:rPr>
                <w:b w:val="0"/>
                <w:bCs w:val="0"/>
              </w:rPr>
            </w:pPr>
            <w:r>
              <w:rPr>
                <w:b w:val="0"/>
              </w:rPr>
              <w:t>[-0.015, 0.222]; p=0.086</w:t>
            </w:r>
          </w:p>
        </w:tc>
      </w:tr>
      <w:tr w:rsidR="6CB66994" w:rsidTr="3C60AEA8" w14:paraId="4D92C655">
        <w:trPr>
          <w:trHeight w:val="300"/>
        </w:trPr>
        <w:tc>
          <w:tcPr>
            <w:tcW w:w="2685" w:type="dxa"/>
            <w:tcMar/>
            <w:vAlign w:val="center"/>
          </w:tcPr>
          <w:p w:rsidR="6CB66994" w:rsidP="6CB66994" w:rsidRDefault="6CB66994" w14:paraId="7900AADC" w14:textId="04489656">
            <w:pPr>
              <w:spacing w:before="0" w:beforeAutospacing="off" w:after="0" w:afterAutospacing="off"/>
              <w:rPr>
                <w:b w:val="0"/>
                <w:bCs w:val="0"/>
              </w:rPr>
            </w:pPr>
            <w:r>
              <w:rPr>
                <w:b w:val="0"/>
              </w:rPr>
              <w:t>Recovery Performance</w:t>
            </w:r>
          </w:p>
        </w:tc>
        <w:tc>
          <w:tcPr>
            <w:tcW w:w="3270" w:type="dxa"/>
            <w:tcMar/>
            <w:vAlign w:val="center"/>
          </w:tcPr>
          <w:p w:rsidR="6CB66994" w:rsidP="6CB66994" w:rsidRDefault="6CB66994" w14:paraId="425E34E1" w14:textId="65A49F72">
            <w:pPr>
              <w:spacing w:before="0" w:beforeAutospacing="off" w:after="0" w:afterAutospacing="off"/>
              <w:rPr>
                <w:b w:val="0"/>
                <w:bCs w:val="0"/>
              </w:rPr>
            </w:pPr>
            <w:r>
              <w:rPr>
                <w:b w:val="0"/>
              </w:rPr>
              <w:t>State or local government</w:t>
            </w:r>
          </w:p>
        </w:tc>
        <w:tc>
          <w:tcPr>
            <w:tcW w:w="1845" w:type="dxa"/>
            <w:tcMar/>
            <w:vAlign w:val="center"/>
          </w:tcPr>
          <w:p w:rsidR="6CB66994" w:rsidP="6CB66994" w:rsidRDefault="6CB66994" w14:paraId="460D5DF3" w14:textId="30F58C08">
            <w:pPr>
              <w:spacing w:before="0" w:beforeAutospacing="off" w:after="0" w:afterAutospacing="off"/>
              <w:rPr>
                <w:b w:val="0"/>
                <w:bCs w:val="0"/>
              </w:rPr>
            </w:pPr>
            <w:r>
              <w:rPr>
                <w:b w:val="0"/>
              </w:rPr>
              <w:t>-0.038</w:t>
            </w:r>
          </w:p>
        </w:tc>
        <w:tc>
          <w:tcPr>
            <w:tcW w:w="1045" w:type="dxa"/>
            <w:tcMar/>
            <w:vAlign w:val="center"/>
          </w:tcPr>
          <w:p w:rsidR="6CB66994" w:rsidP="6CB66994" w:rsidRDefault="6CB66994" w14:paraId="1C619A7C" w14:textId="24A4BA84">
            <w:pPr>
              <w:spacing w:before="0" w:beforeAutospacing="off" w:after="0" w:afterAutospacing="off"/>
              <w:rPr>
                <w:b w:val="0"/>
                <w:bCs w:val="0"/>
              </w:rPr>
            </w:pPr>
            <w:r>
              <w:rPr>
                <w:b w:val="0"/>
              </w:rPr>
              <w:t>[-0.526, 0.259]; p=0.505</w:t>
            </w:r>
          </w:p>
        </w:tc>
      </w:tr>
      <w:tr w:rsidR="6CB66994" w:rsidTr="3C60AEA8" w14:paraId="1706BD25">
        <w:trPr>
          <w:trHeight w:val="300"/>
        </w:trPr>
        <w:tc>
          <w:tcPr>
            <w:tcW w:w="2685" w:type="dxa"/>
            <w:tcMar/>
            <w:vAlign w:val="center"/>
          </w:tcPr>
          <w:p w:rsidR="6CB66994" w:rsidP="6CB66994" w:rsidRDefault="6CB66994" w14:paraId="509146BF" w14:textId="0ECA044A">
            <w:pPr>
              <w:spacing w:before="0" w:beforeAutospacing="off" w:after="0" w:afterAutospacing="off"/>
              <w:rPr>
                <w:b w:val="0"/>
                <w:bCs w:val="0"/>
              </w:rPr>
            </w:pPr>
            <w:r>
              <w:rPr>
                <w:b w:val="0"/>
              </w:rPr>
              <w:t>Recovery Performance</w:t>
            </w:r>
          </w:p>
        </w:tc>
        <w:tc>
          <w:tcPr>
            <w:tcW w:w="3270" w:type="dxa"/>
            <w:tcMar/>
            <w:vAlign w:val="center"/>
          </w:tcPr>
          <w:p w:rsidR="6CB66994" w:rsidP="6CB66994" w:rsidRDefault="6CB66994" w14:paraId="6C348F57" w14:textId="6CA2C52B">
            <w:pPr>
              <w:spacing w:before="0" w:beforeAutospacing="off" w:after="0" w:afterAutospacing="off"/>
              <w:rPr>
                <w:b w:val="0"/>
                <w:bCs w:val="0"/>
              </w:rPr>
            </w:pPr>
            <w:r>
              <w:rPr>
                <w:b w:val="0"/>
              </w:rPr>
              <w:t>SVI Theme 3: Minority status &amp; language</w:t>
            </w:r>
          </w:p>
        </w:tc>
        <w:tc>
          <w:tcPr>
            <w:tcW w:w="1845" w:type="dxa"/>
            <w:tcMar/>
            <w:vAlign w:val="center"/>
          </w:tcPr>
          <w:p w:rsidR="6CB66994" w:rsidP="6CB66994" w:rsidRDefault="6CB66994" w14:paraId="01BCF226" w14:textId="49F6FF66">
            <w:pPr>
              <w:spacing w:before="0" w:beforeAutospacing="off" w:after="0" w:afterAutospacing="off"/>
              <w:rPr>
                <w:b w:val="0"/>
                <w:bCs w:val="0"/>
              </w:rPr>
            </w:pPr>
            <w:r>
              <w:rPr>
                <w:b w:val="0"/>
              </w:rPr>
              <w:t>-0.226</w:t>
            </w:r>
          </w:p>
        </w:tc>
        <w:tc>
          <w:tcPr>
            <w:tcW w:w="1045" w:type="dxa"/>
            <w:tcMar/>
            <w:vAlign w:val="center"/>
          </w:tcPr>
          <w:p w:rsidR="6CB66994" w:rsidP="6CB66994" w:rsidRDefault="6CB66994" w14:paraId="355AA12B" w14:textId="5DFDCCC6">
            <w:pPr>
              <w:spacing w:before="0" w:beforeAutospacing="off" w:after="0" w:afterAutospacing="off"/>
              <w:rPr>
                <w:b w:val="0"/>
                <w:bCs w:val="0"/>
              </w:rPr>
            </w:pPr>
            <w:r>
              <w:rPr>
                <w:b w:val="0"/>
              </w:rPr>
              <w:t>[-0.258, -0.096]; p&lt;0.001</w:t>
            </w:r>
          </w:p>
        </w:tc>
      </w:tr>
    </w:tbl>
    <w:p w:rsidR="66B70613" w:rsidP="6CB66994" w:rsidRDefault="66B70613" w14:paraId="043065DF" w14:textId="36D80025">
      <w:pPr>
        <w:pStyle w:val="Normal"/>
        <w:suppressLineNumbers w:val="0"/>
        <w:bidi w:val="0"/>
        <w:spacing w:before="240" w:beforeAutospacing="off" w:after="240" w:afterAutospacing="off" w:line="278" w:lineRule="auto"/>
        <w:ind w:left="0" w:right="0"/>
        <w:jc w:val="left"/>
        <w:rPr>
          <w:b w:val="0"/>
          <w:bCs w:val="0"/>
        </w:rPr>
      </w:pPr>
      <w:r>
        <w:rPr>
          <w:rFonts w:ascii="Aptos" w:hAnsi="Aptos"/>
          <w:sz w:val="304800"/>
          <w:u w:val="none"/>
        </w:rPr>
        <w:t>Note: Table 2 reports a highlighted subset of standardized coefficients from the two-factor SEM. The final column reports 95% confidence intervals for the corresponding unstandardized path coefficient together with exact p-values. Appendix Table A2 reports the complete modeled coefficient set.</w:t>
      </w:r>
    </w:p>
    <w:p w:rsidR="45DE8FF0" w:rsidP="6CB66994" w:rsidRDefault="45DE8FF0" w14:paraId="59A1F56C" w14:textId="48B514F1">
      <w:pPr>
        <w:pStyle w:val="Normal"/>
        <w:spacing w:before="240" w:beforeAutospacing="off" w:after="240" w:afterAutospacing="off"/>
        <w:jc w:val="left"/>
      </w:pPr>
      <w:r w:rsidRPr="3C60AEA8" w:rsidR="3C407A59">
        <w:rPr>
          <w:rFonts w:ascii="Aptos" w:hAnsi="Aptos" w:eastAsia="Aptos" w:cs="Aptos"/>
          <w:i w:val="1"/>
          <w:iCs w:val="1"/>
          <w:noProof w:val="0"/>
          <w:sz w:val="24"/>
          <w:szCs w:val="24"/>
          <w:u w:val="none"/>
          <w:lang w:val="en-US"/>
        </w:rPr>
        <w:t xml:space="preserve">5.2.1. Relationships </w:t>
      </w:r>
      <w:r w:rsidRPr="3C60AEA8" w:rsidR="3C407A59">
        <w:rPr>
          <w:rFonts w:ascii="Aptos" w:hAnsi="Aptos" w:eastAsia="Aptos" w:cs="Aptos"/>
          <w:i w:val="1"/>
          <w:iCs w:val="1"/>
          <w:noProof w:val="0"/>
          <w:sz w:val="24"/>
          <w:szCs w:val="24"/>
          <w:u w:val="none"/>
          <w:lang w:val="en-US"/>
        </w:rPr>
        <w:t>with</w:t>
      </w:r>
      <w:r w:rsidRPr="3C60AEA8" w:rsidR="3C407A59">
        <w:rPr>
          <w:rFonts w:ascii="Aptos" w:hAnsi="Aptos" w:eastAsia="Aptos" w:cs="Aptos"/>
          <w:i w:val="1"/>
          <w:iCs w:val="1"/>
          <w:noProof w:val="0"/>
          <w:sz w:val="24"/>
          <w:szCs w:val="24"/>
          <w:u w:val="none"/>
          <w:lang w:val="en-US"/>
        </w:rPr>
        <w:t xml:space="preserve"> </w:t>
      </w:r>
      <w:r w:rsidRPr="3C60AEA8" w:rsidR="73AE4A41">
        <w:rPr>
          <w:rFonts w:ascii="Aptos" w:hAnsi="Aptos" w:eastAsia="Aptos" w:cs="Aptos"/>
          <w:i w:val="1"/>
          <w:iCs w:val="1"/>
          <w:noProof w:val="0"/>
          <w:sz w:val="24"/>
          <w:szCs w:val="24"/>
          <w:u w:val="none"/>
          <w:lang w:val="en-US"/>
        </w:rPr>
        <w:t>R</w:t>
      </w:r>
      <w:r w:rsidRPr="3C60AEA8" w:rsidR="45DE8FF0">
        <w:rPr>
          <w:rFonts w:ascii="Aptos" w:hAnsi="Aptos" w:eastAsia="Aptos" w:cs="Aptos"/>
          <w:i w:val="1"/>
          <w:iCs w:val="1"/>
          <w:noProof w:val="0"/>
          <w:sz w:val="24"/>
          <w:szCs w:val="24"/>
          <w:u w:val="none"/>
          <w:lang w:val="en-US"/>
        </w:rPr>
        <w:t xml:space="preserve">ecovery </w:t>
      </w:r>
      <w:r w:rsidRPr="3C60AEA8" w:rsidR="72C454B6">
        <w:rPr>
          <w:rFonts w:ascii="Aptos" w:hAnsi="Aptos" w:eastAsia="Aptos" w:cs="Aptos"/>
          <w:i w:val="1"/>
          <w:iCs w:val="1"/>
          <w:noProof w:val="0"/>
          <w:sz w:val="24"/>
          <w:szCs w:val="24"/>
          <w:u w:val="none"/>
          <w:lang w:val="en-US"/>
        </w:rPr>
        <w:t>P</w:t>
      </w:r>
      <w:r w:rsidRPr="3C60AEA8" w:rsidR="45DE8FF0">
        <w:rPr>
          <w:rFonts w:ascii="Aptos" w:hAnsi="Aptos" w:eastAsia="Aptos" w:cs="Aptos"/>
          <w:i w:val="1"/>
          <w:iCs w:val="1"/>
          <w:noProof w:val="0"/>
          <w:sz w:val="24"/>
          <w:szCs w:val="24"/>
          <w:u w:val="none"/>
          <w:lang w:val="en-US"/>
        </w:rPr>
        <w:t>erformance</w:t>
      </w:r>
    </w:p>
    <w:p w:rsidR="7EAF20D8" w:rsidP="3C60AEA8" w:rsidRDefault="7EAF20D8" w14:paraId="5066E908" w14:textId="36205985">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Administrative Resources exhibit a negative association with Recovery Performance (beta = -0.170; unstandardized b = -0.139, 95% CI [-0.212, -0.066]; p &lt; 0.001), indicating that jurisdictions with higher staffing and payroll intensity do not necessarily display stronger financial execution or program completion once workload pressure and contextual conditions are taken into account. This coefficient should not be read as evidence that more resources worsen recovery; at most it suggests that resource intensity may proxy for more complex portfolios or administrative settings that the pooled cross-sectional model does not fully observe. By contrast, Administrative Burden Capacity is positive but only marginally associated with Recovery Performance (beta = 0.077; b = 0.104, 95% CI [-0.015, 0.222]; p = 0.086). Manageable workload appears helpful for performance, but the evidence is much stronger for timeliness than for the broader Recovery Performance construct.</w:t>
      </w:r>
    </w:p>
    <w:p w:rsidR="7EAF20D8" w:rsidP="6CB66994" w:rsidRDefault="7EAF20D8" w14:paraId="149CB813" w14:textId="48D6433A">
      <w:pPr>
        <w:pStyle w:val="Normal"/>
        <w:spacing w:before="240" w:beforeAutospacing="off" w:after="240" w:afterAutospacing="off"/>
        <w:jc w:val="left"/>
        <w:rPr>
          <w:rFonts w:ascii="Aptos" w:hAnsi="Aptos" w:eastAsia="Aptos" w:cs="Aptos"/>
          <w:b w:val="0"/>
          <w:bCs w:val="0"/>
          <w:noProof w:val="0"/>
          <w:sz w:val="24"/>
          <w:szCs w:val="24"/>
          <w:lang w:val="en-US"/>
        </w:rPr>
      </w:pPr>
      <w:r>
        <w:rPr>
          <w:rFonts w:ascii="Aptos" w:hAnsi="Aptos"/>
          <w:sz w:val="304800"/>
        </w:rPr>
        <w:t>Among the covariates, SVI Theme 3 (minority status and language vulnerability) shows the clearest association with Recovery Performance (beta = -0.226, p &lt; 0.001). The predicted relationship plot in Figure 2(a) indicates that Recovery Performance tends to decline as minority and language vulnerability increase. This pattern should be read as contextual rather than causal: jurisdictions serving more linguistically diverse or historically marginalized communities may face greater outreach, translation, verification, and service-delivery demands, not because those communities cause weaker recovery, but because administrative barriers and structural inequities can be harder to overcome in those settings.</w:t>
      </w:r>
    </w:p>
    <w:p w:rsidR="1AD017FB" w:rsidP="3C60AEA8" w:rsidRDefault="1AD017FB" w14:paraId="03955421" w14:textId="1F2568AF">
      <w:pPr>
        <w:pStyle w:val="Normal"/>
        <w:spacing w:before="240" w:beforeAutospacing="off" w:after="240" w:afterAutospacing="off"/>
        <w:jc w:val="center"/>
      </w:pPr>
      <w:r w:rsidR="1AD017FB">
        <w:drawing>
          <wp:inline wp14:editId="10C9D9AC" wp14:anchorId="22075CA0">
            <wp:extent cx="5943600" cy="4429125"/>
            <wp:effectExtent l="0" t="0" r="0" b="0"/>
            <wp:docPr id="722415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773914" name="Picture 2130773914"/>
                    <pic:cNvPicPr/>
                  </pic:nvPicPr>
                  <pic:blipFill>
                    <a:blip xmlns:r="http://schemas.openxmlformats.org/officeDocument/2006/relationships" r:embed="rId1824779850">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rsidR="1AD017FB" w:rsidP="3C60AEA8" w:rsidRDefault="1AD017FB" w14:paraId="016EDBCC" w14:textId="3C59E3CB">
      <w:pPr>
        <w:pStyle w:val="Normal"/>
        <w:spacing w:before="240" w:beforeAutospacing="off" w:after="240" w:afterAutospacing="off"/>
        <w:jc w:val="left"/>
        <w:rPr>
          <w:rFonts w:ascii="Aptos" w:hAnsi="Aptos" w:eastAsia="Aptos" w:cs="Aptos"/>
          <w:b w:val="0"/>
          <w:bCs w:val="0"/>
          <w:noProof w:val="0"/>
          <w:sz w:val="24"/>
          <w:szCs w:val="24"/>
          <w:lang w:val="en-US"/>
        </w:rPr>
      </w:pPr>
      <w:r>
        <w:rPr>
          <w:rFonts w:ascii="Aptos" w:hAnsi="Aptos"/>
          <w:b/>
          <w:sz w:val="304800"/>
        </w:rPr>
        <w:t>Figure 2. SEM-implied predicted relationship: (a) SVI Theme 3: minority status and language → Recovery Performance, (b) SVI Theme 1: socioeconomic → Recovery Timeliness, and (c) SVI Theme 2: household composition/disability → Recovery Timeliness.</w:t>
      </w:r>
    </w:p>
    <w:p w:rsidR="503AB21D" w:rsidP="41D8F452" w:rsidRDefault="503AB21D" w14:paraId="510688BB" w14:textId="0FFC7B45">
      <w:pPr>
        <w:pStyle w:val="Normal"/>
        <w:spacing w:before="240" w:beforeAutospacing="off" w:after="240" w:afterAutospacing="off"/>
        <w:jc w:val="left"/>
        <w:rPr>
          <w:rFonts w:ascii="Aptos" w:hAnsi="Aptos" w:eastAsia="Aptos" w:cs="Aptos"/>
          <w:noProof w:val="0"/>
          <w:sz w:val="24"/>
          <w:szCs w:val="24"/>
          <w:u w:val="single"/>
          <w:lang w:val="en-US"/>
        </w:rPr>
      </w:pPr>
      <w:r w:rsidRPr="3C60AEA8" w:rsidR="503AB21D">
        <w:rPr>
          <w:rFonts w:ascii="Aptos" w:hAnsi="Aptos" w:eastAsia="Aptos" w:cs="Aptos"/>
          <w:i w:val="1"/>
          <w:iCs w:val="1"/>
          <w:noProof w:val="0"/>
          <w:sz w:val="24"/>
          <w:szCs w:val="24"/>
          <w:u w:val="none"/>
          <w:lang w:val="en-US"/>
        </w:rPr>
        <w:t xml:space="preserve">5.2.2. Relationships with </w:t>
      </w:r>
      <w:r w:rsidRPr="3C60AEA8" w:rsidR="5B4E6B21">
        <w:rPr>
          <w:rFonts w:ascii="Aptos" w:hAnsi="Aptos" w:eastAsia="Aptos" w:cs="Aptos"/>
          <w:i w:val="1"/>
          <w:iCs w:val="1"/>
          <w:noProof w:val="0"/>
          <w:sz w:val="24"/>
          <w:szCs w:val="24"/>
          <w:u w:val="none"/>
          <w:lang w:val="en-US"/>
        </w:rPr>
        <w:t>R</w:t>
      </w:r>
      <w:r w:rsidRPr="3C60AEA8" w:rsidR="503AB21D">
        <w:rPr>
          <w:rFonts w:ascii="Aptos" w:hAnsi="Aptos" w:eastAsia="Aptos" w:cs="Aptos"/>
          <w:i w:val="1"/>
          <w:iCs w:val="1"/>
          <w:noProof w:val="0"/>
          <w:sz w:val="24"/>
          <w:szCs w:val="24"/>
          <w:u w:val="none"/>
          <w:lang w:val="en-US"/>
        </w:rPr>
        <w:t xml:space="preserve">ecovery </w:t>
      </w:r>
      <w:r w:rsidRPr="3C60AEA8" w:rsidR="26D957C2">
        <w:rPr>
          <w:rFonts w:ascii="Aptos" w:hAnsi="Aptos" w:eastAsia="Aptos" w:cs="Aptos"/>
          <w:i w:val="1"/>
          <w:iCs w:val="1"/>
          <w:noProof w:val="0"/>
          <w:sz w:val="24"/>
          <w:szCs w:val="24"/>
          <w:u w:val="none"/>
          <w:lang w:val="en-US"/>
        </w:rPr>
        <w:t>T</w:t>
      </w:r>
      <w:r w:rsidRPr="3C60AEA8" w:rsidR="503AB21D">
        <w:rPr>
          <w:rFonts w:ascii="Aptos" w:hAnsi="Aptos" w:eastAsia="Aptos" w:cs="Aptos"/>
          <w:i w:val="1"/>
          <w:iCs w:val="1"/>
          <w:noProof w:val="0"/>
          <w:sz w:val="24"/>
          <w:szCs w:val="24"/>
          <w:u w:val="none"/>
          <w:lang w:val="en-US"/>
        </w:rPr>
        <w:t>imeliness</w:t>
      </w:r>
    </w:p>
    <w:p w:rsidR="4658A579" w:rsidP="3C60AEA8" w:rsidRDefault="4658A579" w14:paraId="264DAE23" w14:textId="4F4C42DB">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Pr>
          <w:rFonts w:ascii="Aptos" w:hAnsi="Aptos"/>
          <w:b w:val="0"/>
          <w:sz w:val="304800"/>
        </w:rPr>
        <w:t>For Recovery Timeliness, Administrative Burden Capacity plays the clearest role. Lower workload pressure relative to available staffing is strongly associated with faster and more consistent recovery implementation (beta = 0.266; b = 0.251, 95% CI [0.151, 0.352]; p &lt; 0.001), indicating that administrative strain is an important constraint on implementation speed. Administrative Resources are positively associated with Recovery Timeliness as well, but only marginally (beta = 0.080; b = 0.046, 95% CI [-0.004, 0.095]; p = 0.072). This contrast reinforces the main substantive message of the paper: resource levels matter, but workload manageability appears to be the more consistent cross-sectional correlate of timely recovery administration.</w:t>
      </w:r>
    </w:p>
    <w:p w:rsidR="4658A579" w:rsidP="3C60AEA8" w:rsidRDefault="4658A579" w14:paraId="0A3F9C38" w14:textId="759C76BB">
      <w:pPr>
        <w:pStyle w:val="Normal"/>
        <w:bidi w:val="0"/>
        <w:spacing w:before="240" w:beforeAutospacing="off" w:after="240" w:afterAutospacing="off" w:line="278" w:lineRule="auto"/>
        <w:ind w:left="0" w:right="0"/>
        <w:jc w:val="left"/>
      </w:pPr>
      <w:r>
        <w:rPr>
          <w:rFonts w:ascii="Aptos" w:hAnsi="Aptos"/>
          <w:b w:val="0"/>
          <w:sz w:val="304800"/>
        </w:rPr>
        <w:t>Two dimensions of social vulnerability are also significantly associated with Recovery Timeliness. Higher values of SVI Theme 1 (socioeconomic vulnerability) and SVI Theme 2 (household composition and disability) are associated with slower implementation (beta = -0.194, p = 0.004; beta = -0.159, p = 0.004). Figures 2(b) and 2(c) show these downward patterns. The results suggest that jurisdictions serving more socioeconomically vulnerable and demographically constrained populations may face additional administrative frictions that slow recovery even after capacity proxies are taken into account.</w:t>
      </w:r>
    </w:p>
    <w:p w:rsidR="4658A579" w:rsidP="3C60AEA8" w:rsidRDefault="4658A579" w14:paraId="1BFB1D96" w14:textId="60D83CB4">
      <w:pPr>
        <w:pStyle w:val="Normal"/>
        <w:bidi w:val="0"/>
        <w:spacing w:before="240" w:beforeAutospacing="off" w:after="240" w:afterAutospacing="off" w:line="278" w:lineRule="auto"/>
        <w:ind w:left="0" w:right="0"/>
        <w:jc w:val="left"/>
      </w:pPr>
      <w:r>
        <w:rPr>
          <w:rFonts w:ascii="Aptos" w:hAnsi="Aptos"/>
          <w:b w:val="0"/>
          <w:sz w:val="304800"/>
        </w:rPr>
        <w:t>The state-versus-local indicator is not statistically meaningful for Recovery Performance (beta = -0.038; b = -0.133, 95% CI [-0.526, 0.259]; p = 0.505) and is only borderline negative for Recovery Timeliness (beta = -0.106; b = -0.260, 95% CI [-0.520, 0.000]; p = 0.050). Governmental level is therefore treated as a control variable and a descriptive comparison device, not as a moderator of capacity effects. The negative sign for timeliness suggests that local governments may, on average, move somewhat faster than state agencies once other covariates are controlled, but the evidence is too modest and the institutional tasks too heterogeneous to support strong claims about institutional superiority.</w:t>
      </w:r>
    </w:p>
    <w:p w:rsidR="50075B0F" w:rsidP="41D8F452" w:rsidRDefault="50075B0F" w14:paraId="6C0AFC93" w14:textId="2A8DC245">
      <w:pPr>
        <w:pStyle w:val="Normal"/>
        <w:suppressLineNumbers w:val="0"/>
        <w:bidi w:val="0"/>
        <w:spacing w:before="240" w:beforeAutospacing="off" w:after="240" w:afterAutospacing="off" w:line="278" w:lineRule="auto"/>
        <w:ind w:left="0" w:right="0"/>
        <w:jc w:val="left"/>
      </w:pPr>
      <w:r>
        <w:rPr>
          <w:rFonts w:ascii="Aptos" w:hAnsi="Aptos"/>
          <w:i/>
          <w:sz w:val="304800"/>
          <w:u w:val="none"/>
        </w:rPr>
        <w:t>5.2.3. Supplementary SEM-implied relationship plots</w:t>
      </w:r>
    </w:p>
    <w:p w:rsidR="0A0602ED" w:rsidP="3C60AEA8" w:rsidRDefault="0A0602ED" w14:paraId="420FFF1E" w14:textId="4F087635">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Pr>
          <w:rFonts w:ascii="Aptos" w:hAnsi="Aptos"/>
          <w:b w:val="0"/>
          <w:sz w:val="304800"/>
        </w:rPr>
        <w:t>The SEM-implied predicted relationship plots further indicate that Administrative Burden Capacity explains more of the visible variation in recovery outcomes than Administrative Resources alone. Figures 3(a) and 3(b) show upward associations between Administrative Burden Capacity and both Recovery Performance and Recovery Timeliness, with the relationship appearing substantially stronger for timeliness. These plots are useful visualization tools, but they should not be interpreted as evidence of nonlinear causal effects. They are derived from the fitted SEM and are therefore best read as model-implied association curves.</w:t>
      </w:r>
    </w:p>
    <w:p w:rsidR="0FA9DDF5" w:rsidP="0FA9DDF5" w:rsidRDefault="0FA9DDF5" w14:paraId="4636FE8C" w14:textId="0B55B37B">
      <w:pPr>
        <w:pStyle w:val="Normal"/>
        <w:spacing w:before="240" w:beforeAutospacing="off" w:after="240" w:afterAutospacing="off"/>
        <w:jc w:val="left"/>
        <w:rPr>
          <w:rFonts w:ascii="Aptos" w:hAnsi="Aptos" w:eastAsia="Aptos" w:cs="Aptos"/>
          <w:b w:val="0"/>
          <w:bCs w:val="0"/>
          <w:i w:val="1"/>
          <w:iCs w:val="1"/>
          <w:noProof w:val="0"/>
          <w:sz w:val="24"/>
          <w:szCs w:val="24"/>
          <w:lang w:val="en-US"/>
        </w:rPr>
      </w:pPr>
    </w:p>
    <w:p w:rsidR="1C684160" w:rsidP="0FA9DDF5" w:rsidRDefault="1C684160" w14:paraId="03496357" w14:textId="0568C743">
      <w:pPr>
        <w:pStyle w:val="Normal"/>
        <w:spacing w:before="240" w:beforeAutospacing="off" w:after="240" w:afterAutospacing="off"/>
        <w:jc w:val="left"/>
      </w:pPr>
      <w:r w:rsidR="1C684160">
        <w:drawing>
          <wp:inline wp14:editId="7C17ECC4" wp14:anchorId="3953DFFF">
            <wp:extent cx="5943600" cy="4305300"/>
            <wp:effectExtent l="0" t="0" r="0" b="0"/>
            <wp:docPr id="1265940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940695" name="Picture 1265940695"/>
                    <pic:cNvPicPr/>
                  </pic:nvPicPr>
                  <pic:blipFill>
                    <a:blip xmlns:r="http://schemas.openxmlformats.org/officeDocument/2006/relationships" r:embed="rId2137670550">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rsidR="1352F867" w:rsidP="4563BE08" w:rsidRDefault="1352F867" w14:paraId="11F8E410" w14:textId="4FD4A01B">
      <w:pPr>
        <w:pStyle w:val="Normal"/>
        <w:spacing w:before="240" w:beforeAutospacing="off" w:after="240" w:afterAutospacing="off"/>
        <w:jc w:val="left"/>
        <w:rPr>
          <w:rFonts w:ascii="Aptos" w:hAnsi="Aptos" w:eastAsia="Aptos" w:cs="Aptos"/>
          <w:b w:val="0"/>
          <w:bCs w:val="0"/>
          <w:noProof w:val="0"/>
          <w:sz w:val="24"/>
          <w:szCs w:val="24"/>
          <w:lang w:val="en-US"/>
        </w:rPr>
      </w:pPr>
      <w:r>
        <w:rPr>
          <w:rFonts w:ascii="Aptos" w:hAnsi="Aptos"/>
          <w:b/>
          <w:sz w:val="304800"/>
        </w:rPr>
        <w:t>Figure 3. SEM-implied predicted relationship: (a) Administrative Burden Capacity -&gt; Recovery Performance, (b) Administrative Burden Capacity -&gt; Recovery Timeliness, (c) Administrative Resources -&gt; Recovery Performance, and (d) Administrative Resources -&gt; Recovery Timeliness.</w:t>
      </w:r>
    </w:p>
    <w:p w:rsidR="71C71175" w:rsidP="3C60AEA8" w:rsidRDefault="71C71175" w14:paraId="695904FA" w14:textId="740CF8F0">
      <w:pPr>
        <w:pStyle w:val="Normal"/>
        <w:spacing w:before="240" w:beforeAutospacing="off" w:after="240" w:afterAutospacing="off"/>
        <w:jc w:val="left"/>
        <w:rPr>
          <w:rFonts w:ascii="Aptos" w:hAnsi="Aptos" w:eastAsia="Aptos" w:cs="Aptos"/>
          <w:b w:val="0"/>
          <w:bCs w:val="0"/>
          <w:noProof w:val="0"/>
          <w:sz w:val="24"/>
          <w:szCs w:val="24"/>
          <w:lang w:val="en-US"/>
        </w:rPr>
      </w:pPr>
      <w:r>
        <w:rPr>
          <w:rFonts w:ascii="Aptos" w:hAnsi="Aptos"/>
          <w:b w:val="0"/>
          <w:sz w:val="304800"/>
        </w:rPr>
        <w:t>Administrative Resources exhibit a more complex relationship with recovery outcomes. Figure 3(c) mirrors the negative coefficient reported in Table 2 for Recovery Performance, whereas Figure 3(d) reflects the weaker positive association with Recovery Timeliness. One plausible interpretation is that larger staffing and payroll footprints are characteristic of more complex or higher-demand recovery portfolios. Once workload is modeled explicitly, the resource indicators no longer behave like simple monotonic measures of administrative effectiveness.</w:t>
      </w:r>
    </w:p>
    <w:p w:rsidR="05F7FD89" w:rsidP="3C60AEA8" w:rsidRDefault="05F7FD89" w14:paraId="707B5838" w14:textId="46444513">
      <w:pPr>
        <w:pStyle w:val="Normal"/>
        <w:spacing w:before="240" w:beforeAutospacing="off" w:after="240" w:afterAutospacing="off"/>
        <w:jc w:val="left"/>
        <w:rPr>
          <w:rFonts w:ascii="Aptos" w:hAnsi="Aptos" w:eastAsia="Aptos" w:cs="Aptos"/>
          <w:b w:val="0"/>
          <w:bCs w:val="0"/>
          <w:noProof w:val="0"/>
          <w:sz w:val="24"/>
          <w:szCs w:val="24"/>
          <w:lang w:val="en-US"/>
        </w:rPr>
      </w:pPr>
      <w:r w:rsidRPr="5A746606" w:rsidR="24DA69D4">
        <w:rPr>
          <w:rFonts w:ascii="Aptos" w:hAnsi="Aptos" w:eastAsia="Aptos" w:cs="Aptos"/>
          <w:b w:val="0"/>
          <w:bCs w:val="0"/>
          <w:noProof w:val="0"/>
          <w:sz w:val="24"/>
          <w:szCs w:val="24"/>
          <w:lang w:val="en-US"/>
        </w:rPr>
        <w:t xml:space="preserve">It is also important to note that most state agencies and local governments (counties) </w:t>
      </w:r>
      <w:r w:rsidRPr="5A746606" w:rsidR="24DA69D4">
        <w:rPr>
          <w:rFonts w:ascii="Aptos" w:hAnsi="Aptos" w:eastAsia="Aptos" w:cs="Aptos"/>
          <w:b w:val="0"/>
          <w:bCs w:val="0"/>
          <w:noProof w:val="0"/>
          <w:sz w:val="24"/>
          <w:szCs w:val="24"/>
          <w:lang w:val="en-US"/>
        </w:rPr>
        <w:t>maintained</w:t>
      </w:r>
      <w:r w:rsidRPr="5A746606" w:rsidR="24DA69D4">
        <w:rPr>
          <w:rFonts w:ascii="Aptos" w:hAnsi="Aptos" w:eastAsia="Aptos" w:cs="Aptos"/>
          <w:b w:val="0"/>
          <w:bCs w:val="0"/>
          <w:noProof w:val="0"/>
          <w:sz w:val="24"/>
          <w:szCs w:val="24"/>
          <w:lang w:val="en-US"/>
        </w:rPr>
        <w:t xml:space="preserve"> </w:t>
      </w:r>
      <w:r w:rsidRPr="5A746606" w:rsidR="24DA69D4">
        <w:rPr>
          <w:rFonts w:ascii="Aptos" w:hAnsi="Aptos" w:eastAsia="Aptos" w:cs="Aptos"/>
          <w:b w:val="0"/>
          <w:bCs w:val="0"/>
          <w:noProof w:val="0"/>
          <w:sz w:val="24"/>
          <w:szCs w:val="24"/>
          <w:lang w:val="en-US"/>
        </w:rPr>
        <w:t>relatively limited</w:t>
      </w:r>
      <w:r w:rsidRPr="5A746606" w:rsidR="24DA69D4">
        <w:rPr>
          <w:rFonts w:ascii="Aptos" w:hAnsi="Aptos" w:eastAsia="Aptos" w:cs="Aptos"/>
          <w:b w:val="0"/>
          <w:bCs w:val="0"/>
          <w:noProof w:val="0"/>
          <w:sz w:val="24"/>
          <w:szCs w:val="24"/>
          <w:lang w:val="en-US"/>
        </w:rPr>
        <w:t xml:space="preserve"> staffing resources dedicated to administering CDBG-DR housing recovery programs, as illustrated in Figure </w:t>
      </w:r>
      <w:r w:rsidRPr="5A746606" w:rsidR="15662F84">
        <w:rPr>
          <w:rFonts w:ascii="Aptos" w:hAnsi="Aptos" w:eastAsia="Aptos" w:cs="Aptos"/>
          <w:b w:val="0"/>
          <w:bCs w:val="0"/>
          <w:noProof w:val="0"/>
          <w:sz w:val="24"/>
          <w:szCs w:val="24"/>
          <w:lang w:val="en-US"/>
        </w:rPr>
        <w:t>3</w:t>
      </w:r>
      <w:r w:rsidRPr="5A746606" w:rsidR="24DA69D4">
        <w:rPr>
          <w:rFonts w:ascii="Aptos" w:hAnsi="Aptos" w:eastAsia="Aptos" w:cs="Aptos"/>
          <w:b w:val="0"/>
          <w:bCs w:val="0"/>
          <w:noProof w:val="0"/>
          <w:sz w:val="24"/>
          <w:szCs w:val="24"/>
          <w:lang w:val="en-US"/>
        </w:rPr>
        <w:t xml:space="preserve">. As a result, the standardized values of both Administrative Resources and Administrative Burden Capacity were concentrated near zero for many </w:t>
      </w:r>
      <w:r w:rsidRPr="5A746606" w:rsidR="24DA69D4">
        <w:rPr>
          <w:rFonts w:ascii="Aptos" w:hAnsi="Aptos" w:eastAsia="Aptos" w:cs="Aptos"/>
          <w:b w:val="0"/>
          <w:bCs w:val="0"/>
          <w:noProof w:val="0"/>
          <w:sz w:val="24"/>
          <w:szCs w:val="24"/>
          <w:lang w:val="en-US"/>
        </w:rPr>
        <w:t>jurisdictions</w:t>
      </w:r>
      <w:r w:rsidRPr="5A746606" w:rsidR="24DA69D4">
        <w:rPr>
          <w:rFonts w:ascii="Aptos" w:hAnsi="Aptos" w:eastAsia="Aptos" w:cs="Aptos"/>
          <w:b w:val="0"/>
          <w:bCs w:val="0"/>
          <w:noProof w:val="0"/>
          <w:sz w:val="24"/>
          <w:szCs w:val="24"/>
          <w:lang w:val="en-US"/>
        </w:rPr>
        <w:t>, leading to more modest and sometimes less stable marginal effects across recovery outcomes. Th</w:t>
      </w:r>
      <w:r w:rsidRPr="5A746606" w:rsidR="670BE4F2">
        <w:rPr>
          <w:rFonts w:ascii="Aptos" w:hAnsi="Aptos" w:eastAsia="Aptos" w:cs="Aptos"/>
          <w:b w:val="0"/>
          <w:bCs w:val="0"/>
          <w:noProof w:val="0"/>
          <w:sz w:val="24"/>
          <w:szCs w:val="24"/>
          <w:lang w:val="en-US"/>
        </w:rPr>
        <w:t>is</w:t>
      </w:r>
      <w:r w:rsidRPr="5A746606" w:rsidR="24DA69D4">
        <w:rPr>
          <w:rFonts w:ascii="Aptos" w:hAnsi="Aptos" w:eastAsia="Aptos" w:cs="Aptos"/>
          <w:b w:val="0"/>
          <w:bCs w:val="0"/>
          <w:noProof w:val="0"/>
          <w:sz w:val="24"/>
          <w:szCs w:val="24"/>
          <w:lang w:val="en-US"/>
        </w:rPr>
        <w:t xml:space="preserve"> </w:t>
      </w:r>
      <w:r w:rsidRPr="5A746606" w:rsidR="11C20C62">
        <w:rPr>
          <w:rFonts w:ascii="Aptos" w:hAnsi="Aptos" w:eastAsia="Aptos" w:cs="Aptos"/>
          <w:b w:val="0"/>
          <w:bCs w:val="0"/>
          <w:noProof w:val="0"/>
          <w:sz w:val="24"/>
          <w:szCs w:val="24"/>
          <w:lang w:val="en-US"/>
        </w:rPr>
        <w:t xml:space="preserve">suggests that improving recovery outcomes requires not only reducing administrative workload pressures but also strengthening staffing and fiscal resources. However, increasing administrative resources alone is insufficient to ensure effective </w:t>
      </w:r>
      <w:r w:rsidRPr="5A746606" w:rsidR="11C20C62">
        <w:rPr>
          <w:rFonts w:ascii="Aptos" w:hAnsi="Aptos" w:eastAsia="Aptos" w:cs="Aptos"/>
          <w:b w:val="0"/>
          <w:bCs w:val="0"/>
          <w:noProof w:val="0"/>
          <w:sz w:val="24"/>
          <w:szCs w:val="24"/>
          <w:lang w:val="en-US"/>
        </w:rPr>
        <w:t>recovery</w:t>
      </w:r>
      <w:r w:rsidRPr="5A746606" w:rsidR="11C20C62">
        <w:rPr>
          <w:rFonts w:ascii="Aptos" w:hAnsi="Aptos" w:eastAsia="Aptos" w:cs="Aptos"/>
          <w:b w:val="0"/>
          <w:bCs w:val="0"/>
          <w:noProof w:val="0"/>
          <w:sz w:val="24"/>
          <w:szCs w:val="24"/>
          <w:lang w:val="en-US"/>
        </w:rPr>
        <w:t xml:space="preserve"> implementation. Rather, enhancing administrative capacity requires a balanced combination of adequate resources and manageable program demands, although the results </w:t>
      </w:r>
      <w:r w:rsidRPr="5A746606" w:rsidR="11C20C62">
        <w:rPr>
          <w:rFonts w:ascii="Aptos" w:hAnsi="Aptos" w:eastAsia="Aptos" w:cs="Aptos"/>
          <w:b w:val="0"/>
          <w:bCs w:val="0"/>
          <w:noProof w:val="0"/>
          <w:sz w:val="24"/>
          <w:szCs w:val="24"/>
          <w:lang w:val="en-US"/>
        </w:rPr>
        <w:t>indicate</w:t>
      </w:r>
      <w:r w:rsidRPr="5A746606" w:rsidR="11C20C62">
        <w:rPr>
          <w:rFonts w:ascii="Aptos" w:hAnsi="Aptos" w:eastAsia="Aptos" w:cs="Aptos"/>
          <w:b w:val="0"/>
          <w:bCs w:val="0"/>
          <w:noProof w:val="0"/>
          <w:sz w:val="24"/>
          <w:szCs w:val="24"/>
          <w:lang w:val="en-US"/>
        </w:rPr>
        <w:t xml:space="preserve"> that manageable workload conditions played a particularly critical role in supporting successful recovery outcomes.</w:t>
      </w:r>
    </w:p>
    <w:p w:rsidR="05F7FD89" w:rsidP="3C60AEA8" w:rsidRDefault="05F7FD89" w14:paraId="10E3E765" w14:textId="050D3BC2">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Pr>
          <w:rFonts w:ascii="Aptos" w:hAnsi="Aptos"/>
          <w:b w:val="0"/>
          <w:sz w:val="304800"/>
        </w:rPr>
        <w:t>Supplementary indicator-level predicted relationship plots were also generated using the observed variables that underlie the latent capacity constructs. These figures are presented in Appendix Figures A1-A5. They are retained as descriptive visual checks rather than as separate evidentiary tests, and they broadly support the same interpretation: staff-scaled workload measures align more consistently with Recovery Timeliness than raw resource intensity alone.</w:t>
      </w:r>
    </w:p>
    <w:p w:rsidR="242A5FEC" w:rsidP="4563BE08" w:rsidRDefault="242A5FEC" w14:paraId="1022F8C0" w14:textId="7C6DE8EB">
      <w:pPr>
        <w:pStyle w:val="Normal"/>
        <w:suppressLineNumbers w:val="0"/>
        <w:bidi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41D8F452" w:rsidR="242A5FEC">
        <w:rPr>
          <w:rFonts w:ascii="Aptos" w:hAnsi="Aptos" w:eastAsia="Aptos" w:cs="Aptos"/>
          <w:b w:val="1"/>
          <w:bCs w:val="1"/>
          <w:noProof w:val="0"/>
          <w:sz w:val="24"/>
          <w:szCs w:val="24"/>
          <w:lang w:val="en-US"/>
        </w:rPr>
        <w:t>5.</w:t>
      </w:r>
      <w:r w:rsidRPr="41D8F452" w:rsidR="6B34F7C5">
        <w:rPr>
          <w:rFonts w:ascii="Aptos" w:hAnsi="Aptos" w:eastAsia="Aptos" w:cs="Aptos"/>
          <w:b w:val="1"/>
          <w:bCs w:val="1"/>
          <w:noProof w:val="0"/>
          <w:sz w:val="24"/>
          <w:szCs w:val="24"/>
          <w:lang w:val="en-US"/>
        </w:rPr>
        <w:t>3</w:t>
      </w:r>
      <w:r w:rsidRPr="41D8F452" w:rsidR="242A5FEC">
        <w:rPr>
          <w:rFonts w:ascii="Aptos" w:hAnsi="Aptos" w:eastAsia="Aptos" w:cs="Aptos"/>
          <w:b w:val="1"/>
          <w:bCs w:val="1"/>
          <w:noProof w:val="0"/>
          <w:sz w:val="24"/>
          <w:szCs w:val="24"/>
          <w:lang w:val="en-US"/>
        </w:rPr>
        <w:t xml:space="preserve">. </w:t>
      </w:r>
      <w:r w:rsidRPr="41D8F452" w:rsidR="14E188A8">
        <w:rPr>
          <w:rFonts w:ascii="Aptos" w:hAnsi="Aptos" w:eastAsia="Aptos" w:cs="Aptos"/>
          <w:b w:val="1"/>
          <w:bCs w:val="1"/>
          <w:noProof w:val="0"/>
          <w:sz w:val="24"/>
          <w:szCs w:val="24"/>
          <w:lang w:val="en-US"/>
        </w:rPr>
        <w:t>Spatial patterns of governmental capacity and recovery outcomes</w:t>
      </w:r>
    </w:p>
    <w:p w:rsidR="2CAA2765" w:rsidP="4563BE08" w:rsidRDefault="2CAA2765" w14:paraId="2886CA0B" w14:textId="4EDE0FB7">
      <w:pPr>
        <w:pStyle w:val="Normal"/>
        <w:spacing w:before="240" w:beforeAutospacing="off" w:after="240" w:afterAutospacing="off"/>
        <w:jc w:val="left"/>
      </w:pPr>
      <w:r>
        <w:rPr>
          <w:rFonts w:ascii="Aptos" w:hAnsi="Aptos"/>
          <w:sz w:val="304800"/>
        </w:rPr>
        <w:t>To complement the SEM results, the manuscript retains only a small appendix-style descriptive spatial section showing how selected county-level capacity and recovery scores are distributed geographically. These figures are not part of the SEM estimation, and they are not used to establish additional statistical claims. Instead, they provide visual context for whether the burden-capacity pattern identified in the SEM appears concentrated in particular regions.</w:t>
      </w:r>
    </w:p>
    <w:p w:rsidR="708EE088" w:rsidP="0FA9DDF5" w:rsidRDefault="708EE088" w14:paraId="238E171C" w14:textId="5461202B">
      <w:pPr>
        <w:pStyle w:val="Normal"/>
        <w:spacing w:before="240" w:beforeAutospacing="off" w:after="240" w:afterAutospacing="off"/>
        <w:jc w:val="left"/>
        <w:rPr>
          <w:rFonts w:ascii="Aptos" w:hAnsi="Aptos" w:eastAsia="Aptos" w:cs="Aptos"/>
          <w:noProof w:val="0"/>
          <w:sz w:val="24"/>
          <w:szCs w:val="24"/>
          <w:lang w:val="en-US"/>
        </w:rPr>
      </w:pPr>
      <w:r>
        <w:rPr>
          <w:rFonts w:ascii="Aptos" w:hAnsi="Aptos"/>
          <w:i/>
          <w:sz w:val="304800"/>
        </w:rPr>
        <w:t>Appendix Table A8 summarizes the official 2023 Census crosswalk audit used for those figures by distinguishing state-agency profiles, county-linked local profiles, and any unresolved records. In the recovered 573-jurisdiction sample used here, the archived labels resolve cleanly to official state or county GEOIDs, but that result should still be interpreted as an audit of the recovered sample labels rather than a full reconstruction of every earlier hierarchical matching decision.</w:t>
      </w:r>
    </w:p>
    <w:p w:rsidR="47DE522C" w:rsidP="3C60AEA8" w:rsidRDefault="47DE522C" w14:paraId="4C549F21" w14:textId="0E5B4224">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The descriptive maps are kept for orientation rather than inference. They summarize the geographic distribution of latent scores and related overlays, but they are not estimated as part of the SEM and should not be read as independent tests of the article's theoretical claims.</w:t>
      </w:r>
    </w:p>
    <w:p w:rsidR="016FF7E5" w:rsidP="0FA9DDF5" w:rsidRDefault="016FF7E5" w14:paraId="37AF7C59" w14:textId="6D43F4D6">
      <w:pPr>
        <w:pStyle w:val="Normal"/>
        <w:spacing w:before="240" w:beforeAutospacing="off" w:after="240" w:afterAutospacing="off"/>
        <w:jc w:val="center"/>
      </w:pPr>
      <w:r w:rsidR="016FF7E5">
        <w:drawing>
          <wp:inline wp14:editId="6677B879" wp14:anchorId="2F484954">
            <wp:extent cx="5943600" cy="3371850"/>
            <wp:effectExtent l="0" t="0" r="0" b="0"/>
            <wp:docPr id="1276691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691303" name="Picture 1276691303"/>
                    <pic:cNvPicPr/>
                  </pic:nvPicPr>
                  <pic:blipFill>
                    <a:blip xmlns:r="http://schemas.openxmlformats.org/officeDocument/2006/relationships" r:embed="rId1819650292">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47DE522C" w:rsidP="3C60AEA8" w:rsidRDefault="47DE522C" w14:paraId="5CAD2BDD" w14:textId="0E54E52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47DE522C">
        <w:rPr>
          <w:rFonts w:ascii="Aptos" w:hAnsi="Aptos" w:eastAsia="Aptos" w:cs="Aptos"/>
          <w:b w:val="1"/>
          <w:bCs w:val="1"/>
          <w:noProof w:val="0"/>
          <w:sz w:val="24"/>
          <w:szCs w:val="24"/>
          <w:lang w:val="en-US"/>
        </w:rPr>
        <w:t xml:space="preserve">Figure </w:t>
      </w:r>
      <w:r w:rsidRPr="3C60AEA8" w:rsidR="41272E79">
        <w:rPr>
          <w:rFonts w:ascii="Aptos" w:hAnsi="Aptos" w:eastAsia="Aptos" w:cs="Aptos"/>
          <w:b w:val="1"/>
          <w:bCs w:val="1"/>
          <w:noProof w:val="0"/>
          <w:sz w:val="24"/>
          <w:szCs w:val="24"/>
          <w:lang w:val="en-US"/>
        </w:rPr>
        <w:t>4</w:t>
      </w:r>
      <w:r w:rsidRPr="3C60AEA8" w:rsidR="47DE522C">
        <w:rPr>
          <w:rFonts w:ascii="Aptos" w:hAnsi="Aptos" w:eastAsia="Aptos" w:cs="Aptos"/>
          <w:noProof w:val="0"/>
          <w:sz w:val="24"/>
          <w:szCs w:val="24"/>
          <w:lang w:val="en-US"/>
        </w:rPr>
        <w:t xml:space="preserve">. Spatial </w:t>
      </w:r>
      <w:r w:rsidRPr="3C60AEA8" w:rsidR="3A8DB1F5">
        <w:rPr>
          <w:rFonts w:ascii="Aptos" w:hAnsi="Aptos" w:eastAsia="Aptos" w:cs="Aptos"/>
          <w:noProof w:val="0"/>
          <w:sz w:val="24"/>
          <w:szCs w:val="24"/>
          <w:lang w:val="en-US"/>
        </w:rPr>
        <w:t>distributions</w:t>
      </w:r>
      <w:r w:rsidRPr="3C60AEA8" w:rsidR="0A62D07C">
        <w:rPr>
          <w:rFonts w:ascii="Aptos" w:hAnsi="Aptos" w:eastAsia="Aptos" w:cs="Aptos"/>
          <w:noProof w:val="0"/>
          <w:sz w:val="24"/>
          <w:szCs w:val="24"/>
          <w:lang w:val="en-US"/>
        </w:rPr>
        <w:t xml:space="preserve"> </w:t>
      </w:r>
      <w:r w:rsidRPr="3C60AEA8" w:rsidR="459381FD">
        <w:rPr>
          <w:rFonts w:ascii="Aptos" w:hAnsi="Aptos" w:eastAsia="Aptos" w:cs="Aptos"/>
          <w:noProof w:val="0"/>
          <w:sz w:val="24"/>
          <w:szCs w:val="24"/>
          <w:lang w:val="en-US"/>
        </w:rPr>
        <w:t>of</w:t>
      </w:r>
      <w:r w:rsidRPr="3C60AEA8" w:rsidR="0A62D07C">
        <w:rPr>
          <w:rFonts w:ascii="Aptos" w:hAnsi="Aptos" w:eastAsia="Aptos" w:cs="Aptos"/>
          <w:noProof w:val="0"/>
          <w:sz w:val="24"/>
          <w:szCs w:val="24"/>
          <w:lang w:val="en-US"/>
        </w:rPr>
        <w:t xml:space="preserve"> standardized</w:t>
      </w:r>
      <w:r w:rsidRPr="3C60AEA8" w:rsidR="3C6BA8DF">
        <w:rPr>
          <w:rFonts w:ascii="Aptos" w:hAnsi="Aptos" w:eastAsia="Aptos" w:cs="Aptos"/>
          <w:noProof w:val="0"/>
          <w:sz w:val="24"/>
          <w:szCs w:val="24"/>
          <w:lang w:val="en-US"/>
        </w:rPr>
        <w:t xml:space="preserve"> </w:t>
      </w:r>
      <w:r w:rsidRPr="3C60AEA8" w:rsidR="3C6BA8DF">
        <w:rPr>
          <w:rFonts w:ascii="Aptos" w:hAnsi="Aptos" w:eastAsia="Aptos" w:cs="Aptos"/>
          <w:noProof w:val="0"/>
          <w:sz w:val="24"/>
          <w:szCs w:val="24"/>
          <w:lang w:val="en-US"/>
        </w:rPr>
        <w:t>latent</w:t>
      </w:r>
      <w:r w:rsidRPr="3C60AEA8" w:rsidR="3C6BA8DF">
        <w:rPr>
          <w:rFonts w:ascii="Aptos" w:hAnsi="Aptos" w:eastAsia="Aptos" w:cs="Aptos"/>
          <w:noProof w:val="0"/>
          <w:sz w:val="24"/>
          <w:szCs w:val="24"/>
          <w:lang w:val="en-US"/>
        </w:rPr>
        <w:t xml:space="preserve"> constructs at</w:t>
      </w:r>
      <w:r w:rsidRPr="3C60AEA8" w:rsidR="0A62D07C">
        <w:rPr>
          <w:rFonts w:ascii="Aptos" w:hAnsi="Aptos" w:eastAsia="Aptos" w:cs="Aptos"/>
          <w:noProof w:val="0"/>
          <w:sz w:val="24"/>
          <w:szCs w:val="24"/>
          <w:lang w:val="en-US"/>
        </w:rPr>
        <w:t xml:space="preserve"> </w:t>
      </w:r>
      <w:r w:rsidRPr="3C60AEA8" w:rsidR="0A62D07C">
        <w:rPr>
          <w:rFonts w:ascii="Aptos" w:hAnsi="Aptos" w:eastAsia="Aptos" w:cs="Aptos"/>
          <w:noProof w:val="0"/>
          <w:sz w:val="24"/>
          <w:szCs w:val="24"/>
          <w:lang w:val="en-US"/>
        </w:rPr>
        <w:t>county levels</w:t>
      </w:r>
      <w:r w:rsidRPr="3C60AEA8" w:rsidR="24218AA8">
        <w:rPr>
          <w:rFonts w:ascii="Aptos" w:hAnsi="Aptos" w:eastAsia="Aptos" w:cs="Aptos"/>
          <w:noProof w:val="0"/>
          <w:sz w:val="24"/>
          <w:szCs w:val="24"/>
          <w:lang w:val="en-US"/>
        </w:rPr>
        <w:t>: (a)</w:t>
      </w:r>
      <w:r w:rsidRPr="3C60AEA8" w:rsidR="47DE522C">
        <w:rPr>
          <w:rFonts w:ascii="Aptos" w:hAnsi="Aptos" w:eastAsia="Aptos" w:cs="Aptos"/>
          <w:noProof w:val="0"/>
          <w:sz w:val="24"/>
          <w:szCs w:val="24"/>
          <w:lang w:val="en-US"/>
        </w:rPr>
        <w:t xml:space="preserve"> </w:t>
      </w:r>
      <w:r w:rsidRPr="3C60AEA8" w:rsidR="7B09A212">
        <w:rPr>
          <w:rFonts w:ascii="Aptos" w:hAnsi="Aptos" w:eastAsia="Aptos" w:cs="Aptos"/>
          <w:noProof w:val="0"/>
          <w:sz w:val="24"/>
          <w:szCs w:val="24"/>
          <w:lang w:val="en-US"/>
        </w:rPr>
        <w:t>A</w:t>
      </w:r>
      <w:r w:rsidRPr="3C60AEA8" w:rsidR="47DE522C">
        <w:rPr>
          <w:rFonts w:ascii="Aptos" w:hAnsi="Aptos" w:eastAsia="Aptos" w:cs="Aptos"/>
          <w:noProof w:val="0"/>
          <w:sz w:val="24"/>
          <w:szCs w:val="24"/>
          <w:lang w:val="en-US"/>
        </w:rPr>
        <w:t xml:space="preserve">dministrative </w:t>
      </w:r>
      <w:r w:rsidRPr="3C60AEA8" w:rsidR="4B045346">
        <w:rPr>
          <w:rFonts w:ascii="Aptos" w:hAnsi="Aptos" w:eastAsia="Aptos" w:cs="Aptos"/>
          <w:noProof w:val="0"/>
          <w:sz w:val="24"/>
          <w:szCs w:val="24"/>
          <w:lang w:val="en-US"/>
        </w:rPr>
        <w:t>R</w:t>
      </w:r>
      <w:r w:rsidRPr="3C60AEA8" w:rsidR="47DE522C">
        <w:rPr>
          <w:rFonts w:ascii="Aptos" w:hAnsi="Aptos" w:eastAsia="Aptos" w:cs="Aptos"/>
          <w:noProof w:val="0"/>
          <w:sz w:val="24"/>
          <w:szCs w:val="24"/>
          <w:lang w:val="en-US"/>
        </w:rPr>
        <w:t>esources</w:t>
      </w:r>
      <w:r w:rsidRPr="3C60AEA8" w:rsidR="01C8C461">
        <w:rPr>
          <w:rFonts w:ascii="Aptos" w:hAnsi="Aptos" w:eastAsia="Aptos" w:cs="Aptos"/>
          <w:noProof w:val="0"/>
          <w:sz w:val="24"/>
          <w:szCs w:val="24"/>
          <w:lang w:val="en-US"/>
        </w:rPr>
        <w:t>, (b) Administrative Burden Capacity, (c) Recovery Performance, and (d) Recovery Timeliness.</w:t>
      </w:r>
    </w:p>
    <w:p w:rsidR="47DE522C" w:rsidP="3C60AEA8" w:rsidRDefault="47DE522C" w14:paraId="104FF3E8" w14:textId="17145F61">
      <w:pPr>
        <w:pStyle w:val="Normal"/>
        <w:suppressLineNumbers w:val="0"/>
        <w:bidi w:val="0"/>
        <w:spacing w:before="240" w:beforeAutospacing="off" w:after="240" w:afterAutospacing="off" w:line="278" w:lineRule="auto"/>
        <w:ind w:left="0" w:right="0"/>
        <w:jc w:val="left"/>
      </w:pPr>
      <w:r>
        <w:rPr>
          <w:rFonts w:ascii="Aptos" w:hAnsi="Aptos"/>
          <w:sz w:val="304800"/>
        </w:rPr>
        <w:t>Across the retained maps, the main descriptive pattern is straightforward: workload manageability and Recovery Timeliness appear more closely aligned than raw Administrative Resources and Recovery Performance. Because these maps inherit values from county-linked and state-agency profiles, they are best interpreted as secondary descriptive context.</w:t>
      </w:r>
    </w:p>
    <w:p w:rsidR="47DE522C" w:rsidP="0FA9DDF5" w:rsidRDefault="47DE522C" w14:paraId="7F44E684" w14:textId="144BAC77">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bookmarkStart w:name="_Int_QX67CJjt" w:id="677186598"/>
      <w:bookmarkEnd w:id="677186598"/>
      <w:bookmarkStart w:name="_Int_lEP6XXNm" w:id="1317976339"/>
      <w:bookmarkEnd w:id="1317976339"/>
      <w:r>
        <w:rPr>
          <w:rFonts w:ascii="Aptos" w:hAnsi="Aptos"/>
          <w:sz w:val="304800"/>
        </w:rPr>
        <w:t>For that reason, the map discussion is intentionally concise. The maps are used only to show whether the burden-capacity pattern identified in the SEM has a visible geographic footprint, not to establish an additional spatial model.</w:t>
      </w:r>
    </w:p>
    <w:p w:rsidR="75F0FE33" w:rsidP="0FA9DDF5" w:rsidRDefault="75F0FE33" w14:paraId="317F7F78" w14:textId="01E322A4">
      <w:pPr>
        <w:pStyle w:val="Normal"/>
        <w:suppressLineNumbers w:val="0"/>
        <w:bidi w:val="0"/>
        <w:spacing w:before="240" w:beforeAutospacing="off" w:after="240" w:afterAutospacing="off" w:line="278" w:lineRule="auto"/>
        <w:ind w:left="0" w:right="0"/>
        <w:jc w:val="left"/>
        <w:rPr>
          <w:rFonts w:ascii="Aptos" w:hAnsi="Aptos" w:eastAsia="Aptos" w:cs="Aptos"/>
          <w:i w:val="1"/>
          <w:iCs w:val="1"/>
          <w:noProof w:val="0"/>
          <w:sz w:val="24"/>
          <w:szCs w:val="24"/>
          <w:lang w:val="en-US"/>
        </w:rPr>
      </w:pPr>
      <w:r>
        <w:rPr>
          <w:rFonts w:ascii="Aptos" w:hAnsi="Aptos"/>
          <w:i/>
          <w:sz w:val="304800"/>
        </w:rPr>
        <w:t>5.3.2. Supplementary appendix-style descriptive overlays</w:t>
      </w:r>
    </w:p>
    <w:p w:rsidR="47DE522C" w:rsidP="3C60AEA8" w:rsidRDefault="47DE522C" w14:paraId="1ED851F6" w14:textId="72C04167">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The quadrant overlays and related county-level summaries are retained only as supplementary illustrations. Their main value is to show that the stronger burden-timeliness relationship does not appear purely abstract when mapped descriptively.</w:t>
      </w:r>
    </w:p>
    <w:p w:rsidR="2167C946" w:rsidP="41D8F452" w:rsidRDefault="2167C946" w14:paraId="71E80FA2" w14:textId="50F185FD">
      <w:pPr>
        <w:pStyle w:val="Normal"/>
        <w:spacing w:before="240" w:beforeAutospacing="off" w:after="240" w:afterAutospacing="off"/>
        <w:jc w:val="left"/>
        <w:rPr>
          <w:rFonts w:ascii="Aptos" w:hAnsi="Aptos" w:eastAsia="Aptos" w:cs="Aptos"/>
          <w:noProof w:val="0"/>
          <w:sz w:val="24"/>
          <w:szCs w:val="24"/>
          <w:lang w:val="en-US"/>
        </w:rPr>
      </w:pPr>
      <w:r>
        <w:rPr/>
        <w:t>Appendix Figure A6. Descriptive quadrant overlays of standardized Administrative Burden Capacity with (a) Recovery Timeliness and (b) Recovery Performance at the county level.</w:t>
      </w:r>
    </w:p>
    <w:p w:rsidR="06AAD6FF" w:rsidP="3C60AEA8" w:rsidRDefault="06AAD6FF" w14:paraId="5322E3BC" w14:textId="3C52E28E">
      <w:pPr>
        <w:pStyle w:val="Normal"/>
        <w:suppressLineNumbers w:val="0"/>
        <w:bidi w:val="0"/>
        <w:spacing w:before="240" w:beforeAutospacing="off" w:after="240" w:afterAutospacing="off"/>
        <w:jc w:val="left"/>
        <w:rPr>
          <w:rFonts w:ascii="Aptos" w:hAnsi="Aptos" w:eastAsia="Aptos" w:cs="Aptos"/>
          <w:noProof w:val="0"/>
          <w:sz w:val="24"/>
          <w:szCs w:val="24"/>
          <w:lang w:val="en-US"/>
        </w:rPr>
      </w:pPr>
      <w:r>
        <w:rPr>
          <w:rFonts w:ascii="Aptos" w:hAnsi="Aptos"/>
          <w:sz w:val="304800"/>
        </w:rPr>
        <w:t>Appendix Figure A6(a) is most useful as a visual cross-check on the SEM's main substantive result: counties with weaker burden-capacity scores are more often found in the same descriptive space as slower Recovery Timeliness. The map does not establish a spatial effect, but it helps show that the burden-timeliness relationship is not purely abstract.</w:t>
      </w:r>
    </w:p>
    <w:p w:rsidR="3A9A3F6E" w:rsidP="3C60AEA8" w:rsidRDefault="3A9A3F6E" w14:paraId="51512DAB" w14:textId="6B16105C">
      <w:pPr>
        <w:pStyle w:val="Normal"/>
        <w:suppressLineNumbers w:val="0"/>
        <w:bidi w:val="0"/>
        <w:spacing w:before="240" w:beforeAutospacing="off" w:after="240" w:afterAutospacing="off"/>
        <w:jc w:val="left"/>
        <w:rPr>
          <w:rFonts w:ascii="Aptos" w:hAnsi="Aptos" w:eastAsia="Aptos" w:cs="Aptos"/>
          <w:noProof w:val="0"/>
          <w:sz w:val="24"/>
          <w:szCs w:val="24"/>
          <w:lang w:val="en-US"/>
        </w:rPr>
      </w:pPr>
      <w:r>
        <w:rPr>
          <w:rFonts w:ascii="Aptos" w:hAnsi="Aptos"/>
          <w:sz w:val="304800"/>
        </w:rPr>
        <w:t>Appendix Figure A6(b) shows a noticeably weaker descriptive relationship for Recovery Performance, which is consistent with the SEM result that the performance construct is more heterogeneous and less tightly linked to burden capacity than Recovery Timeliness is.</w:t>
      </w:r>
    </w:p>
    <w:p w:rsidR="61147695" w:rsidP="41D8F452" w:rsidRDefault="61147695" w14:paraId="1FDE09CF" w14:textId="11B4D5C0">
      <w:pPr>
        <w:pStyle w:val="Normal"/>
        <w:suppressLineNumbers w:val="0"/>
        <w:bidi w:val="0"/>
        <w:spacing w:before="240" w:beforeAutospacing="off" w:after="240" w:afterAutospacing="off"/>
        <w:jc w:val="left"/>
        <w:rPr>
          <w:rFonts w:ascii="Aptos" w:hAnsi="Aptos" w:eastAsia="Aptos" w:cs="Aptos"/>
          <w:noProof w:val="0"/>
          <w:sz w:val="24"/>
          <w:szCs w:val="24"/>
          <w:lang w:val="en-US"/>
        </w:rPr>
      </w:pPr>
      <w:r>
        <w:rPr>
          <w:rFonts w:ascii="Aptos" w:hAnsi="Aptos"/>
          <w:sz w:val="304800"/>
        </w:rPr>
        <w:t>Overall, the limited spatial summaries are consistent with the paper's central descriptive conclusion that workload manageability appears more closely aligned with Recovery Timeliness than raw Administrative Resources alone. Because the geography layer relies on hierarchical name matching and county aggregation, the maps should be interpreted as descriptive context rather than as precise jurisdictional rankings.</w:t>
      </w:r>
    </w:p>
    <w:p w:rsidR="2CAA2765" w:rsidP="3C60AEA8" w:rsidRDefault="2CAA2765" w14:paraId="4C1A00D1" w14:textId="29D8BC5C">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2CAA2765">
        <w:rPr>
          <w:rFonts w:ascii="Aptos" w:hAnsi="Aptos" w:eastAsia="Aptos" w:cs="Aptos"/>
          <w:b w:val="1"/>
          <w:bCs w:val="1"/>
          <w:noProof w:val="0"/>
          <w:sz w:val="24"/>
          <w:szCs w:val="24"/>
          <w:lang w:val="en-US"/>
        </w:rPr>
        <w:t>5.</w:t>
      </w:r>
      <w:r w:rsidRPr="3C60AEA8" w:rsidR="20F04647">
        <w:rPr>
          <w:rFonts w:ascii="Aptos" w:hAnsi="Aptos" w:eastAsia="Aptos" w:cs="Aptos"/>
          <w:b w:val="1"/>
          <w:bCs w:val="1"/>
          <w:noProof w:val="0"/>
          <w:sz w:val="24"/>
          <w:szCs w:val="24"/>
          <w:lang w:val="en-US"/>
        </w:rPr>
        <w:t>4</w:t>
      </w:r>
      <w:r w:rsidRPr="3C60AEA8" w:rsidR="2CAA2765">
        <w:rPr>
          <w:rFonts w:ascii="Aptos" w:hAnsi="Aptos" w:eastAsia="Aptos" w:cs="Aptos"/>
          <w:b w:val="1"/>
          <w:bCs w:val="1"/>
          <w:noProof w:val="0"/>
          <w:sz w:val="24"/>
          <w:szCs w:val="24"/>
          <w:lang w:val="en-US"/>
        </w:rPr>
        <w:t xml:space="preserve">. </w:t>
      </w:r>
      <w:r w:rsidRPr="3C60AEA8" w:rsidR="5E4F7184">
        <w:rPr>
          <w:rFonts w:ascii="Aptos" w:hAnsi="Aptos" w:eastAsia="Aptos" w:cs="Aptos"/>
          <w:b w:val="1"/>
          <w:bCs w:val="1"/>
          <w:noProof w:val="0"/>
          <w:sz w:val="24"/>
          <w:szCs w:val="24"/>
          <w:lang w:val="en-US"/>
        </w:rPr>
        <w:t>Spatial</w:t>
      </w:r>
      <w:r w:rsidRPr="3C60AEA8" w:rsidR="1E0BA8FD">
        <w:rPr>
          <w:rFonts w:ascii="Aptos" w:hAnsi="Aptos" w:eastAsia="Aptos" w:cs="Aptos"/>
          <w:b w:val="1"/>
          <w:bCs w:val="1"/>
          <w:noProof w:val="0"/>
          <w:sz w:val="24"/>
          <w:szCs w:val="24"/>
          <w:lang w:val="en-US"/>
        </w:rPr>
        <w:t xml:space="preserve"> patterns of </w:t>
      </w:r>
      <w:r w:rsidRPr="3C60AEA8" w:rsidR="06F44800">
        <w:rPr>
          <w:rFonts w:ascii="Aptos" w:hAnsi="Aptos" w:eastAsia="Aptos" w:cs="Aptos"/>
          <w:b w:val="1"/>
          <w:bCs w:val="1"/>
          <w:noProof w:val="0"/>
          <w:sz w:val="24"/>
          <w:szCs w:val="24"/>
          <w:lang w:val="en-US"/>
        </w:rPr>
        <w:t>disaster</w:t>
      </w:r>
      <w:r w:rsidRPr="3C60AEA8" w:rsidR="03096281">
        <w:rPr>
          <w:rFonts w:ascii="Aptos" w:hAnsi="Aptos" w:eastAsia="Aptos" w:cs="Aptos"/>
          <w:b w:val="1"/>
          <w:bCs w:val="1"/>
          <w:noProof w:val="0"/>
          <w:sz w:val="24"/>
          <w:szCs w:val="24"/>
          <w:lang w:val="en-US"/>
        </w:rPr>
        <w:t>-</w:t>
      </w:r>
      <w:r w:rsidRPr="3C60AEA8" w:rsidR="06F44800">
        <w:rPr>
          <w:rFonts w:ascii="Aptos" w:hAnsi="Aptos" w:eastAsia="Aptos" w:cs="Aptos"/>
          <w:b w:val="1"/>
          <w:bCs w:val="1"/>
          <w:noProof w:val="0"/>
          <w:sz w:val="24"/>
          <w:szCs w:val="24"/>
          <w:lang w:val="en-US"/>
        </w:rPr>
        <w:t>capacity</w:t>
      </w:r>
      <w:r w:rsidRPr="3C60AEA8" w:rsidR="52D09320">
        <w:rPr>
          <w:rFonts w:ascii="Aptos" w:hAnsi="Aptos" w:eastAsia="Aptos" w:cs="Aptos"/>
          <w:b w:val="1"/>
          <w:bCs w:val="1"/>
          <w:noProof w:val="0"/>
          <w:sz w:val="24"/>
          <w:szCs w:val="24"/>
          <w:lang w:val="en-US"/>
        </w:rPr>
        <w:t>-outcome</w:t>
      </w:r>
      <w:r w:rsidRPr="3C60AEA8" w:rsidR="4DC45E55">
        <w:rPr>
          <w:rFonts w:ascii="Aptos" w:hAnsi="Aptos" w:eastAsia="Aptos" w:cs="Aptos"/>
          <w:b w:val="1"/>
          <w:bCs w:val="1"/>
          <w:noProof w:val="0"/>
          <w:sz w:val="24"/>
          <w:szCs w:val="24"/>
          <w:lang w:val="en-US"/>
        </w:rPr>
        <w:t xml:space="preserve"> </w:t>
      </w:r>
      <w:r w:rsidRPr="3C60AEA8" w:rsidR="0CDE8B1E">
        <w:rPr>
          <w:rFonts w:ascii="Aptos" w:hAnsi="Aptos" w:eastAsia="Aptos" w:cs="Aptos"/>
          <w:b w:val="1"/>
          <w:bCs w:val="1"/>
          <w:noProof w:val="0"/>
          <w:sz w:val="24"/>
          <w:szCs w:val="24"/>
          <w:lang w:val="en-US"/>
        </w:rPr>
        <w:t>g</w:t>
      </w:r>
      <w:r w:rsidRPr="3C60AEA8" w:rsidR="5E4F7184">
        <w:rPr>
          <w:rFonts w:ascii="Aptos" w:hAnsi="Aptos" w:eastAsia="Aptos" w:cs="Aptos"/>
          <w:b w:val="1"/>
          <w:bCs w:val="1"/>
          <w:noProof w:val="0"/>
          <w:sz w:val="24"/>
          <w:szCs w:val="24"/>
          <w:lang w:val="en-US"/>
        </w:rPr>
        <w:t>aps</w:t>
      </w:r>
    </w:p>
    <w:p w:rsidR="75456CF8" w:rsidP="3C60AEA8" w:rsidRDefault="75456CF8" w14:paraId="0DD67609" w14:textId="1191F32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The article also retains exploratory gap diagnostics and a governance-risk screen in the appendix. These are heuristic descriptive overlays, not latent variables or causal estimands, and they are not used as principal findings.</w:t>
      </w:r>
    </w:p>
    <w:p w:rsidR="707B8748" w:rsidP="3C60AEA8" w:rsidRDefault="707B8748" w14:paraId="2F1DB37A" w14:textId="5E3CC35E">
      <w:pPr>
        <w:pStyle w:val="Normal"/>
        <w:spacing w:before="240" w:beforeAutospacing="off" w:after="240" w:afterAutospacing="off"/>
        <w:jc w:val="left"/>
        <w:rPr>
          <w:rFonts w:ascii="Aptos" w:hAnsi="Aptos" w:eastAsia="Aptos" w:cs="Aptos"/>
          <w:noProof w:val="0"/>
          <w:sz w:val="24"/>
          <w:szCs w:val="24"/>
          <w:lang w:val="en-US"/>
        </w:rPr>
      </w:pPr>
      <w:r w:rsidRPr="3C60AEA8" w:rsidR="707B8748">
        <w:rPr>
          <w:rFonts w:ascii="Aptos" w:hAnsi="Aptos" w:eastAsia="Aptos" w:cs="Aptos"/>
          <w:i w:val="1"/>
          <w:iCs w:val="1"/>
          <w:noProof w:val="0"/>
          <w:sz w:val="24"/>
          <w:szCs w:val="24"/>
          <w:lang w:val="en-US"/>
        </w:rPr>
        <w:t xml:space="preserve">5.4.1. </w:t>
      </w:r>
      <w:r w:rsidRPr="3C60AEA8" w:rsidR="050DEA92">
        <w:rPr>
          <w:rFonts w:ascii="Aptos" w:hAnsi="Aptos" w:eastAsia="Aptos" w:cs="Aptos"/>
          <w:i w:val="1"/>
          <w:iCs w:val="1"/>
          <w:noProof w:val="0"/>
          <w:sz w:val="24"/>
          <w:szCs w:val="24"/>
          <w:lang w:val="en-US"/>
        </w:rPr>
        <w:t>Spatial patterns of administrative burden capacity gap</w:t>
      </w:r>
    </w:p>
    <w:p w:rsidR="32058778" w:rsidP="3C60AEA8" w:rsidRDefault="32058778" w14:paraId="0B3DA39E" w14:textId="067DE99F">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Among those appendix-only overlays, the administrative burden-capacity gap is the most interpretable because it asks whether observed exposure is high relative to workload manageability. Even there, the measure is best treated as a preliminary screen for potential administrative strain rather than as a standalone index of governance quality.</w:t>
      </w:r>
    </w:p>
    <w:p w:rsidR="46F9375C" w:rsidP="0FA9DDF5" w:rsidRDefault="46F9375C" w14:paraId="1F8745A7" w14:textId="1EFA0CAF">
      <w:pPr>
        <w:pStyle w:val="Normal"/>
        <w:spacing w:before="240" w:beforeAutospacing="off" w:after="240" w:afterAutospacing="off"/>
        <w:jc w:val="left"/>
        <w:rPr>
          <w:rFonts w:ascii="Aptos" w:hAnsi="Aptos" w:eastAsia="Aptos" w:cs="Aptos"/>
          <w:b w:val="0"/>
          <w:bCs w:val="0"/>
          <w:noProof w:val="0"/>
          <w:sz w:val="24"/>
          <w:szCs w:val="24"/>
          <w:lang w:val="en-US"/>
        </w:rPr>
      </w:pPr>
      <w:r w:rsidR="7927FC72">
        <w:drawing>
          <wp:inline wp14:editId="3971DDFF" wp14:anchorId="34DDDEE1">
            <wp:extent cx="5943600" cy="3400425"/>
            <wp:effectExtent l="0" t="0" r="0" b="0"/>
            <wp:docPr id="1743610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610493" name="Picture 1743610493"/>
                    <pic:cNvPicPr/>
                  </pic:nvPicPr>
                  <pic:blipFill>
                    <a:blip xmlns:r="http://schemas.openxmlformats.org/officeDocument/2006/relationships" r:embed="rId989515644">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r w:rsidRPr="3C60AEA8" w:rsidR="171645EC">
        <w:rPr>
          <w:rFonts w:ascii="Aptos" w:hAnsi="Aptos" w:eastAsia="Aptos" w:cs="Aptos"/>
          <w:b w:val="1"/>
          <w:bCs w:val="1"/>
          <w:noProof w:val="0"/>
          <w:sz w:val="24"/>
          <w:szCs w:val="24"/>
          <w:lang w:val="en-US"/>
        </w:rPr>
        <w:t xml:space="preserve">Figure </w:t>
      </w:r>
      <w:r w:rsidRPr="3C60AEA8" w:rsidR="258045F2">
        <w:rPr>
          <w:rFonts w:ascii="Aptos" w:hAnsi="Aptos" w:eastAsia="Aptos" w:cs="Aptos"/>
          <w:b w:val="1"/>
          <w:bCs w:val="1"/>
          <w:noProof w:val="0"/>
          <w:sz w:val="24"/>
          <w:szCs w:val="24"/>
          <w:lang w:val="en-US"/>
        </w:rPr>
        <w:t>6</w:t>
      </w:r>
      <w:r w:rsidRPr="3C60AEA8" w:rsidR="171645EC">
        <w:rPr>
          <w:rFonts w:ascii="Aptos" w:hAnsi="Aptos" w:eastAsia="Aptos" w:cs="Aptos"/>
          <w:b w:val="1"/>
          <w:bCs w:val="1"/>
          <w:noProof w:val="0"/>
          <w:sz w:val="24"/>
          <w:szCs w:val="24"/>
          <w:lang w:val="en-US"/>
        </w:rPr>
        <w:t xml:space="preserve">. </w:t>
      </w:r>
      <w:r w:rsidRPr="3C60AEA8" w:rsidR="47D3BC25">
        <w:rPr>
          <w:rFonts w:ascii="Aptos" w:hAnsi="Aptos" w:eastAsia="Aptos" w:cs="Aptos"/>
          <w:b w:val="0"/>
          <w:bCs w:val="0"/>
          <w:noProof w:val="0"/>
          <w:sz w:val="24"/>
          <w:szCs w:val="24"/>
          <w:lang w:val="en-US"/>
        </w:rPr>
        <w:t>Spatial distributions of</w:t>
      </w:r>
      <w:r w:rsidRPr="3C60AEA8" w:rsidR="45704E95">
        <w:rPr>
          <w:rFonts w:ascii="Aptos" w:hAnsi="Aptos" w:eastAsia="Aptos" w:cs="Aptos"/>
          <w:b w:val="0"/>
          <w:bCs w:val="0"/>
          <w:noProof w:val="0"/>
          <w:sz w:val="24"/>
          <w:szCs w:val="24"/>
          <w:lang w:val="en-US"/>
        </w:rPr>
        <w:t xml:space="preserve"> (a) </w:t>
      </w:r>
      <w:r w:rsidRPr="3C60AEA8" w:rsidR="0C3A74A9">
        <w:rPr>
          <w:rFonts w:ascii="Aptos" w:hAnsi="Aptos" w:eastAsia="Aptos" w:cs="Aptos"/>
          <w:b w:val="0"/>
          <w:bCs w:val="0"/>
          <w:noProof w:val="0"/>
          <w:sz w:val="24"/>
          <w:szCs w:val="24"/>
          <w:lang w:val="en-US"/>
        </w:rPr>
        <w:t>c</w:t>
      </w:r>
      <w:r w:rsidRPr="3C60AEA8" w:rsidR="171645EC">
        <w:rPr>
          <w:rFonts w:ascii="Aptos" w:hAnsi="Aptos" w:eastAsia="Aptos" w:cs="Aptos"/>
          <w:b w:val="0"/>
          <w:bCs w:val="0"/>
          <w:noProof w:val="0"/>
          <w:sz w:val="24"/>
          <w:szCs w:val="24"/>
          <w:lang w:val="en-US"/>
        </w:rPr>
        <w:t xml:space="preserve">ounty-level </w:t>
      </w:r>
      <w:r w:rsidRPr="3C60AEA8" w:rsidR="767A7056">
        <w:rPr>
          <w:rFonts w:ascii="Aptos" w:hAnsi="Aptos" w:eastAsia="Aptos" w:cs="Aptos"/>
          <w:b w:val="0"/>
          <w:bCs w:val="0"/>
          <w:noProof w:val="0"/>
          <w:sz w:val="24"/>
          <w:szCs w:val="24"/>
          <w:lang w:val="en-US"/>
        </w:rPr>
        <w:t>administrative burden</w:t>
      </w:r>
      <w:r w:rsidRPr="3C60AEA8" w:rsidR="171645EC">
        <w:rPr>
          <w:rFonts w:ascii="Aptos" w:hAnsi="Aptos" w:eastAsia="Aptos" w:cs="Aptos"/>
          <w:b w:val="0"/>
          <w:bCs w:val="0"/>
          <w:noProof w:val="0"/>
          <w:sz w:val="24"/>
          <w:szCs w:val="24"/>
          <w:lang w:val="en-US"/>
        </w:rPr>
        <w:t xml:space="preserve"> capacity</w:t>
      </w:r>
      <w:r w:rsidRPr="3C60AEA8" w:rsidR="0CF05F48">
        <w:rPr>
          <w:rFonts w:ascii="Aptos" w:hAnsi="Aptos" w:eastAsia="Aptos" w:cs="Aptos"/>
          <w:b w:val="0"/>
          <w:bCs w:val="0"/>
          <w:noProof w:val="0"/>
          <w:sz w:val="24"/>
          <w:szCs w:val="24"/>
          <w:lang w:val="en-US"/>
        </w:rPr>
        <w:t xml:space="preserve"> gap</w:t>
      </w:r>
      <w:r w:rsidRPr="3C60AEA8" w:rsidR="3EB92EC1">
        <w:rPr>
          <w:rFonts w:ascii="Aptos" w:hAnsi="Aptos" w:eastAsia="Aptos" w:cs="Aptos"/>
          <w:b w:val="0"/>
          <w:bCs w:val="0"/>
          <w:noProof w:val="0"/>
          <w:sz w:val="24"/>
          <w:szCs w:val="24"/>
          <w:lang w:val="en-US"/>
        </w:rPr>
        <w:t>, (b) c</w:t>
      </w:r>
      <w:r w:rsidRPr="3C60AEA8" w:rsidR="171645EC">
        <w:rPr>
          <w:rFonts w:ascii="Aptos" w:hAnsi="Aptos" w:eastAsia="Aptos" w:cs="Aptos"/>
          <w:b w:val="0"/>
          <w:bCs w:val="0"/>
          <w:noProof w:val="0"/>
          <w:sz w:val="24"/>
          <w:szCs w:val="24"/>
          <w:lang w:val="en-US"/>
        </w:rPr>
        <w:t>ounty-level disaster recovery exposure-capacity typolog</w:t>
      </w:r>
      <w:r w:rsidRPr="3C60AEA8" w:rsidR="4C4417C2">
        <w:rPr>
          <w:rFonts w:ascii="Aptos" w:hAnsi="Aptos" w:eastAsia="Aptos" w:cs="Aptos"/>
          <w:b w:val="0"/>
          <w:bCs w:val="0"/>
          <w:noProof w:val="0"/>
          <w:sz w:val="24"/>
          <w:szCs w:val="24"/>
          <w:lang w:val="en-US"/>
        </w:rPr>
        <w:t>y, and (c) s</w:t>
      </w:r>
      <w:r w:rsidRPr="3C60AEA8" w:rsidR="171645EC">
        <w:rPr>
          <w:rFonts w:ascii="Aptos" w:hAnsi="Aptos" w:eastAsia="Aptos" w:cs="Aptos"/>
          <w:b w:val="0"/>
          <w:bCs w:val="0"/>
          <w:noProof w:val="0"/>
          <w:sz w:val="24"/>
          <w:szCs w:val="24"/>
          <w:lang w:val="en-US"/>
        </w:rPr>
        <w:t xml:space="preserve">tate-level </w:t>
      </w:r>
      <w:r w:rsidRPr="3C60AEA8" w:rsidR="525E3051">
        <w:rPr>
          <w:rFonts w:ascii="Aptos" w:hAnsi="Aptos" w:eastAsia="Aptos" w:cs="Aptos"/>
          <w:b w:val="0"/>
          <w:bCs w:val="0"/>
          <w:noProof w:val="0"/>
          <w:sz w:val="24"/>
          <w:szCs w:val="24"/>
          <w:lang w:val="en-US"/>
        </w:rPr>
        <w:t>administrative burden capacity gap</w:t>
      </w:r>
      <w:r w:rsidRPr="3C60AEA8" w:rsidR="71C2D41C">
        <w:rPr>
          <w:rFonts w:ascii="Aptos" w:hAnsi="Aptos" w:eastAsia="Aptos" w:cs="Aptos"/>
          <w:b w:val="0"/>
          <w:bCs w:val="0"/>
          <w:noProof w:val="0"/>
          <w:sz w:val="24"/>
          <w:szCs w:val="24"/>
          <w:lang w:val="en-US"/>
        </w:rPr>
        <w:t>.</w:t>
      </w:r>
    </w:p>
    <w:p w:rsidR="46F9375C" w:rsidP="3C60AEA8" w:rsidRDefault="46F9375C" w14:paraId="28FC1DEE" w14:textId="183CCFA7">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The exposure-capacity typology therefore serves only as a descriptive screen for jurisdictions where exposure appears high relative to workload manageability. It should not be read as a validated upstream measure of governance quality.</w:t>
      </w:r>
    </w:p>
    <w:p w:rsidR="46F9375C" w:rsidP="3C60AEA8" w:rsidRDefault="46F9375C" w14:paraId="721F16CF" w14:textId="3878E189">
      <w:pPr>
        <w:pStyle w:val="Normal"/>
        <w:spacing w:before="240" w:beforeAutospacing="off" w:after="240" w:afterAutospacing="off"/>
        <w:jc w:val="left"/>
        <w:rPr>
          <w:rFonts w:ascii="Aptos" w:hAnsi="Aptos" w:eastAsia="Aptos" w:cs="Aptos"/>
          <w:b w:val="1"/>
          <w:bCs w:val="1"/>
          <w:i w:val="1"/>
          <w:iCs w:val="1"/>
          <w:noProof w:val="0"/>
          <w:sz w:val="24"/>
          <w:szCs w:val="24"/>
          <w:lang w:val="en-US"/>
        </w:rPr>
      </w:pPr>
      <w:r w:rsidRPr="3C60AEA8" w:rsidR="4AF60965">
        <w:rPr>
          <w:rFonts w:ascii="Aptos" w:hAnsi="Aptos" w:eastAsia="Aptos" w:cs="Aptos"/>
          <w:b w:val="0"/>
          <w:bCs w:val="0"/>
          <w:i w:val="1"/>
          <w:iCs w:val="1"/>
          <w:noProof w:val="0"/>
          <w:sz w:val="24"/>
          <w:szCs w:val="24"/>
          <w:lang w:val="en-US"/>
        </w:rPr>
        <w:t>5.</w:t>
      </w:r>
      <w:r w:rsidRPr="3C60AEA8" w:rsidR="7D326D6F">
        <w:rPr>
          <w:rFonts w:ascii="Aptos" w:hAnsi="Aptos" w:eastAsia="Aptos" w:cs="Aptos"/>
          <w:b w:val="0"/>
          <w:bCs w:val="0"/>
          <w:i w:val="1"/>
          <w:iCs w:val="1"/>
          <w:noProof w:val="0"/>
          <w:sz w:val="24"/>
          <w:szCs w:val="24"/>
          <w:lang w:val="en-US"/>
        </w:rPr>
        <w:t>4</w:t>
      </w:r>
      <w:r w:rsidRPr="3C60AEA8" w:rsidR="4AF60965">
        <w:rPr>
          <w:rFonts w:ascii="Aptos" w:hAnsi="Aptos" w:eastAsia="Aptos" w:cs="Aptos"/>
          <w:b w:val="0"/>
          <w:bCs w:val="0"/>
          <w:i w:val="1"/>
          <w:iCs w:val="1"/>
          <w:noProof w:val="0"/>
          <w:sz w:val="24"/>
          <w:szCs w:val="24"/>
          <w:lang w:val="en-US"/>
        </w:rPr>
        <w:t>.</w:t>
      </w:r>
      <w:r w:rsidRPr="3C60AEA8" w:rsidR="3791C720">
        <w:rPr>
          <w:rFonts w:ascii="Aptos" w:hAnsi="Aptos" w:eastAsia="Aptos" w:cs="Aptos"/>
          <w:b w:val="0"/>
          <w:bCs w:val="0"/>
          <w:i w:val="1"/>
          <w:iCs w:val="1"/>
          <w:noProof w:val="0"/>
          <w:sz w:val="24"/>
          <w:szCs w:val="24"/>
          <w:lang w:val="en-US"/>
        </w:rPr>
        <w:t>2.</w:t>
      </w:r>
      <w:r w:rsidRPr="3C60AEA8" w:rsidR="4AF60965">
        <w:rPr>
          <w:rFonts w:ascii="Aptos" w:hAnsi="Aptos" w:eastAsia="Aptos" w:cs="Aptos"/>
          <w:b w:val="0"/>
          <w:bCs w:val="0"/>
          <w:i w:val="1"/>
          <w:iCs w:val="1"/>
          <w:noProof w:val="0"/>
          <w:sz w:val="24"/>
          <w:szCs w:val="24"/>
          <w:lang w:val="en-US"/>
        </w:rPr>
        <w:t xml:space="preserve"> Spatial </w:t>
      </w:r>
      <w:r w:rsidRPr="3C60AEA8" w:rsidR="7615117E">
        <w:rPr>
          <w:rFonts w:ascii="Aptos" w:hAnsi="Aptos" w:eastAsia="Aptos" w:cs="Aptos"/>
          <w:b w:val="0"/>
          <w:bCs w:val="0"/>
          <w:i w:val="1"/>
          <w:iCs w:val="1"/>
          <w:noProof w:val="0"/>
          <w:sz w:val="24"/>
          <w:szCs w:val="24"/>
          <w:lang w:val="en-US"/>
        </w:rPr>
        <w:t>patterns</w:t>
      </w:r>
      <w:r w:rsidRPr="3C60AEA8" w:rsidR="47FCA5D0">
        <w:rPr>
          <w:rFonts w:ascii="Aptos" w:hAnsi="Aptos" w:eastAsia="Aptos" w:cs="Aptos"/>
          <w:b w:val="0"/>
          <w:bCs w:val="0"/>
          <w:i w:val="1"/>
          <w:iCs w:val="1"/>
          <w:noProof w:val="0"/>
          <w:sz w:val="24"/>
          <w:szCs w:val="24"/>
          <w:lang w:val="en-US"/>
        </w:rPr>
        <w:t xml:space="preserve"> of disaster recovery implementation gap</w:t>
      </w:r>
    </w:p>
    <w:p w:rsidR="664C808E" w:rsidP="3C60AEA8" w:rsidRDefault="664C808E" w14:paraId="613EA8B5" w14:textId="342F303B">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The implementation gap and performance gap are retained only for descriptive completeness and are not needed to understand the paper's main SEM result.</w:t>
      </w:r>
    </w:p>
    <w:p w:rsidR="46F9375C" w:rsidP="0FA9DDF5" w:rsidRDefault="46F9375C" w14:paraId="493EDAF7" w14:textId="6EC1C9A5">
      <w:pPr>
        <w:pStyle w:val="Normal"/>
        <w:spacing w:before="240" w:beforeAutospacing="off" w:after="240" w:afterAutospacing="off"/>
        <w:jc w:val="left"/>
        <w:rPr>
          <w:rFonts w:ascii="Aptos" w:hAnsi="Aptos" w:eastAsia="Aptos" w:cs="Aptos"/>
          <w:b w:val="0"/>
          <w:bCs w:val="0"/>
          <w:noProof w:val="0"/>
          <w:sz w:val="24"/>
          <w:szCs w:val="24"/>
          <w:lang w:val="en-US"/>
        </w:rPr>
      </w:pPr>
      <w:r w:rsidR="37478E3C">
        <w:drawing>
          <wp:inline wp14:editId="51A92AAD" wp14:anchorId="54B94F8E">
            <wp:extent cx="5943600" cy="3352800"/>
            <wp:effectExtent l="0" t="0" r="0" b="0"/>
            <wp:docPr id="1996599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599960" name="Picture 1996599960"/>
                    <pic:cNvPicPr/>
                  </pic:nvPicPr>
                  <pic:blipFill>
                    <a:blip xmlns:r="http://schemas.openxmlformats.org/officeDocument/2006/relationships" r:embed="rId243454088">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Pr="3C60AEA8" w:rsidR="482681D4">
        <w:rPr>
          <w:rFonts w:ascii="Aptos" w:hAnsi="Aptos" w:eastAsia="Aptos" w:cs="Aptos"/>
          <w:b w:val="1"/>
          <w:bCs w:val="1"/>
          <w:noProof w:val="0"/>
          <w:sz w:val="24"/>
          <w:szCs w:val="24"/>
          <w:lang w:val="en-US"/>
        </w:rPr>
        <w:t xml:space="preserve">Figure </w:t>
      </w:r>
      <w:r w:rsidRPr="3C60AEA8" w:rsidR="66D9CCAD">
        <w:rPr>
          <w:rFonts w:ascii="Aptos" w:hAnsi="Aptos" w:eastAsia="Aptos" w:cs="Aptos"/>
          <w:b w:val="1"/>
          <w:bCs w:val="1"/>
          <w:noProof w:val="0"/>
          <w:sz w:val="24"/>
          <w:szCs w:val="24"/>
          <w:lang w:val="en-US"/>
        </w:rPr>
        <w:t>7</w:t>
      </w:r>
      <w:r w:rsidRPr="3C60AEA8" w:rsidR="482681D4">
        <w:rPr>
          <w:rFonts w:ascii="Aptos" w:hAnsi="Aptos" w:eastAsia="Aptos" w:cs="Aptos"/>
          <w:b w:val="1"/>
          <w:bCs w:val="1"/>
          <w:noProof w:val="0"/>
          <w:sz w:val="24"/>
          <w:szCs w:val="24"/>
          <w:lang w:val="en-US"/>
        </w:rPr>
        <w:t xml:space="preserve">. </w:t>
      </w:r>
      <w:r w:rsidRPr="3C60AEA8" w:rsidR="6DD7AEED">
        <w:rPr>
          <w:rFonts w:ascii="Aptos" w:hAnsi="Aptos" w:eastAsia="Aptos" w:cs="Aptos"/>
          <w:b w:val="0"/>
          <w:bCs w:val="0"/>
          <w:noProof w:val="0"/>
          <w:sz w:val="24"/>
          <w:szCs w:val="24"/>
          <w:lang w:val="en-US"/>
        </w:rPr>
        <w:t xml:space="preserve">Spatial distributions of </w:t>
      </w:r>
      <w:r w:rsidRPr="3C60AEA8" w:rsidR="3D166AAD">
        <w:rPr>
          <w:rFonts w:ascii="Aptos" w:hAnsi="Aptos" w:eastAsia="Aptos" w:cs="Aptos"/>
          <w:b w:val="0"/>
          <w:bCs w:val="0"/>
          <w:noProof w:val="0"/>
          <w:sz w:val="24"/>
          <w:szCs w:val="24"/>
          <w:lang w:val="en-US"/>
        </w:rPr>
        <w:t>(a) c</w:t>
      </w:r>
      <w:r w:rsidRPr="3C60AEA8" w:rsidR="482681D4">
        <w:rPr>
          <w:rFonts w:ascii="Aptos" w:hAnsi="Aptos" w:eastAsia="Aptos" w:cs="Aptos"/>
          <w:b w:val="0"/>
          <w:bCs w:val="0"/>
          <w:noProof w:val="0"/>
          <w:sz w:val="24"/>
          <w:szCs w:val="24"/>
          <w:lang w:val="en-US"/>
        </w:rPr>
        <w:t>ounty-level disaster recovery implementation gap</w:t>
      </w:r>
      <w:r w:rsidRPr="3C60AEA8" w:rsidR="6E96FE48">
        <w:rPr>
          <w:rFonts w:ascii="Aptos" w:hAnsi="Aptos" w:eastAsia="Aptos" w:cs="Aptos"/>
          <w:b w:val="0"/>
          <w:bCs w:val="0"/>
          <w:noProof w:val="0"/>
          <w:sz w:val="24"/>
          <w:szCs w:val="24"/>
          <w:lang w:val="en-US"/>
        </w:rPr>
        <w:t>, (b) c</w:t>
      </w:r>
      <w:r w:rsidRPr="3C60AEA8" w:rsidR="482681D4">
        <w:rPr>
          <w:rFonts w:ascii="Aptos" w:hAnsi="Aptos" w:eastAsia="Aptos" w:cs="Aptos"/>
          <w:b w:val="0"/>
          <w:bCs w:val="0"/>
          <w:noProof w:val="0"/>
          <w:sz w:val="24"/>
          <w:szCs w:val="24"/>
          <w:lang w:val="en-US"/>
        </w:rPr>
        <w:t>ounty-level disaster recovery exposure-implementation typolog</w:t>
      </w:r>
      <w:r w:rsidRPr="3C60AEA8" w:rsidR="041DDAFE">
        <w:rPr>
          <w:rFonts w:ascii="Aptos" w:hAnsi="Aptos" w:eastAsia="Aptos" w:cs="Aptos"/>
          <w:b w:val="0"/>
          <w:bCs w:val="0"/>
          <w:noProof w:val="0"/>
          <w:sz w:val="24"/>
          <w:szCs w:val="24"/>
          <w:lang w:val="en-US"/>
        </w:rPr>
        <w:t>y, and (c) s</w:t>
      </w:r>
      <w:r w:rsidRPr="3C60AEA8" w:rsidR="482681D4">
        <w:rPr>
          <w:rFonts w:ascii="Aptos" w:hAnsi="Aptos" w:eastAsia="Aptos" w:cs="Aptos"/>
          <w:b w:val="0"/>
          <w:bCs w:val="0"/>
          <w:noProof w:val="0"/>
          <w:sz w:val="24"/>
          <w:szCs w:val="24"/>
          <w:lang w:val="en-US"/>
        </w:rPr>
        <w:t>tate-level disaster recovery implementation gap</w:t>
      </w:r>
      <w:r w:rsidRPr="3C60AEA8" w:rsidR="066EAD11">
        <w:rPr>
          <w:rFonts w:ascii="Aptos" w:hAnsi="Aptos" w:eastAsia="Aptos" w:cs="Aptos"/>
          <w:b w:val="0"/>
          <w:bCs w:val="0"/>
          <w:noProof w:val="0"/>
          <w:sz w:val="24"/>
          <w:szCs w:val="24"/>
          <w:lang w:val="en-US"/>
        </w:rPr>
        <w:t>.</w:t>
      </w:r>
    </w:p>
    <w:p w:rsidR="62D2414D" w:rsidP="3C60AEA8" w:rsidRDefault="62D2414D" w14:paraId="2462B0A9" w14:textId="4AE2D2FE">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The exposure-timeliness typology is likewise retained only as a descriptive overlay of observed strain. It may help practitioners identify places where implementation appears slower than expected given exposure, but it is not a separate causal or spatial model.</w:t>
      </w:r>
    </w:p>
    <w:p w:rsidR="46F9375C" w:rsidP="3C60AEA8" w:rsidRDefault="46F9375C" w14:paraId="13121696" w14:textId="5BEA5582">
      <w:pPr>
        <w:pStyle w:val="Normal"/>
        <w:spacing w:before="240" w:beforeAutospacing="off" w:after="240" w:afterAutospacing="off"/>
        <w:jc w:val="left"/>
        <w:rPr>
          <w:rFonts w:ascii="Aptos" w:hAnsi="Aptos" w:eastAsia="Aptos" w:cs="Aptos"/>
          <w:b w:val="0"/>
          <w:bCs w:val="0"/>
          <w:i w:val="1"/>
          <w:iCs w:val="1"/>
          <w:noProof w:val="0"/>
          <w:sz w:val="24"/>
          <w:szCs w:val="24"/>
          <w:lang w:val="en-US"/>
        </w:rPr>
      </w:pPr>
      <w:r w:rsidRPr="3C60AEA8" w:rsidR="461586B3">
        <w:rPr>
          <w:rFonts w:ascii="Aptos" w:hAnsi="Aptos" w:eastAsia="Aptos" w:cs="Aptos"/>
          <w:b w:val="0"/>
          <w:bCs w:val="0"/>
          <w:i w:val="1"/>
          <w:iCs w:val="1"/>
          <w:noProof w:val="0"/>
          <w:sz w:val="24"/>
          <w:szCs w:val="24"/>
          <w:lang w:val="en-US"/>
        </w:rPr>
        <w:t>5.</w:t>
      </w:r>
      <w:r w:rsidRPr="3C60AEA8" w:rsidR="781E3B87">
        <w:rPr>
          <w:rFonts w:ascii="Aptos" w:hAnsi="Aptos" w:eastAsia="Aptos" w:cs="Aptos"/>
          <w:b w:val="0"/>
          <w:bCs w:val="0"/>
          <w:i w:val="1"/>
          <w:iCs w:val="1"/>
          <w:noProof w:val="0"/>
          <w:sz w:val="24"/>
          <w:szCs w:val="24"/>
          <w:lang w:val="en-US"/>
        </w:rPr>
        <w:t>4</w:t>
      </w:r>
      <w:r w:rsidRPr="3C60AEA8" w:rsidR="461586B3">
        <w:rPr>
          <w:rFonts w:ascii="Aptos" w:hAnsi="Aptos" w:eastAsia="Aptos" w:cs="Aptos"/>
          <w:b w:val="0"/>
          <w:bCs w:val="0"/>
          <w:i w:val="1"/>
          <w:iCs w:val="1"/>
          <w:noProof w:val="0"/>
          <w:sz w:val="24"/>
          <w:szCs w:val="24"/>
          <w:lang w:val="en-US"/>
        </w:rPr>
        <w:t>.</w:t>
      </w:r>
      <w:r w:rsidRPr="3C60AEA8" w:rsidR="1C07E079">
        <w:rPr>
          <w:rFonts w:ascii="Aptos" w:hAnsi="Aptos" w:eastAsia="Aptos" w:cs="Aptos"/>
          <w:b w:val="0"/>
          <w:bCs w:val="0"/>
          <w:i w:val="1"/>
          <w:iCs w:val="1"/>
          <w:noProof w:val="0"/>
          <w:sz w:val="24"/>
          <w:szCs w:val="24"/>
          <w:lang w:val="en-US"/>
        </w:rPr>
        <w:t>3.</w:t>
      </w:r>
      <w:r w:rsidRPr="3C60AEA8" w:rsidR="461586B3">
        <w:rPr>
          <w:rFonts w:ascii="Aptos" w:hAnsi="Aptos" w:eastAsia="Aptos" w:cs="Aptos"/>
          <w:b w:val="0"/>
          <w:bCs w:val="0"/>
          <w:i w:val="1"/>
          <w:iCs w:val="1"/>
          <w:noProof w:val="0"/>
          <w:sz w:val="24"/>
          <w:szCs w:val="24"/>
          <w:lang w:val="en-US"/>
        </w:rPr>
        <w:t xml:space="preserve"> Spatial </w:t>
      </w:r>
      <w:r w:rsidRPr="3C60AEA8" w:rsidR="3B6453CD">
        <w:rPr>
          <w:rFonts w:ascii="Aptos" w:hAnsi="Aptos" w:eastAsia="Aptos" w:cs="Aptos"/>
          <w:b w:val="0"/>
          <w:bCs w:val="0"/>
          <w:i w:val="1"/>
          <w:iCs w:val="1"/>
          <w:noProof w:val="0"/>
          <w:sz w:val="24"/>
          <w:szCs w:val="24"/>
          <w:lang w:val="en-US"/>
        </w:rPr>
        <w:t>patterns</w:t>
      </w:r>
      <w:r w:rsidRPr="3C60AEA8" w:rsidR="5CE1FCED">
        <w:rPr>
          <w:rFonts w:ascii="Aptos" w:hAnsi="Aptos" w:eastAsia="Aptos" w:cs="Aptos"/>
          <w:b w:val="0"/>
          <w:bCs w:val="0"/>
          <w:i w:val="1"/>
          <w:iCs w:val="1"/>
          <w:noProof w:val="0"/>
          <w:sz w:val="24"/>
          <w:szCs w:val="24"/>
          <w:lang w:val="en-US"/>
        </w:rPr>
        <w:t xml:space="preserve"> of disaster recovery performance gap</w:t>
      </w:r>
    </w:p>
    <w:p w:rsidR="1192CA3D" w:rsidP="3C60AEA8" w:rsidRDefault="1192CA3D" w14:paraId="5100071D" w14:textId="434D7A4B">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Pr>
          <w:rFonts w:ascii="Aptos" w:hAnsi="Aptos"/>
          <w:b w:val="0"/>
          <w:sz w:val="304800"/>
        </w:rPr>
        <w:t>Accordingly, the gap maps are interpreted only as descriptive overlays that suggest where high exposure, weaker burden capacity, and weaker outcomes may coincide. They are not used to adjudicate the main theoretical argument of the paper.</w:t>
      </w:r>
    </w:p>
    <w:p w:rsidR="5E4F7184" w:rsidP="0FA9DDF5" w:rsidRDefault="5E4F7184" w14:paraId="3E3D47AF" w14:textId="7E5720BF">
      <w:pPr>
        <w:pStyle w:val="Normal"/>
        <w:spacing w:before="240" w:beforeAutospacing="off" w:after="240" w:afterAutospacing="off"/>
        <w:jc w:val="left"/>
        <w:rPr>
          <w:rFonts w:ascii="Aptos" w:hAnsi="Aptos" w:eastAsia="Aptos" w:cs="Aptos"/>
          <w:b w:val="0"/>
          <w:bCs w:val="0"/>
          <w:noProof w:val="0"/>
          <w:sz w:val="24"/>
          <w:szCs w:val="24"/>
          <w:lang w:val="en-US"/>
        </w:rPr>
      </w:pPr>
      <w:r w:rsidR="49BA0267">
        <w:drawing>
          <wp:inline wp14:editId="03AB91A6" wp14:anchorId="070C8AE8">
            <wp:extent cx="5943600" cy="3381375"/>
            <wp:effectExtent l="0" t="0" r="0" b="0"/>
            <wp:docPr id="1748502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502373" name="Picture 1748502373"/>
                    <pic:cNvPicPr/>
                  </pic:nvPicPr>
                  <pic:blipFill>
                    <a:blip xmlns:r="http://schemas.openxmlformats.org/officeDocument/2006/relationships" r:embed="rId415757947">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Pr="3C60AEA8" w:rsidR="0228D2AD">
        <w:rPr>
          <w:rFonts w:ascii="Aptos" w:hAnsi="Aptos" w:eastAsia="Aptos" w:cs="Aptos"/>
          <w:b w:val="1"/>
          <w:bCs w:val="1"/>
          <w:noProof w:val="0"/>
          <w:sz w:val="24"/>
          <w:szCs w:val="24"/>
          <w:lang w:val="en-US"/>
        </w:rPr>
        <w:t xml:space="preserve">Figure </w:t>
      </w:r>
      <w:r w:rsidRPr="3C60AEA8" w:rsidR="1FD660EE">
        <w:rPr>
          <w:rFonts w:ascii="Aptos" w:hAnsi="Aptos" w:eastAsia="Aptos" w:cs="Aptos"/>
          <w:b w:val="1"/>
          <w:bCs w:val="1"/>
          <w:noProof w:val="0"/>
          <w:sz w:val="24"/>
          <w:szCs w:val="24"/>
          <w:lang w:val="en-US"/>
        </w:rPr>
        <w:t>8</w:t>
      </w:r>
      <w:r w:rsidRPr="3C60AEA8" w:rsidR="0228D2AD">
        <w:rPr>
          <w:rFonts w:ascii="Aptos" w:hAnsi="Aptos" w:eastAsia="Aptos" w:cs="Aptos"/>
          <w:b w:val="1"/>
          <w:bCs w:val="1"/>
          <w:noProof w:val="0"/>
          <w:sz w:val="24"/>
          <w:szCs w:val="24"/>
          <w:lang w:val="en-US"/>
        </w:rPr>
        <w:t xml:space="preserve">. </w:t>
      </w:r>
      <w:r w:rsidRPr="3C60AEA8" w:rsidR="4436CCF9">
        <w:rPr>
          <w:rFonts w:ascii="Aptos" w:hAnsi="Aptos" w:eastAsia="Aptos" w:cs="Aptos"/>
          <w:b w:val="0"/>
          <w:bCs w:val="0"/>
          <w:noProof w:val="0"/>
          <w:sz w:val="24"/>
          <w:szCs w:val="24"/>
          <w:lang w:val="en-US"/>
        </w:rPr>
        <w:t>Spatial distributions of (a) c</w:t>
      </w:r>
      <w:r w:rsidRPr="3C60AEA8" w:rsidR="0228D2AD">
        <w:rPr>
          <w:rFonts w:ascii="Aptos" w:hAnsi="Aptos" w:eastAsia="Aptos" w:cs="Aptos"/>
          <w:b w:val="0"/>
          <w:bCs w:val="0"/>
          <w:noProof w:val="0"/>
          <w:sz w:val="24"/>
          <w:szCs w:val="24"/>
          <w:lang w:val="en-US"/>
        </w:rPr>
        <w:t>ounty-level disaster recovery performance gap</w:t>
      </w:r>
      <w:r w:rsidRPr="3C60AEA8" w:rsidR="10522BA5">
        <w:rPr>
          <w:rFonts w:ascii="Aptos" w:hAnsi="Aptos" w:eastAsia="Aptos" w:cs="Aptos"/>
          <w:b w:val="0"/>
          <w:bCs w:val="0"/>
          <w:noProof w:val="0"/>
          <w:sz w:val="24"/>
          <w:szCs w:val="24"/>
          <w:lang w:val="en-US"/>
        </w:rPr>
        <w:t>, (b) c</w:t>
      </w:r>
      <w:r w:rsidRPr="3C60AEA8" w:rsidR="0228D2AD">
        <w:rPr>
          <w:rFonts w:ascii="Aptos" w:hAnsi="Aptos" w:eastAsia="Aptos" w:cs="Aptos"/>
          <w:b w:val="0"/>
          <w:bCs w:val="0"/>
          <w:noProof w:val="0"/>
          <w:sz w:val="24"/>
          <w:szCs w:val="24"/>
          <w:lang w:val="en-US"/>
        </w:rPr>
        <w:t>ounty-level disaster recovery exposure-performance typology</w:t>
      </w:r>
      <w:r w:rsidRPr="3C60AEA8" w:rsidR="4519FC3C">
        <w:rPr>
          <w:rFonts w:ascii="Aptos" w:hAnsi="Aptos" w:eastAsia="Aptos" w:cs="Aptos"/>
          <w:b w:val="0"/>
          <w:bCs w:val="0"/>
          <w:noProof w:val="0"/>
          <w:sz w:val="24"/>
          <w:szCs w:val="24"/>
          <w:lang w:val="en-US"/>
        </w:rPr>
        <w:t>, and (c) st</w:t>
      </w:r>
      <w:r w:rsidRPr="3C60AEA8" w:rsidR="0228D2AD">
        <w:rPr>
          <w:rFonts w:ascii="Aptos" w:hAnsi="Aptos" w:eastAsia="Aptos" w:cs="Aptos"/>
          <w:b w:val="0"/>
          <w:bCs w:val="0"/>
          <w:noProof w:val="0"/>
          <w:sz w:val="24"/>
          <w:szCs w:val="24"/>
          <w:lang w:val="en-US"/>
        </w:rPr>
        <w:t>ate-level disaster recovery performance gap</w:t>
      </w:r>
      <w:r w:rsidRPr="3C60AEA8" w:rsidR="06C82998">
        <w:rPr>
          <w:rFonts w:ascii="Aptos" w:hAnsi="Aptos" w:eastAsia="Aptos" w:cs="Aptos"/>
          <w:b w:val="0"/>
          <w:bCs w:val="0"/>
          <w:noProof w:val="0"/>
          <w:sz w:val="24"/>
          <w:szCs w:val="24"/>
          <w:lang w:val="en-US"/>
        </w:rPr>
        <w:t>.</w:t>
      </w:r>
    </w:p>
    <w:p w:rsidR="7E1E4646" w:rsidP="3C60AEA8" w:rsidRDefault="7E1E4646" w14:paraId="145B1AD1" w14:textId="3EA42563">
      <w:pPr>
        <w:pStyle w:val="Normal"/>
        <w:spacing w:before="240" w:beforeAutospacing="off" w:after="240" w:afterAutospacing="off"/>
        <w:jc w:val="left"/>
        <w:rPr>
          <w:rFonts w:ascii="Aptos" w:hAnsi="Aptos" w:eastAsia="Aptos" w:cs="Aptos"/>
          <w:b w:val="0"/>
          <w:bCs w:val="0"/>
          <w:noProof w:val="0"/>
          <w:sz w:val="24"/>
          <w:szCs w:val="24"/>
          <w:lang w:val="en-US"/>
        </w:rPr>
      </w:pPr>
      <w:r>
        <w:rPr>
          <w:rFonts w:ascii="Aptos" w:hAnsi="Aptos"/>
          <w:b w:val="0"/>
          <w:sz w:val="304800"/>
        </w:rPr>
        <w:t>The exposure-performance typology adds the least independent information of the three gap screens because it repackages the same performance construct already modeled in the SEM. It is therefore retained only for descriptive completeness in the appendix.</w:t>
      </w:r>
    </w:p>
    <w:p w:rsidR="590AF8B0" w:rsidP="3C60AEA8" w:rsidRDefault="590AF8B0" w14:paraId="3563F3C8" w14:textId="1B1D4244">
      <w:pPr>
        <w:pStyle w:val="Normal"/>
        <w:spacing w:before="240" w:beforeAutospacing="off" w:after="240" w:afterAutospacing="off"/>
        <w:jc w:val="left"/>
        <w:rPr>
          <w:rFonts w:ascii="Aptos" w:hAnsi="Aptos" w:eastAsia="Aptos" w:cs="Aptos"/>
          <w:b w:val="0"/>
          <w:bCs w:val="0"/>
          <w:noProof w:val="0"/>
          <w:sz w:val="24"/>
          <w:szCs w:val="24"/>
          <w:lang w:val="en-US"/>
        </w:rPr>
      </w:pPr>
      <w:r>
        <w:rPr>
          <w:rFonts w:ascii="Aptos" w:hAnsi="Aptos"/>
          <w:b w:val="0"/>
          <w:sz w:val="304800"/>
        </w:rPr>
        <w:t>Taken together, these exploratory difference scores point to a similar broad geographic pattern as the SEM and the simpler spatial overlays, but they do not materially strengthen the core argument. Their value is screening and illustration, not independent confirmation.</w:t>
      </w:r>
    </w:p>
    <w:p w:rsidR="5E4F7184" w:rsidP="4563BE08" w:rsidRDefault="5E4F7184" w14:paraId="02BE4CE7" w14:textId="76B56E2C">
      <w:pPr>
        <w:pStyle w:val="Normal"/>
        <w:spacing w:before="240" w:beforeAutospacing="off" w:after="240" w:afterAutospacing="off"/>
        <w:jc w:val="left"/>
        <w:rPr>
          <w:rFonts w:ascii="Aptos" w:hAnsi="Aptos" w:eastAsia="Aptos" w:cs="Aptos"/>
          <w:noProof w:val="0"/>
          <w:sz w:val="24"/>
          <w:szCs w:val="24"/>
          <w:lang w:val="en-US"/>
        </w:rPr>
      </w:pPr>
      <w:r w:rsidRPr="3C60AEA8" w:rsidR="5E4F7184">
        <w:rPr>
          <w:rFonts w:ascii="Aptos" w:hAnsi="Aptos" w:eastAsia="Aptos" w:cs="Aptos"/>
          <w:b w:val="1"/>
          <w:bCs w:val="1"/>
          <w:noProof w:val="0"/>
          <w:sz w:val="24"/>
          <w:szCs w:val="24"/>
          <w:lang w:val="en-US"/>
        </w:rPr>
        <w:t>5.</w:t>
      </w:r>
      <w:r w:rsidRPr="3C60AEA8" w:rsidR="730C5BE0">
        <w:rPr>
          <w:rFonts w:ascii="Aptos" w:hAnsi="Aptos" w:eastAsia="Aptos" w:cs="Aptos"/>
          <w:b w:val="1"/>
          <w:bCs w:val="1"/>
          <w:noProof w:val="0"/>
          <w:sz w:val="24"/>
          <w:szCs w:val="24"/>
          <w:lang w:val="en-US"/>
        </w:rPr>
        <w:t>5</w:t>
      </w:r>
      <w:r w:rsidRPr="3C60AEA8" w:rsidR="5E4F7184">
        <w:rPr>
          <w:rFonts w:ascii="Aptos" w:hAnsi="Aptos" w:eastAsia="Aptos" w:cs="Aptos"/>
          <w:b w:val="1"/>
          <w:bCs w:val="1"/>
          <w:noProof w:val="0"/>
          <w:sz w:val="24"/>
          <w:szCs w:val="24"/>
          <w:lang w:val="en-US"/>
        </w:rPr>
        <w:t xml:space="preserve">. </w:t>
      </w:r>
      <w:r w:rsidRPr="3C60AEA8" w:rsidR="11A4E1FC">
        <w:rPr>
          <w:rFonts w:ascii="Aptos" w:hAnsi="Aptos" w:eastAsia="Aptos" w:cs="Aptos"/>
          <w:b w:val="1"/>
          <w:bCs w:val="1"/>
          <w:noProof w:val="0"/>
          <w:sz w:val="24"/>
          <w:szCs w:val="24"/>
          <w:lang w:val="en-US"/>
        </w:rPr>
        <w:t>Disaster recovery g</w:t>
      </w:r>
      <w:r w:rsidRPr="3C60AEA8" w:rsidR="5E4F7184">
        <w:rPr>
          <w:rFonts w:ascii="Aptos" w:hAnsi="Aptos" w:eastAsia="Aptos" w:cs="Aptos"/>
          <w:b w:val="1"/>
          <w:bCs w:val="1"/>
          <w:noProof w:val="0"/>
          <w:sz w:val="24"/>
          <w:szCs w:val="24"/>
          <w:lang w:val="en-US"/>
        </w:rPr>
        <w:t>overnance risk analysis</w:t>
      </w:r>
    </w:p>
    <w:p w:rsidR="5E4F7184" w:rsidP="3C60AEA8" w:rsidRDefault="5E4F7184" w14:paraId="4CD4C4D5" w14:textId="2C3C4A83">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The Recovery Governance Risk Index is likewise presented only as a heuristic descriptive composite. It increases with disaster exposure and social vulnerability and decreases with burden capacity, but it is not estimated as part of the SEM and it should not be treated as a validated ranking model.</w:t>
      </w:r>
    </w:p>
    <w:p w:rsidR="21BCF88A" w:rsidP="0FA9DDF5" w:rsidRDefault="21BCF88A" w14:paraId="0427E454" w14:textId="3AEDF3B4">
      <w:pPr>
        <w:pStyle w:val="Normal"/>
        <w:suppressLineNumbers w:val="0"/>
        <w:spacing w:before="240" w:beforeAutospacing="off" w:after="240" w:afterAutospacing="off" w:line="278" w:lineRule="auto"/>
        <w:ind/>
        <w:jc w:val="left"/>
        <w:rPr>
          <w:rFonts w:ascii="Aptos" w:hAnsi="Aptos" w:eastAsia="Aptos" w:cs="Aptos"/>
          <w:b w:val="0"/>
          <w:bCs w:val="0"/>
          <w:noProof w:val="0"/>
          <w:sz w:val="24"/>
          <w:szCs w:val="24"/>
          <w:lang w:val="en-US"/>
        </w:rPr>
      </w:pPr>
      <w:r>
        <w:rPr/>
        <w:t>Appendix Figure A7. Supplementary descriptive screens of (a) county-level disaster recovery governance risk and (b) high-governance-risk counties with elevated descriptive priority.</w:t>
      </w:r>
    </w:p>
    <w:p w:rsidR="30E2D4C6" w:rsidP="5A746606" w:rsidRDefault="30E2D4C6" w14:paraId="311C1E93" w14:textId="0AB2C4C3">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Like the gap diagnostics, the risk map points descriptively toward parts of the Gulf Coast and South, but it is retained as an exploratory overlay rather than as a principal empirical result.</w:t>
      </w:r>
    </w:p>
    <w:p w:rsidR="30E2D4C6" w:rsidP="5A746606" w:rsidRDefault="30E2D4C6" w14:paraId="72B669FB" w14:textId="7400D65F">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Pr>
          <w:rFonts w:ascii="Aptos" w:hAnsi="Aptos"/>
          <w:sz w:val="304800"/>
        </w:rPr>
        <w:t>The thresholded priority map is therefore best read as an informal triage aid rather than as a publication-grade league table.</w:t>
      </w:r>
    </w:p>
    <w:p w:rsidR="5E4F7184" w:rsidP="5A746606" w:rsidRDefault="5E4F7184" w14:paraId="196DF482" w14:textId="3B92CE85">
      <w:pPr>
        <w:pStyle w:val="Normal"/>
        <w:spacing w:before="240" w:beforeAutospacing="off" w:after="240" w:afterAutospacing="off"/>
        <w:jc w:val="left"/>
        <w:rPr>
          <w:rFonts w:ascii="Aptos" w:hAnsi="Aptos" w:eastAsia="Aptos" w:cs="Aptos"/>
          <w:noProof w:val="0"/>
          <w:sz w:val="24"/>
          <w:szCs w:val="24"/>
          <w:lang w:val="en-US"/>
        </w:rPr>
      </w:pPr>
      <w:r>
        <w:rPr>
          <w:rFonts w:ascii="Aptos" w:hAnsi="Aptos"/>
          <w:sz w:val="304800"/>
        </w:rPr>
        <w:t>Its value, if used at all, lies in pointing practitioners toward places where more careful institutional diagnostics may be warranted. It is not a central contribution of the article.</w:t>
      </w:r>
    </w:p>
    <w:p w:rsidR="12FEECF3" w:rsidP="3C60AEA8" w:rsidRDefault="12FEECF3" w14:paraId="2E0B5BC6" w14:textId="77B72010">
      <w:pPr>
        <w:pStyle w:val="Normal"/>
        <w:spacing w:before="240" w:beforeAutospacing="off" w:after="240" w:afterAutospacing="off"/>
        <w:jc w:val="left"/>
        <w:rPr>
          <w:rFonts w:ascii="Aptos" w:hAnsi="Aptos" w:eastAsia="Aptos" w:cs="Aptos"/>
          <w:noProof w:val="0"/>
          <w:sz w:val="24"/>
          <w:szCs w:val="24"/>
          <w:lang w:val="en-US"/>
        </w:rPr>
      </w:pPr>
      <w:r>
        <w:rPr>
          <w:rFonts w:ascii="Aptos" w:hAnsi="Aptos"/>
          <w:b/>
          <w:sz w:val="304800"/>
        </w:rPr>
        <w:t>Appendix Tables A1-A10 report the supporting measurement, full structural, fit-verification, data-flow, maturity, sensitivity, ratio-artifact, geography, proxy-validation, and subset-forensics summaries that accompany the core SEM.</w:t>
      </w:r>
    </w:p>
    <w:p w:rsidR="19ABC65E" w:rsidP="09DFBBFF" w:rsidRDefault="19ABC65E" w14:paraId="34BDA163" w14:textId="60AA87F5">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u w:val="none"/>
          <w:lang w:val="en-US"/>
        </w:rPr>
      </w:pPr>
      <w:r w:rsidRPr="5A746606" w:rsidR="40806A77">
        <w:rPr>
          <w:rFonts w:ascii="Aptos" w:hAnsi="Aptos" w:eastAsia="Aptos" w:cs="Aptos"/>
          <w:b w:val="1"/>
          <w:bCs w:val="1"/>
          <w:noProof w:val="0"/>
          <w:sz w:val="24"/>
          <w:szCs w:val="24"/>
          <w:u w:val="none"/>
          <w:lang w:val="en-US"/>
        </w:rPr>
        <w:t>6</w:t>
      </w:r>
      <w:r w:rsidRPr="5A746606" w:rsidR="37F09B24">
        <w:rPr>
          <w:rFonts w:ascii="Aptos" w:hAnsi="Aptos" w:eastAsia="Aptos" w:cs="Aptos"/>
          <w:b w:val="1"/>
          <w:bCs w:val="1"/>
          <w:noProof w:val="0"/>
          <w:sz w:val="24"/>
          <w:szCs w:val="24"/>
          <w:u w:val="none"/>
          <w:lang w:val="en-US"/>
        </w:rPr>
        <w:t>. Discussion</w:t>
      </w:r>
    </w:p>
    <w:p w:rsidR="3D179A63" w:rsidP="5A746606" w:rsidRDefault="3D179A63" w14:paraId="1A2C4F1D" w14:textId="48349E22">
      <w:pPr>
        <w:pStyle w:val="Normal"/>
        <w:suppressLineNumbers w:val="0"/>
        <w:bidi w:val="0"/>
        <w:spacing w:before="0" w:beforeAutospacing="off" w:after="160" w:afterAutospacing="off" w:line="278" w:lineRule="auto"/>
        <w:ind w:left="0" w:right="0"/>
        <w:jc w:val="left"/>
        <w:rPr>
          <w:rFonts w:ascii="Aptos" w:hAnsi="Aptos" w:eastAsia="Aptos" w:cs="Aptos"/>
          <w:b w:val="1"/>
          <w:bCs w:val="1"/>
          <w:i w:val="0"/>
          <w:iCs w:val="0"/>
          <w:noProof w:val="0"/>
          <w:sz w:val="24"/>
          <w:szCs w:val="24"/>
          <w:u w:val="none"/>
          <w:lang w:val="en-US"/>
        </w:rPr>
      </w:pPr>
      <w:r w:rsidRPr="5A746606" w:rsidR="3D179A63">
        <w:rPr>
          <w:rFonts w:ascii="Aptos" w:hAnsi="Aptos" w:eastAsia="Aptos" w:cs="Aptos"/>
          <w:b w:val="1"/>
          <w:bCs w:val="1"/>
          <w:i w:val="0"/>
          <w:iCs w:val="0"/>
          <w:noProof w:val="0"/>
          <w:sz w:val="24"/>
          <w:szCs w:val="24"/>
          <w:u w:val="none"/>
          <w:lang w:val="en-US"/>
        </w:rPr>
        <w:t xml:space="preserve">6.1. </w:t>
      </w:r>
      <w:r w:rsidRPr="5A746606" w:rsidR="7DF27D89">
        <w:rPr>
          <w:rFonts w:ascii="Aptos" w:hAnsi="Aptos" w:eastAsia="Aptos" w:cs="Aptos"/>
          <w:b w:val="1"/>
          <w:bCs w:val="1"/>
          <w:i w:val="0"/>
          <w:iCs w:val="0"/>
          <w:noProof w:val="0"/>
          <w:sz w:val="24"/>
          <w:szCs w:val="24"/>
          <w:u w:val="none"/>
          <w:lang w:val="en-US"/>
        </w:rPr>
        <w:t>Rethinking governmental capacity: A multi-dimensional and relational perspective</w:t>
      </w:r>
    </w:p>
    <w:p w:rsidR="6A4FC56B" w:rsidP="5A746606" w:rsidRDefault="6A4FC56B" w14:paraId="71345044" w14:textId="2FC33415">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This study advances a more differentiated understanding of governmental capacity in disaster recovery by showing that capacity is not well captured by a single resource proxy. Across the SEM and the limited descriptive spatial overlays retained here, the most consistent pattern is that recovery outcomes are more closely aligned with workload manageability than with staffing and payroll intensity alone. That does not mean resources are irrelevant; rather, it suggests that resources must be interpreted relative to the disaster and program burdens they are expected to absorb.</w:t>
      </w:r>
    </w:p>
    <w:p w:rsidR="6A4FC56B" w:rsidP="4563BE08" w:rsidRDefault="6A4FC56B" w14:paraId="11ACFAA8" w14:textId="07A538B0">
      <w:pPr>
        <w:pStyle w:val="Normal"/>
        <w:bidi w:val="0"/>
        <w:spacing w:before="0" w:beforeAutospacing="off" w:after="160" w:afterAutospacing="off" w:line="278" w:lineRule="auto"/>
        <w:ind w:left="0" w:right="0"/>
        <w:jc w:val="left"/>
      </w:pPr>
      <w:r w:rsidRPr="5A746606" w:rsidR="24C6777C">
        <w:rPr>
          <w:rFonts w:ascii="Aptos" w:hAnsi="Aptos" w:eastAsia="Aptos" w:cs="Aptos"/>
          <w:b w:val="0"/>
          <w:bCs w:val="0"/>
          <w:noProof w:val="0"/>
          <w:sz w:val="24"/>
          <w:szCs w:val="24"/>
          <w:u w:val="none"/>
          <w:lang w:val="en-US"/>
        </w:rPr>
        <w:t>Consistent with Annan-Prah &amp; Andoh (2023), this study conceptualizes governmental capacity as a joint reflection of resources and performance. However, it further refines this perspective by introducing Administrative Burden Capacity, defined as the effective capacity remaining after accounting for workload pressures and contextual constraints such as social vulnerability. This conceptualization highlights that capacity is inherently relational: administrative resources only translate into effective recovery outcomes when workload demands remain within manageable levels.</w:t>
      </w:r>
    </w:p>
    <w:p w:rsidR="6A4FC56B" w:rsidP="4563BE08" w:rsidRDefault="6A4FC56B" w14:paraId="6219FC26" w14:textId="55732893">
      <w:pPr>
        <w:pStyle w:val="Normal"/>
        <w:bidi w:val="0"/>
        <w:spacing w:before="0" w:beforeAutospacing="off" w:after="160" w:afterAutospacing="off" w:line="278" w:lineRule="auto"/>
        <w:ind w:left="0" w:right="0"/>
        <w:jc w:val="left"/>
      </w:pPr>
      <w:r>
        <w:rPr>
          <w:rFonts w:ascii="Aptos" w:hAnsi="Aptos"/>
          <w:b w:val="0"/>
          <w:sz w:val="304800"/>
          <w:u w:val="none"/>
        </w:rPr>
        <w:t>A central contribution of the paper is the distinction between Administrative Resources and Administrative Burden Capacity. Staffing and payroll reflect the scale of the administrative system, whereas burden capacity reflects how stretched that system is across disasters and programs. The empirical evidence is strongest for Recovery Timeliness, where lower workload pressure is associated with faster implementation. For Recovery Performance, the burden-capacity path is positive but only marginal, which suggests that the performance construct also reflects other dimensions of organizational context, program design, and reporting complexity. Burden capacity appears especially important for timing, and plausibly relevant for performance, but not sufficient by itself to explain all observed differences in recovery execution.</w:t>
      </w:r>
    </w:p>
    <w:p w:rsidR="6A4FC56B" w:rsidP="5A746606" w:rsidRDefault="6A4FC56B" w14:paraId="48A7CE91" w14:textId="0F92B953">
      <w:pPr>
        <w:pStyle w:val="Normal"/>
        <w:suppressLineNumbers w:val="0"/>
        <w:bidi w:val="0"/>
        <w:spacing w:before="0" w:beforeAutospacing="off" w:after="160" w:afterAutospacing="off" w:line="278" w:lineRule="auto"/>
        <w:ind w:left="0" w:right="0"/>
        <w:jc w:val="left"/>
      </w:pPr>
      <w:r>
        <w:rPr>
          <w:rFonts w:ascii="Aptos" w:hAnsi="Aptos"/>
          <w:b w:val="0"/>
          <w:sz w:val="304800"/>
          <w:u w:val="none"/>
        </w:rPr>
        <w:t>The negative association between Administrative Resources and Recovery Performance further supports this interpretation. Rather than implying that additional staff or payroll harms recovery, the coefficient likely reflects portfolio complexity, organizational layering, or the fact that more administratively intensive jurisdictions often manage more demanding recovery contexts. Once workload is modeled explicitly, pure resource intensity ceases to function as a simple proxy for effectiveness. This result is therefore best treated as a potentially confounded association that cautions against equating larger bureaucratic scale with stronger recovery administration.</w:t>
      </w:r>
    </w:p>
    <w:p w:rsidR="6A4FC56B" w:rsidP="5A746606" w:rsidRDefault="6A4FC56B" w14:paraId="64115163" w14:textId="3FDC0F0B">
      <w:pPr>
        <w:pStyle w:val="Normal"/>
        <w:suppressLineNumbers w:val="0"/>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24C6777C">
        <w:rPr>
          <w:rFonts w:ascii="Aptos" w:hAnsi="Aptos" w:eastAsia="Aptos" w:cs="Aptos"/>
          <w:b w:val="1"/>
          <w:bCs w:val="1"/>
          <w:noProof w:val="0"/>
          <w:sz w:val="24"/>
          <w:szCs w:val="24"/>
          <w:u w:val="none"/>
          <w:lang w:val="en-US"/>
        </w:rPr>
        <w:t xml:space="preserve">6.2. </w:t>
      </w:r>
      <w:r w:rsidRPr="5A746606" w:rsidR="44322222">
        <w:rPr>
          <w:rFonts w:ascii="Aptos" w:hAnsi="Aptos" w:eastAsia="Aptos" w:cs="Aptos"/>
          <w:b w:val="1"/>
          <w:bCs w:val="1"/>
          <w:noProof w:val="0"/>
          <w:sz w:val="24"/>
          <w:szCs w:val="24"/>
          <w:u w:val="none"/>
          <w:lang w:val="en-US"/>
        </w:rPr>
        <w:t>A burden-capacity framework for understanding spatial inequality in disaster recovery</w:t>
      </w:r>
    </w:p>
    <w:p w:rsidR="595B85ED" w:rsidP="5A746606" w:rsidRDefault="595B85ED" w14:paraId="434F5319" w14:textId="1375FD31">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The results also show that different dimensions of social vulnerability relate to recovery outcomes through distinct channels. Minority status and language vulnerability are most clearly associated with weaker Recovery Performance, whereas socioeconomic vulnerability and household composition/disability are more strongly associated with slower Recovery Timeliness. One plausible interpretation is that vulnerability marks contexts in which outreach, verification, coordination, and service delivery barriers are harder to overcome. The SEM does not identify those mechanisms directly, but the differentiated theme coefficients are consistent with the idea that recovery governance becomes more difficult when administrative burden and structural vulnerability overlap.</w:t>
      </w:r>
    </w:p>
    <w:p w:rsidR="595B85ED" w:rsidP="5A746606" w:rsidRDefault="595B85ED" w14:paraId="7CAA332F" w14:textId="180FC2FD">
      <w:pPr>
        <w:pStyle w:val="Normal"/>
        <w:bidi w:val="0"/>
        <w:spacing w:before="0" w:beforeAutospacing="off" w:after="160" w:afterAutospacing="off" w:line="278" w:lineRule="auto"/>
        <w:ind w:left="0" w:right="0"/>
        <w:jc w:val="left"/>
      </w:pPr>
      <w:r>
        <w:rPr>
          <w:rFonts w:ascii="Aptos" w:hAnsi="Aptos"/>
          <w:b w:val="0"/>
          <w:sz w:val="304800"/>
          <w:u w:val="none"/>
        </w:rPr>
        <w:t>The limited spatial overlays are retained only as supplementary screening tools. They may help show where workload pressure, exposure, and vulnerability coincide, but they do not establish why those patterns arise.</w:t>
      </w:r>
    </w:p>
    <w:p w:rsidR="595B85ED" w:rsidP="5A746606" w:rsidRDefault="595B85ED" w14:paraId="0D648B32" w14:textId="2D7229E2">
      <w:pPr>
        <w:pStyle w:val="Normal"/>
        <w:bidi w:val="0"/>
        <w:spacing w:before="0" w:beforeAutospacing="off" w:after="160" w:afterAutospacing="off" w:line="278" w:lineRule="auto"/>
        <w:ind w:left="0" w:right="0"/>
        <w:jc w:val="left"/>
      </w:pPr>
      <w:r>
        <w:rPr>
          <w:rFonts w:ascii="Aptos" w:hAnsi="Aptos"/>
          <w:b w:val="0"/>
          <w:sz w:val="304800"/>
          <w:u w:val="none"/>
        </w:rPr>
        <w:t>For that reason, the maps are used descriptively rather than as a separate source of causal or confirmatory evidence.</w:t>
      </w:r>
    </w:p>
    <w:p w:rsidR="595B85ED" w:rsidP="5A746606" w:rsidRDefault="595B85ED" w14:paraId="22870F00" w14:textId="7E3907C3">
      <w:pPr>
        <w:pStyle w:val="Normal"/>
        <w:bidi w:val="0"/>
        <w:spacing w:before="0" w:beforeAutospacing="off" w:after="160" w:afterAutospacing="off" w:line="278" w:lineRule="auto"/>
        <w:ind w:left="0" w:right="0"/>
        <w:jc w:val="left"/>
      </w:pPr>
      <w:r>
        <w:rPr>
          <w:rFonts w:ascii="Aptos" w:hAnsi="Aptos"/>
          <w:b w:val="0"/>
          <w:sz w:val="304800"/>
          <w:u w:val="none"/>
        </w:rPr>
        <w:t>The article's main contribution therefore remains the burden-sensitive SEM framework, not the broader atlas of descriptive spatial screens.</w:t>
      </w:r>
    </w:p>
    <w:p w:rsidR="2E7E41D1" w:rsidP="5A746606" w:rsidRDefault="2E7E41D1" w14:paraId="4532AD1F" w14:textId="7BDF763F">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2E7E41D1">
        <w:rPr>
          <w:rFonts w:ascii="Aptos" w:hAnsi="Aptos" w:eastAsia="Aptos" w:cs="Aptos"/>
          <w:b w:val="1"/>
          <w:bCs w:val="1"/>
          <w:noProof w:val="0"/>
          <w:sz w:val="24"/>
          <w:szCs w:val="24"/>
          <w:u w:val="none"/>
          <w:lang w:val="en-US"/>
        </w:rPr>
        <w:t>6.</w:t>
      </w:r>
      <w:r w:rsidRPr="5A746606" w:rsidR="5AF44B8C">
        <w:rPr>
          <w:rFonts w:ascii="Aptos" w:hAnsi="Aptos" w:eastAsia="Aptos" w:cs="Aptos"/>
          <w:b w:val="1"/>
          <w:bCs w:val="1"/>
          <w:noProof w:val="0"/>
          <w:sz w:val="24"/>
          <w:szCs w:val="24"/>
          <w:u w:val="none"/>
          <w:lang w:val="en-US"/>
        </w:rPr>
        <w:t>3</w:t>
      </w:r>
      <w:r w:rsidRPr="5A746606" w:rsidR="2E7E41D1">
        <w:rPr>
          <w:rFonts w:ascii="Aptos" w:hAnsi="Aptos" w:eastAsia="Aptos" w:cs="Aptos"/>
          <w:b w:val="1"/>
          <w:bCs w:val="1"/>
          <w:noProof w:val="0"/>
          <w:sz w:val="24"/>
          <w:szCs w:val="24"/>
          <w:u w:val="none"/>
          <w:lang w:val="en-US"/>
        </w:rPr>
        <w:t>. Practical implications</w:t>
      </w:r>
    </w:p>
    <w:p w:rsidR="7E4078FB" w:rsidP="5A746606" w:rsidRDefault="7E4078FB" w14:paraId="342BB9C0" w14:textId="5201B5F0">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The findings provide decision-makers and practitioners with a more nuanced understanding of governmental capacity by distinguishing resource levels from workload strain. For practice, the key implication is diagnostic: when recovery performance is weak or implementation is slow, the problem may not be simple resource scarcity. It may instead reflect the way staffing, portfolio complexity, disaster exposure, and community vulnerability interact. This perspective can help practitioners diagnose whether recovery challenges stem from insufficient resources, excessive administrative burden, or a broader misalignment between institutional capacity and local recovery needs.</w:t>
      </w:r>
    </w:p>
    <w:p w:rsidR="7E4078FB" w:rsidP="5A746606" w:rsidRDefault="7E4078FB" w14:paraId="1904AEF9" w14:textId="0B0926B7">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bookmarkStart w:name="_Int_PfrYz7Lj" w:id="296073282"/>
      <w:bookmarkEnd w:id="296073282"/>
      <w:r>
        <w:rPr>
          <w:rFonts w:ascii="Aptos" w:hAnsi="Aptos"/>
          <w:b w:val="0"/>
          <w:sz w:val="304800"/>
          <w:u w:val="none"/>
        </w:rPr>
        <w:t>Any use of the Recovery Governance Risk Index or the related gap diagnostics should therefore remain cautious and secondary. At most, these descriptive screens can help identify jurisdictions that may merit closer institutional review or technical assistance; they are not the article's principal empirical contribution and are best read in the appendix or supplement.</w:t>
      </w:r>
    </w:p>
    <w:p w:rsidR="6A4FC56B" w:rsidP="5A746606" w:rsidRDefault="6A4FC56B" w14:paraId="4B7BD63B" w14:textId="0EAF8228">
      <w:pPr>
        <w:pStyle w:val="Normal"/>
        <w:suppressLineNumbers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From a policy perspective, the results suggest that improving disaster recovery outcomes requires moving beyond resource-centric approaches toward workload-sensitive and context-aware interventions. Simply increasing funding or staffing may have limited effect if administrative systems remain overextended or if program complexity continues to impose substantial procedural burden. More promising strategies may include simplifying program rules, standardizing reporting and eligibility workflows, deploying temporary surge-capacity teams during high-demand periods, improving intergovernmental coordination, and prioritizing high-risk jurisdictions for language access, community outreach, and implementation support. These recommendations remain associationally motivated rather than experimentally verified, but they follow directly from the burden-sensitive interpretation of the results.</w:t>
      </w:r>
    </w:p>
    <w:p w:rsidR="6265B11D" w:rsidP="5A746606" w:rsidRDefault="6265B11D" w14:paraId="5B60852C" w14:textId="48E69ADC">
      <w:pPr>
        <w:pStyle w:val="Normal"/>
        <w:suppressLineNumbers w:val="0"/>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Although the real-world effectiveness of these strategies requires additional evaluation, the findings suggest that successful disaster recovery depends not only on the amount of resources available but also on whether those resources are adequate for the complexity, scale, and vulnerability of the recovery environment in which they are deployed.</w:t>
      </w:r>
    </w:p>
    <w:p w:rsidR="2F14D1D6" w:rsidP="5A746606" w:rsidRDefault="2F14D1D6" w14:paraId="1B58BECF" w14:textId="3AC276F4">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2F14D1D6">
        <w:rPr>
          <w:rFonts w:ascii="Aptos" w:hAnsi="Aptos" w:eastAsia="Aptos" w:cs="Aptos"/>
          <w:b w:val="1"/>
          <w:bCs w:val="1"/>
          <w:noProof w:val="0"/>
          <w:sz w:val="24"/>
          <w:szCs w:val="24"/>
          <w:u w:val="none"/>
          <w:lang w:val="en-US"/>
        </w:rPr>
        <w:t>6.</w:t>
      </w:r>
      <w:r w:rsidRPr="5A746606" w:rsidR="173DBD0C">
        <w:rPr>
          <w:rFonts w:ascii="Aptos" w:hAnsi="Aptos" w:eastAsia="Aptos" w:cs="Aptos"/>
          <w:b w:val="1"/>
          <w:bCs w:val="1"/>
          <w:noProof w:val="0"/>
          <w:sz w:val="24"/>
          <w:szCs w:val="24"/>
          <w:u w:val="none"/>
          <w:lang w:val="en-US"/>
        </w:rPr>
        <w:t>4</w:t>
      </w:r>
      <w:r w:rsidRPr="5A746606" w:rsidR="2F14D1D6">
        <w:rPr>
          <w:rFonts w:ascii="Aptos" w:hAnsi="Aptos" w:eastAsia="Aptos" w:cs="Aptos"/>
          <w:b w:val="1"/>
          <w:bCs w:val="1"/>
          <w:noProof w:val="0"/>
          <w:sz w:val="24"/>
          <w:szCs w:val="24"/>
          <w:u w:val="none"/>
          <w:lang w:val="en-US"/>
        </w:rPr>
        <w:t>. Study limitations</w:t>
      </w:r>
    </w:p>
    <w:p w:rsidR="755145F7" w:rsidP="5A746606" w:rsidRDefault="755145F7" w14:paraId="2FE661BE" w14:textId="53A5A003">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Several limitations should be acknowledged. First, the SEM relies on a cross-sectional administering-jurisdiction dataset, so the results are associational rather than causal. The aggregation from quarterly QPR activity data to one profile per administering jurisdiction discards within-jurisdiction variation across disasters, policy regimes, staffing arrangements, and maturation windows. Appendix Table A5 makes that maturity problem visible by showing that the sample spans markedly different portfolio age bands. Second, the timeliness construct remains duration-based and therefore sensitive to right-censoring and disaster maturity. Newer grants and jurisdictions with ongoing portfolios have had less time to complete recovery activities, which limits how strongly the timeliness factor can be interpreted.</w:t>
      </w:r>
    </w:p>
    <w:p w:rsidR="4F3BFBB6" w:rsidP="5A746606" w:rsidRDefault="4F3BFBB6" w14:paraId="7856794A" w14:textId="0CD11B12">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Third, the measurement of capacity remains indirect. QCEW NAICS 925110 employment and payroll are useful national proxies but do not directly measure CDBG-DR administrative teams, contractors, or interagency support structures. The workload indicators are likewise simplified workload-density proxies rather than complete measures of administrative strain. Appendix Table A6 shows that the main burden-timeliness result survives several conservative re-specifications, Appendix Table A7 reports the frequency of ratio values above 1.0 and a capped-ratio sensitivity, and Appendix Table A9 adds proxy-correlation and coarse external cross-check diagnostics, but these remain partial validation steps rather than definitive proof that the archived QCEW measures isolate true CDBG-DR staffing capacity. Similarly, the SVI covariates are used as cross-sectional contextual controls rather than as audited longitudinal trajectories across changing vintages. Fourth, the geography layer is derived from hierarchical name matching and county aggregation rather than from official Census relationship files alone, even though the recovered SEM sample labels now audit cleanly against official 2023 Census state and county files. Fifth, the smaller cleaned sensitivity sample remains only partially reconstructable; Appendix Table A10 shows that it behaves like a compound or curated filter rather than a simple outlier trim. Finally, the gap diagnostics and governance risk index are descriptive composites rather than validated latent constructs. For these reasons, the spatial and gap-based sections should be read as informative policy screens rather than as final measurement products.</w:t>
      </w:r>
    </w:p>
    <w:p w:rsidR="5A1FF107" w:rsidP="5A746606" w:rsidRDefault="5A1FF107" w14:paraId="12FAA78F" w14:textId="25604B21">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Pr>
          <w:rFonts w:ascii="Aptos" w:hAnsi="Aptos"/>
          <w:b w:val="0"/>
          <w:sz w:val="304800"/>
          <w:u w:val="none"/>
        </w:rPr>
        <w:t>These limitations point to a clear future research agenda. Longitudinal or event-history designs would address maturity and censoring more directly. More detailed administrative-process data - such as staffing assignments, contractor use, application processing times, and intergovernmental coordination mechanisms - would make it possible to move from proxy capacity measures toward more direct operational indicators of recovery governance. Future work should also test narrower cohorts or panel designs so that age of portfolio and disaster vintage are separated more clearly from administrative capacity.</w:t>
      </w:r>
    </w:p>
    <w:p w:rsidR="5A1FF107" w:rsidP="5A746606" w:rsidRDefault="5A1FF107" w14:paraId="1C02F8FF" w14:textId="6E11559D">
      <w:pPr>
        <w:pStyle w:val="Normal"/>
        <w:bidi w:val="0"/>
        <w:spacing w:before="0" w:beforeAutospacing="off" w:after="160" w:afterAutospacing="off" w:line="278" w:lineRule="auto"/>
        <w:ind w:left="0" w:right="0"/>
        <w:jc w:val="left"/>
      </w:pPr>
      <w:r>
        <w:rPr>
          <w:rFonts w:ascii="Aptos" w:hAnsi="Aptos"/>
          <w:b w:val="0"/>
          <w:sz w:val="304800"/>
          <w:u w:val="none"/>
        </w:rPr>
        <w:t>Despite these limitations, the study still provides a useful empirical and conceptual contribution. Across the SEM and the descriptive spatial screens, the most consistent message is that disaster recovery governance is shaped not simply by how many resources a jurisdiction has, but by whether those resources are proportionate to disaster workload and to the social conditions of implementation. That is a meaningful insight even when treated explicitly as exploratory rather than causal.</w:t>
      </w:r>
    </w:p>
    <w:p w:rsidR="49B01862" w:rsidP="09DFBBFF" w:rsidRDefault="49B01862" w14:paraId="66659E48" w14:textId="2F047329">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u w:val="none"/>
          <w:lang w:val="en-US"/>
        </w:rPr>
      </w:pPr>
      <w:r w:rsidRPr="5A746606" w:rsidR="1FDE7970">
        <w:rPr>
          <w:rFonts w:ascii="Aptos" w:hAnsi="Aptos" w:eastAsia="Aptos" w:cs="Aptos"/>
          <w:b w:val="1"/>
          <w:bCs w:val="1"/>
          <w:noProof w:val="0"/>
          <w:sz w:val="24"/>
          <w:szCs w:val="24"/>
          <w:u w:val="none"/>
          <w:lang w:val="en-US"/>
        </w:rPr>
        <w:t>7</w:t>
      </w:r>
      <w:r w:rsidRPr="5A746606" w:rsidR="37F09B24">
        <w:rPr>
          <w:rFonts w:ascii="Aptos" w:hAnsi="Aptos" w:eastAsia="Aptos" w:cs="Aptos"/>
          <w:b w:val="1"/>
          <w:bCs w:val="1"/>
          <w:noProof w:val="0"/>
          <w:sz w:val="24"/>
          <w:szCs w:val="24"/>
          <w:u w:val="none"/>
          <w:lang w:val="en-US"/>
        </w:rPr>
        <w:t>. Conclusions</w:t>
      </w:r>
    </w:p>
    <w:p w:rsidR="4563BE08" w:rsidP="5A746606" w:rsidRDefault="4563BE08" w14:paraId="029FEE84" w14:textId="2A3E8E17">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Pr>
          <w:rFonts w:ascii="Aptos" w:hAnsi="Aptos"/>
          <w:sz w:val="304800"/>
        </w:rPr>
        <w:t>This study develops an explicitly exploratory framework for examining governmental capacity and disaster recovery outcomes across the United States. Using pooled cross-sectional administering-jurisdiction profiles, the article moves beyond purely resource-based indicators and evaluates how staffing proxies, workload pressure, and contextual vulnerability co-occur with Recovery Timeliness and, more tentatively, Recovery Performance. The SEM is the paper's core evidence, while the gap diagnostics and governance risk index are treated as supplementary policy screens.</w:t>
      </w:r>
    </w:p>
    <w:p w:rsidR="4563BE08" w:rsidP="5A746606" w:rsidRDefault="4563BE08" w14:paraId="342B09E0" w14:textId="608C7525">
      <w:pPr>
        <w:pStyle w:val="Normal"/>
        <w:suppressLineNumbers w:val="0"/>
        <w:bidi w:val="0"/>
        <w:spacing w:before="0" w:beforeAutospacing="off" w:after="160" w:afterAutospacing="off" w:line="278" w:lineRule="auto"/>
        <w:ind w:left="0" w:right="0"/>
        <w:jc w:val="left"/>
      </w:pPr>
      <w:r>
        <w:rPr>
          <w:rFonts w:ascii="Aptos" w:hAnsi="Aptos"/>
          <w:sz w:val="304800"/>
        </w:rPr>
        <w:t>Several key insights emerge. First, governmental capacity is not well captured as a unidimensional construct. The two-factor model shows that Administrative Resources and Administrative Burden Capacity behave differently and should not be collapsed without checking the measurement tradeoff. Second, the strongest capacity-outcome association in the SEM is between lower workload pressure and faster Recovery Timeliness, whereas the relationship with the broader Recovery Performance construct is weaker and more conditional. Third, social vulnerability matters, but different SVI themes relate to different parts of the recovery process, reinforcing the view that capacity is embedded in broader institutional and community contexts.</w:t>
      </w:r>
    </w:p>
    <w:p w:rsidR="4563BE08" w:rsidP="4563BE08" w:rsidRDefault="4563BE08" w14:paraId="58E309F2" w14:textId="30A6BD87">
      <w:pPr>
        <w:pStyle w:val="Normal"/>
        <w:suppressLineNumbers w:val="0"/>
        <w:bidi w:val="0"/>
        <w:spacing w:before="0" w:beforeAutospacing="off" w:after="160" w:afterAutospacing="off" w:line="278" w:lineRule="auto"/>
        <w:ind w:left="0" w:right="0"/>
        <w:jc w:val="left"/>
      </w:pPr>
      <w:bookmarkStart w:name="_Int_waG1q66u" w:id="1439544872"/>
      <w:bookmarkEnd w:id="1439544872"/>
      <w:r>
        <w:rPr>
          <w:rFonts w:ascii="Aptos" w:hAnsi="Aptos"/>
          <w:sz w:val="304800"/>
        </w:rPr>
        <w:t>The limited descriptive spatial overlays add a geographic dimension to those findings, but only in a supplementary sense. They help orient the reader to where exposure, workload pressure, vulnerability, and weaker outcomes may overlap, while remaining clearly secondary to the SEM.</w:t>
      </w:r>
    </w:p>
    <w:p w:rsidR="4563BE08" w:rsidP="5A746606" w:rsidRDefault="4563BE08" w14:paraId="4C555C31" w14:textId="2917FC92">
      <w:pPr>
        <w:pStyle w:val="Normal"/>
        <w:suppressLineNumbers w:val="0"/>
        <w:bidi w:val="0"/>
        <w:spacing w:before="0" w:beforeAutospacing="off" w:after="160" w:afterAutospacing="off" w:line="278" w:lineRule="auto"/>
        <w:ind w:left="0" w:right="0"/>
        <w:jc w:val="left"/>
      </w:pPr>
      <w:bookmarkStart w:name="_Int_If1BoQ0c" w:id="1752679139"/>
      <w:bookmarkEnd w:id="1752679139"/>
      <w:r>
        <w:rPr>
          <w:rFonts w:ascii="Aptos" w:hAnsi="Aptos"/>
          <w:sz w:val="304800"/>
        </w:rPr>
        <w:t>Taken together, the study contributes conceptually by advancing a workload-sensitive view of governmental capacity, methodologically by making the one-factor versus two-factor SEM tradeoff explicit, and practically by showing that workload-sensitive diagnostic screening may be more useful than simple staffing counts alone. The paper should therefore be read as an exploratory pooled cross-sectional SEM study, centered on workload manageability and Recovery Timeliness, rather than as a definitive causal account of CDBG-DR recovery governance.</w:t>
      </w:r>
    </w:p>
    <w:p w:rsidR="4563BE08" w:rsidP="5A746606" w:rsidRDefault="4563BE08" w14:paraId="4FC83EA1" w14:textId="16B45A32">
      <w:pPr>
        <w:pStyle w:val="Normal"/>
        <w:suppressLineNumbers w:val="0"/>
        <w:bidi w:val="0"/>
        <w:spacing w:before="0" w:beforeAutospacing="off" w:after="160" w:afterAutospacing="off" w:line="278" w:lineRule="auto"/>
        <w:ind w:left="0" w:right="0"/>
        <w:jc w:val="left"/>
      </w:pPr>
      <w:r>
        <w:rPr>
          <w:rFonts w:ascii="Aptos" w:hAnsi="Aptos"/>
          <w:sz w:val="304800"/>
        </w:rPr>
        <w:t>Improving disaster recovery governance will require more than funding alone. It will require institutions whose staffing, workload, and social context are better aligned with the scale and complexity of recovery needs. The results provide an empirical starting point for that discussion.</w:t>
      </w:r>
    </w:p>
    <w:p w:rsidR="715E8B94" w:rsidP="0FA9DDF5" w:rsidRDefault="715E8B94" w14:paraId="2262F8F8" w14:textId="62EC3B18">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0FA9DDF5" w:rsidR="715E8B94">
        <w:rPr>
          <w:rFonts w:ascii="Aptos" w:hAnsi="Aptos" w:eastAsia="Aptos" w:cs="Aptos"/>
          <w:b w:val="1"/>
          <w:bCs w:val="1"/>
          <w:noProof w:val="0"/>
          <w:sz w:val="24"/>
          <w:szCs w:val="24"/>
          <w:lang w:val="en-US"/>
        </w:rPr>
        <w:t>Acknowledgements</w:t>
      </w:r>
    </w:p>
    <w:p w:rsidR="715E8B94" w:rsidP="0FA9DDF5" w:rsidRDefault="715E8B94" w14:paraId="6478BA50" w14:textId="60C52AEC">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5A746606" w:rsidR="715E8B94">
        <w:rPr>
          <w:rFonts w:ascii="Aptos" w:hAnsi="Aptos" w:eastAsia="Aptos" w:cs="Aptos"/>
          <w:noProof w:val="0"/>
          <w:sz w:val="24"/>
          <w:szCs w:val="24"/>
          <w:lang w:val="en-US"/>
        </w:rPr>
        <w:t xml:space="preserve">This study is partially supported by funding from the U.S. Department of Housing and Urban Development (Award# H21749CA). The findings and conclusions in this manuscript are those of the authors and do not </w:t>
      </w:r>
      <w:r w:rsidRPr="5A746606" w:rsidR="715E8B94">
        <w:rPr>
          <w:rFonts w:ascii="Aptos" w:hAnsi="Aptos" w:eastAsia="Aptos" w:cs="Aptos"/>
          <w:noProof w:val="0"/>
          <w:sz w:val="24"/>
          <w:szCs w:val="24"/>
          <w:lang w:val="en-US"/>
        </w:rPr>
        <w:t>represent</w:t>
      </w:r>
      <w:r w:rsidRPr="5A746606" w:rsidR="715E8B94">
        <w:rPr>
          <w:rFonts w:ascii="Aptos" w:hAnsi="Aptos" w:eastAsia="Aptos" w:cs="Aptos"/>
          <w:noProof w:val="0"/>
          <w:sz w:val="24"/>
          <w:szCs w:val="24"/>
          <w:lang w:val="en-US"/>
        </w:rPr>
        <w:t xml:space="preserve"> the official position or views of the U.S. Department of Housing and Urban Development</w:t>
      </w:r>
      <w:r w:rsidRPr="5A746606" w:rsidR="07EDC2F9">
        <w:rPr>
          <w:rFonts w:ascii="Aptos" w:hAnsi="Aptos" w:eastAsia="Aptos" w:cs="Aptos"/>
          <w:noProof w:val="0"/>
          <w:sz w:val="24"/>
          <w:szCs w:val="24"/>
          <w:lang w:val="en-US"/>
        </w:rPr>
        <w:t xml:space="preserve">. </w:t>
      </w:r>
    </w:p>
    <w:p w:rsidR="0E23122F" w:rsidP="5A746606" w:rsidRDefault="0E23122F" w14:paraId="2B359EAC" w14:textId="5636E6D3">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5A746606" w:rsidR="0E23122F">
        <w:rPr>
          <w:rFonts w:ascii="Aptos" w:hAnsi="Aptos" w:eastAsia="Aptos" w:cs="Aptos"/>
          <w:b w:val="1"/>
          <w:bCs w:val="1"/>
          <w:noProof w:val="0"/>
          <w:sz w:val="24"/>
          <w:szCs w:val="24"/>
          <w:lang w:val="en-US"/>
        </w:rPr>
        <w:t>Disclosure Statement</w:t>
      </w:r>
    </w:p>
    <w:p w:rsidR="0E23122F" w:rsidP="5A746606" w:rsidRDefault="0E23122F" w14:paraId="6B55A885" w14:textId="6D6F228B">
      <w:pPr>
        <w:pStyle w:val="Normal"/>
        <w:bidi w:val="0"/>
        <w:spacing w:before="0" w:beforeAutospacing="off" w:after="160" w:afterAutospacing="off" w:line="278" w:lineRule="auto"/>
        <w:ind w:left="0" w:right="0"/>
        <w:jc w:val="left"/>
      </w:pPr>
      <w:r>
        <w:rPr>
          <w:rFonts w:ascii="Aptos" w:hAnsi="Aptos"/>
          <w:sz w:val="304800"/>
        </w:rPr>
        <w:t>The authors declared no potential conflicts of interest with respect to the research, authorship, and/or publication of this article. Generative AI tools were used only for limited language editing. All analytic decisions, interpretation, and manuscript content were reviewed and approved by the authors.</w:t>
      </w:r>
    </w:p>
    <w:p w:rsidR="296840B2" w:rsidP="5A746606" w:rsidRDefault="296840B2" w14:paraId="615ECAA1" w14:textId="71F8AE86">
      <w:pPr>
        <w:pStyle w:val="Normal"/>
        <w:bidi w:val="0"/>
        <w:spacing w:before="0" w:beforeAutospacing="off" w:after="160" w:afterAutospacing="off" w:line="278" w:lineRule="auto"/>
        <w:ind w:left="0" w:right="0"/>
        <w:jc w:val="left"/>
        <w:rPr>
          <w:rFonts w:ascii="Aptos" w:hAnsi="Aptos" w:eastAsia="Aptos" w:cs="Aptos"/>
          <w:b w:val="1"/>
          <w:bCs w:val="1"/>
          <w:noProof w:val="0"/>
          <w:sz w:val="24"/>
          <w:szCs w:val="24"/>
          <w:lang w:val="en-US"/>
        </w:rPr>
      </w:pPr>
      <w:r w:rsidRPr="5A746606" w:rsidR="296840B2">
        <w:rPr>
          <w:rFonts w:ascii="Aptos" w:hAnsi="Aptos" w:eastAsia="Aptos" w:cs="Aptos"/>
          <w:b w:val="1"/>
          <w:bCs w:val="1"/>
          <w:noProof w:val="0"/>
          <w:sz w:val="24"/>
          <w:szCs w:val="24"/>
          <w:lang w:val="en-US"/>
        </w:rPr>
        <w:t>Data Availability Statement</w:t>
      </w:r>
    </w:p>
    <w:p w:rsidR="296840B2" w:rsidP="5A746606" w:rsidRDefault="296840B2" w14:paraId="7D25CCCB" w14:textId="51B12651">
      <w:pPr>
        <w:pStyle w:val="Normal"/>
        <w:suppressLineNumbers w:val="0"/>
        <w:bidi w:val="0"/>
        <w:spacing w:before="0" w:beforeAutospacing="off" w:after="160" w:afterAutospacing="off" w:line="278" w:lineRule="auto"/>
        <w:ind w:left="0" w:right="0"/>
        <w:jc w:val="left"/>
      </w:pPr>
      <w:r>
        <w:rPr>
          <w:rFonts w:ascii="Aptos" w:hAnsi="Aptos"/>
          <w:sz w:val="304800"/>
        </w:rPr>
        <w:t>The public source datasets used in this study are HUD CDBG-DR DRGR/QPR reports, U.S. Bureau of Labor Statistics QCEW files, and CDC/ATSDR SVI data. The replication package for the published manuscript will include the code, SEM-ready analytic data, derived geography linkage files, and nonrestricted outputs needed to reproduce the reported models, tables, and maps. Public source data will be cited directly, and any remaining manually audited linkage notes will be provided as supplemental derived documentation.</w:t>
      </w:r>
    </w:p>
    <w:p w:rsidR="37F09B24" w:rsidP="09DFBBFF" w:rsidRDefault="37F09B24" w14:paraId="0BFDE3A5" w14:textId="1E55A4CC">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u w:val="none"/>
          <w:lang w:val="en-US"/>
        </w:rPr>
      </w:pPr>
      <w:r w:rsidRPr="5A746606" w:rsidR="37F09B24">
        <w:rPr>
          <w:rFonts w:ascii="Aptos" w:hAnsi="Aptos" w:eastAsia="Aptos" w:cs="Aptos"/>
          <w:b w:val="1"/>
          <w:bCs w:val="1"/>
          <w:noProof w:val="0"/>
          <w:sz w:val="24"/>
          <w:szCs w:val="24"/>
          <w:u w:val="none"/>
          <w:lang w:val="en-US"/>
        </w:rPr>
        <w:t>References</w:t>
      </w:r>
    </w:p>
    <w:p w:rsidR="0016090D" w:rsidP="5A746606" w:rsidRDefault="0016090D" w14:paraId="3C4AECFA" w14:textId="18B62527">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0016090D">
        <w:rPr>
          <w:rFonts w:ascii="Aptos" w:hAnsi="Aptos" w:eastAsia="Aptos" w:cs="Aptos"/>
          <w:b w:val="0"/>
          <w:bCs w:val="0"/>
          <w:i w:val="0"/>
          <w:iCs w:val="0"/>
          <w:caps w:val="0"/>
          <w:smallCaps w:val="0"/>
          <w:noProof w:val="0"/>
          <w:color w:val="000000" w:themeColor="text1" w:themeTint="FF" w:themeShade="FF"/>
          <w:sz w:val="24"/>
          <w:szCs w:val="24"/>
          <w:lang w:val="en-US"/>
        </w:rPr>
        <w:t xml:space="preserve">Annan-Prah, E. C., &amp; Andoh, R. P. K. (2023). Administrative capacity and local level development in metropolitan, municipal and district assemblies in Ghana: mediating role of resource capacity. </w:t>
      </w:r>
      <w:r w:rsidRPr="5A746606" w:rsidR="0016090D">
        <w:rPr>
          <w:rFonts w:ascii="Aptos" w:hAnsi="Aptos" w:eastAsia="Aptos" w:cs="Aptos"/>
          <w:b w:val="0"/>
          <w:bCs w:val="0"/>
          <w:i w:val="1"/>
          <w:iCs w:val="1"/>
          <w:caps w:val="0"/>
          <w:smallCaps w:val="0"/>
          <w:noProof w:val="0"/>
          <w:color w:val="000000" w:themeColor="text1" w:themeTint="FF" w:themeShade="FF"/>
          <w:sz w:val="24"/>
          <w:szCs w:val="24"/>
          <w:lang w:val="en-US"/>
        </w:rPr>
        <w:t>International Journal of Public Sector Management</w:t>
      </w:r>
      <w:r w:rsidRPr="5A746606" w:rsidR="0016090D">
        <w:rPr>
          <w:rFonts w:ascii="Aptos" w:hAnsi="Aptos" w:eastAsia="Aptos" w:cs="Aptos"/>
          <w:b w:val="0"/>
          <w:bCs w:val="0"/>
          <w:i w:val="0"/>
          <w:iCs w:val="0"/>
          <w:caps w:val="0"/>
          <w:smallCaps w:val="0"/>
          <w:noProof w:val="0"/>
          <w:color w:val="000000" w:themeColor="text1" w:themeTint="FF" w:themeShade="FF"/>
          <w:sz w:val="24"/>
          <w:szCs w:val="24"/>
          <w:lang w:val="en-US"/>
        </w:rPr>
        <w:t xml:space="preserve">, 36(3), 253-270. </w:t>
      </w:r>
      <w:hyperlink r:id="Rf65f6a71214147ea">
        <w:r w:rsidRPr="5A746606" w:rsidR="0016090D">
          <w:rPr>
            <w:rStyle w:val="Hyperlink"/>
            <w:rFonts w:ascii="Aptos" w:hAnsi="Aptos" w:eastAsia="Aptos" w:cs="Aptos"/>
            <w:b w:val="0"/>
            <w:bCs w:val="0"/>
            <w:i w:val="0"/>
            <w:iCs w:val="0"/>
            <w:caps w:val="0"/>
            <w:smallCaps w:val="0"/>
            <w:noProof w:val="0"/>
            <w:sz w:val="24"/>
            <w:szCs w:val="24"/>
            <w:lang w:val="en-US"/>
          </w:rPr>
          <w:t>https://doi.org/10.1108/IJPSM-07-2022-0168</w:t>
        </w:r>
      </w:hyperlink>
      <w:r w:rsidRPr="5A746606" w:rsidR="001609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1D23749" w:rsidP="3C60AEA8" w:rsidRDefault="61D23749" w14:paraId="63D8758A" w14:textId="30BB4A0A">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Berke, P., Cooper, J., </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Aminto</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M., </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Grabich</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S., &amp; Horney, J. (2014). Adaptive planning for disaster recovery and resiliency: An evaluation of 87 local recovery plans in eight states. </w:t>
      </w:r>
      <w:r w:rsidRPr="5A746606" w:rsidR="61D23749">
        <w:rPr>
          <w:rFonts w:ascii="Aptos" w:hAnsi="Aptos" w:eastAsia="Aptos" w:cs="Aptos"/>
          <w:b w:val="0"/>
          <w:bCs w:val="0"/>
          <w:i w:val="1"/>
          <w:iCs w:val="1"/>
          <w:caps w:val="0"/>
          <w:smallCaps w:val="0"/>
          <w:noProof w:val="0"/>
          <w:color w:val="000000" w:themeColor="text1" w:themeTint="FF" w:themeShade="FF"/>
          <w:sz w:val="24"/>
          <w:szCs w:val="24"/>
          <w:lang w:val="en-US"/>
        </w:rPr>
        <w:t>Journal of the American Planning Association</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80(4), 310-323. </w:t>
      </w:r>
      <w:hyperlink r:id="R31e2c88fcfd74e61">
        <w:r w:rsidRPr="5A746606" w:rsidR="61D23749">
          <w:rPr>
            <w:rStyle w:val="Hyperlink"/>
            <w:rFonts w:ascii="Aptos" w:hAnsi="Aptos" w:eastAsia="Aptos" w:cs="Aptos"/>
            <w:b w:val="0"/>
            <w:bCs w:val="0"/>
            <w:i w:val="0"/>
            <w:iCs w:val="0"/>
            <w:caps w:val="0"/>
            <w:smallCaps w:val="0"/>
            <w:noProof w:val="0"/>
            <w:sz w:val="24"/>
            <w:szCs w:val="24"/>
            <w:lang w:val="en-US"/>
          </w:rPr>
          <w:t>https://doi.org/10.1080/01944363.2014.976585</w:t>
        </w:r>
      </w:hyperlink>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5099ABA" w:rsidP="5A746606" w:rsidRDefault="65099ABA" w14:paraId="0C56BF81" w14:textId="60C0EF9E">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5099ABA">
        <w:rPr>
          <w:rFonts w:ascii="Aptos" w:hAnsi="Aptos" w:eastAsia="Aptos" w:cs="Aptos"/>
          <w:b w:val="0"/>
          <w:bCs w:val="0"/>
          <w:i w:val="0"/>
          <w:iCs w:val="0"/>
          <w:caps w:val="0"/>
          <w:smallCaps w:val="0"/>
          <w:noProof w:val="0"/>
          <w:color w:val="000000" w:themeColor="text1" w:themeTint="FF" w:themeShade="FF"/>
          <w:sz w:val="24"/>
          <w:szCs w:val="24"/>
          <w:lang w:val="en-US"/>
        </w:rPr>
        <w:t xml:space="preserve">Campbell, D. T., &amp; Riecken, H. W. (1968). Quasi-experimental design. </w:t>
      </w:r>
      <w:r w:rsidRPr="5A746606" w:rsidR="65099ABA">
        <w:rPr>
          <w:rFonts w:ascii="Aptos" w:hAnsi="Aptos" w:eastAsia="Aptos" w:cs="Aptos"/>
          <w:b w:val="0"/>
          <w:bCs w:val="0"/>
          <w:i w:val="1"/>
          <w:iCs w:val="1"/>
          <w:caps w:val="0"/>
          <w:smallCaps w:val="0"/>
          <w:noProof w:val="0"/>
          <w:color w:val="000000" w:themeColor="text1" w:themeTint="FF" w:themeShade="FF"/>
          <w:sz w:val="24"/>
          <w:szCs w:val="24"/>
          <w:lang w:val="en-US"/>
        </w:rPr>
        <w:t xml:space="preserve">International Encyclopedia of the </w:t>
      </w:r>
      <w:r w:rsidRPr="5A746606" w:rsidR="65099ABA">
        <w:rPr>
          <w:rFonts w:ascii="Aptos" w:hAnsi="Aptos" w:eastAsia="Aptos" w:cs="Aptos"/>
          <w:b w:val="0"/>
          <w:bCs w:val="0"/>
          <w:i w:val="1"/>
          <w:iCs w:val="1"/>
          <w:caps w:val="0"/>
          <w:smallCaps w:val="0"/>
          <w:noProof w:val="0"/>
          <w:color w:val="000000" w:themeColor="text1" w:themeTint="FF" w:themeShade="FF"/>
          <w:sz w:val="24"/>
          <w:szCs w:val="24"/>
          <w:lang w:val="en-US"/>
        </w:rPr>
        <w:t>Social Sciences</w:t>
      </w:r>
      <w:r w:rsidRPr="5A746606" w:rsidR="65099ABA">
        <w:rPr>
          <w:rFonts w:ascii="Aptos" w:hAnsi="Aptos" w:eastAsia="Aptos" w:cs="Aptos"/>
          <w:b w:val="0"/>
          <w:bCs w:val="0"/>
          <w:i w:val="0"/>
          <w:iCs w:val="0"/>
          <w:caps w:val="0"/>
          <w:smallCaps w:val="0"/>
          <w:noProof w:val="0"/>
          <w:color w:val="000000" w:themeColor="text1" w:themeTint="FF" w:themeShade="FF"/>
          <w:sz w:val="24"/>
          <w:szCs w:val="24"/>
          <w:lang w:val="en-US"/>
        </w:rPr>
        <w:t xml:space="preserve">, 5(3), 259-263. </w:t>
      </w:r>
      <w:hyperlink r:id="Ref9259ad6bc04529">
        <w:r w:rsidRPr="5A746606" w:rsidR="65099ABA">
          <w:rPr>
            <w:rStyle w:val="Hyperlink"/>
            <w:rFonts w:ascii="Aptos" w:hAnsi="Aptos" w:eastAsia="Aptos" w:cs="Aptos"/>
            <w:b w:val="0"/>
            <w:bCs w:val="0"/>
            <w:i w:val="0"/>
            <w:iCs w:val="0"/>
            <w:caps w:val="0"/>
            <w:smallCaps w:val="0"/>
            <w:noProof w:val="0"/>
            <w:sz w:val="24"/>
            <w:szCs w:val="24"/>
            <w:lang w:val="en-US"/>
          </w:rPr>
          <w:t>http://www.asasrms.org/Proceedings/y1965/Quasi-Experimental%20Design.pdf</w:t>
        </w:r>
      </w:hyperlink>
      <w:r w:rsidRPr="5A746606" w:rsidR="65099AB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82CB494" w:rsidP="0FA9DDF5" w:rsidRDefault="182CB494" w14:paraId="66FDE58B" w14:textId="4B189C19">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82CB494">
        <w:rPr>
          <w:rFonts w:ascii="Aptos" w:hAnsi="Aptos" w:eastAsia="Aptos" w:cs="Aptos"/>
          <w:b w:val="0"/>
          <w:bCs w:val="0"/>
          <w:i w:val="0"/>
          <w:iCs w:val="0"/>
          <w:caps w:val="0"/>
          <w:smallCaps w:val="0"/>
          <w:noProof w:val="0"/>
          <w:color w:val="000000" w:themeColor="text1" w:themeTint="FF" w:themeShade="FF"/>
          <w:sz w:val="24"/>
          <w:szCs w:val="24"/>
          <w:lang w:val="en-US"/>
        </w:rPr>
        <w:t>CDC/ATSDR (</w:t>
      </w:r>
      <w:r w:rsidRPr="0FA9DDF5" w:rsidR="389BAD4B">
        <w:rPr>
          <w:rFonts w:ascii="Aptos" w:hAnsi="Aptos" w:eastAsia="Aptos" w:cs="Aptos"/>
          <w:b w:val="0"/>
          <w:bCs w:val="0"/>
          <w:i w:val="0"/>
          <w:iCs w:val="0"/>
          <w:caps w:val="0"/>
          <w:smallCaps w:val="0"/>
          <w:noProof w:val="0"/>
          <w:color w:val="000000" w:themeColor="text1" w:themeTint="FF" w:themeShade="FF"/>
          <w:sz w:val="24"/>
          <w:szCs w:val="24"/>
          <w:lang w:val="en-US"/>
        </w:rPr>
        <w:t>Centers for Disease Control and Prevention / Agency for Toxic Substances and Disease Registry</w:t>
      </w:r>
      <w:r w:rsidRPr="0FA9DDF5" w:rsidR="0A5E408C">
        <w:rPr>
          <w:rFonts w:ascii="Aptos" w:hAnsi="Aptos" w:eastAsia="Aptos" w:cs="Aptos"/>
          <w:b w:val="0"/>
          <w:bCs w:val="0"/>
          <w:i w:val="0"/>
          <w:iCs w:val="0"/>
          <w:caps w:val="0"/>
          <w:smallCaps w:val="0"/>
          <w:noProof w:val="0"/>
          <w:color w:val="000000" w:themeColor="text1" w:themeTint="FF" w:themeShade="FF"/>
          <w:sz w:val="24"/>
          <w:szCs w:val="24"/>
          <w:lang w:val="en-US"/>
        </w:rPr>
        <w:t>). (2026)</w:t>
      </w:r>
      <w:r w:rsidRPr="0FA9DDF5" w:rsidR="7A1370A0">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389BAD4B">
        <w:rPr>
          <w:rFonts w:ascii="Aptos" w:hAnsi="Aptos" w:eastAsia="Aptos" w:cs="Aptos"/>
          <w:b w:val="0"/>
          <w:bCs w:val="0"/>
          <w:i w:val="0"/>
          <w:iCs w:val="0"/>
          <w:caps w:val="0"/>
          <w:smallCaps w:val="0"/>
          <w:noProof w:val="0"/>
          <w:color w:val="000000" w:themeColor="text1" w:themeTint="FF" w:themeShade="FF"/>
          <w:sz w:val="24"/>
          <w:szCs w:val="24"/>
          <w:lang w:val="en-US"/>
        </w:rPr>
        <w:t xml:space="preserve"> Geospatial Research, Analysis, and Services Program. </w:t>
      </w:r>
      <w:r w:rsidRPr="0FA9DDF5" w:rsidR="389BAD4B">
        <w:rPr>
          <w:rFonts w:ascii="Aptos" w:hAnsi="Aptos" w:eastAsia="Aptos" w:cs="Aptos"/>
          <w:b w:val="0"/>
          <w:bCs w:val="0"/>
          <w:i w:val="1"/>
          <w:iCs w:val="1"/>
          <w:caps w:val="0"/>
          <w:smallCaps w:val="0"/>
          <w:noProof w:val="0"/>
          <w:color w:val="000000" w:themeColor="text1" w:themeTint="FF" w:themeShade="FF"/>
          <w:sz w:val="24"/>
          <w:szCs w:val="24"/>
          <w:lang w:val="en-US"/>
        </w:rPr>
        <w:t>CDC/ATSDR Social Vulnerability Index 2022, 2020, 2018, 2016, 2014, 2010, &amp; 2000 Database U.S.</w:t>
      </w:r>
      <w:r w:rsidRPr="0FA9DDF5" w:rsidR="247E4EA9">
        <w:rPr>
          <w:rFonts w:ascii="Aptos" w:hAnsi="Aptos" w:eastAsia="Aptos" w:cs="Aptos"/>
          <w:b w:val="0"/>
          <w:bCs w:val="0"/>
          <w:i w:val="1"/>
          <w:iCs w:val="1"/>
          <w:caps w:val="0"/>
          <w:smallCaps w:val="0"/>
          <w:noProof w:val="0"/>
          <w:color w:val="000000" w:themeColor="text1" w:themeTint="FF" w:themeShade="FF"/>
          <w:sz w:val="24"/>
          <w:szCs w:val="24"/>
          <w:lang w:val="en-US"/>
        </w:rPr>
        <w:t xml:space="preserve"> </w:t>
      </w:r>
      <w:hyperlink r:id="R0cfd83a326d44148">
        <w:r w:rsidRPr="0FA9DDF5" w:rsidR="389BAD4B">
          <w:rPr>
            <w:rStyle w:val="Hyperlink"/>
            <w:rFonts w:ascii="Aptos" w:hAnsi="Aptos" w:eastAsia="Aptos" w:cs="Aptos"/>
            <w:b w:val="0"/>
            <w:bCs w:val="0"/>
            <w:i w:val="0"/>
            <w:iCs w:val="0"/>
            <w:caps w:val="0"/>
            <w:smallCaps w:val="0"/>
            <w:noProof w:val="0"/>
            <w:sz w:val="24"/>
            <w:szCs w:val="24"/>
            <w:lang w:val="en-US"/>
          </w:rPr>
          <w:t>https://www.atsdr.cdc.gov/placeandhealth/svi/data_documentation_download.html</w:t>
        </w:r>
      </w:hyperlink>
      <w:r w:rsidRPr="0FA9DDF5" w:rsidR="75748FC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6A69A97" w:rsidP="0FA9DDF5" w:rsidRDefault="46A69A97" w14:paraId="75E65DC7" w14:textId="25020CB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46A69A97">
        <w:rPr>
          <w:rFonts w:ascii="Aptos" w:hAnsi="Aptos" w:eastAsia="Aptos" w:cs="Aptos"/>
          <w:b w:val="0"/>
          <w:bCs w:val="0"/>
          <w:i w:val="0"/>
          <w:iCs w:val="0"/>
          <w:caps w:val="0"/>
          <w:smallCaps w:val="0"/>
          <w:noProof w:val="0"/>
          <w:color w:val="000000" w:themeColor="text1" w:themeTint="FF" w:themeShade="FF"/>
          <w:sz w:val="24"/>
          <w:szCs w:val="24"/>
          <w:lang w:val="en-US"/>
        </w:rPr>
        <w:t>Cevik</w:t>
      </w:r>
      <w:r w:rsidRPr="0FA9DDF5" w:rsidR="46A69A97">
        <w:rPr>
          <w:rFonts w:ascii="Aptos" w:hAnsi="Aptos" w:eastAsia="Aptos" w:cs="Aptos"/>
          <w:b w:val="0"/>
          <w:bCs w:val="0"/>
          <w:i w:val="0"/>
          <w:iCs w:val="0"/>
          <w:caps w:val="0"/>
          <w:smallCaps w:val="0"/>
          <w:noProof w:val="0"/>
          <w:color w:val="000000" w:themeColor="text1" w:themeTint="FF" w:themeShade="FF"/>
          <w:sz w:val="24"/>
          <w:szCs w:val="24"/>
          <w:lang w:val="en-US"/>
        </w:rPr>
        <w:t xml:space="preserve">, M. S., &amp; Huang, G. (2018). </w:t>
      </w:r>
      <w:r w:rsidRPr="0FA9DDF5" w:rsidR="46A69A97">
        <w:rPr>
          <w:rFonts w:ascii="Aptos" w:hAnsi="Aptos" w:eastAsia="Aptos" w:cs="Aptos"/>
          <w:b w:val="0"/>
          <w:bCs w:val="0"/>
          <w:i w:val="1"/>
          <w:iCs w:val="1"/>
          <w:caps w:val="0"/>
          <w:smallCaps w:val="0"/>
          <w:noProof w:val="0"/>
          <w:color w:val="000000" w:themeColor="text1" w:themeTint="FF" w:themeShade="FF"/>
          <w:sz w:val="24"/>
          <w:szCs w:val="24"/>
          <w:lang w:val="en-US"/>
        </w:rPr>
        <w:t>How to manage the fiscal costs of natural disasters</w:t>
      </w:r>
      <w:r w:rsidRPr="0FA9DDF5" w:rsidR="46A69A97">
        <w:rPr>
          <w:rFonts w:ascii="Aptos" w:hAnsi="Aptos" w:eastAsia="Aptos" w:cs="Aptos"/>
          <w:b w:val="0"/>
          <w:bCs w:val="0"/>
          <w:i w:val="0"/>
          <w:iCs w:val="0"/>
          <w:caps w:val="0"/>
          <w:smallCaps w:val="0"/>
          <w:noProof w:val="0"/>
          <w:color w:val="000000" w:themeColor="text1" w:themeTint="FF" w:themeShade="FF"/>
          <w:sz w:val="24"/>
          <w:szCs w:val="24"/>
          <w:lang w:val="en-US"/>
        </w:rPr>
        <w:t>. International Monetary Fund.</w:t>
      </w:r>
    </w:p>
    <w:p w:rsidR="61C6D4CD" w:rsidP="0FA9DDF5" w:rsidRDefault="61C6D4CD" w14:paraId="72D627A9" w14:textId="631F725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t>Costa, R., Mann, B., Sobhani, A., Hamideh, S., Nejat, A., &amp; Ross, A. (2026). From Allocation to Action: A Comparative Analysis of CDBG-DR Funding Expenditures for 2017 Disasters in California, Florida, and Texas [working paper / SSRN preprint]. http://dx.doi.org/10.2139/ssrn.6153946</w:t>
      </w:r>
    </w:p>
    <w:p w:rsidR="03F05929" w:rsidP="0FA9DDF5" w:rsidRDefault="03F05929" w14:paraId="6490F2E5" w14:textId="58AF7BC7">
      <w:pPr>
        <w:suppressLineNumbers w:val="0"/>
        <w:bidi w:val="0"/>
        <w:spacing w:before="240" w:beforeAutospacing="off" w:after="240" w:afterAutospacing="off" w:line="278" w:lineRule="auto"/>
        <w:ind/>
        <w:rPr>
          <w:rFonts w:ascii="Aptos" w:hAnsi="Aptos" w:eastAsia="Aptos" w:cs="Aptos"/>
          <w:b w:val="0"/>
          <w:bCs w:val="0"/>
          <w:i w:val="0"/>
          <w:iCs w:val="0"/>
          <w:caps w:val="0"/>
          <w:smallCaps w:val="0"/>
          <w:strike w:val="0"/>
          <w:dstrike w:val="0"/>
          <w:noProof w:val="0"/>
          <w:sz w:val="24"/>
          <w:szCs w:val="24"/>
          <w:lang w:val="en-US"/>
        </w:rPr>
      </w:pPr>
      <w:r w:rsidRPr="0FA9DDF5" w:rsidR="477A971E">
        <w:rPr>
          <w:rFonts w:ascii="Aptos" w:hAnsi="Aptos" w:eastAsia="Aptos" w:cs="Aptos"/>
          <w:b w:val="0"/>
          <w:bCs w:val="0"/>
          <w:i w:val="0"/>
          <w:iCs w:val="0"/>
          <w:caps w:val="0"/>
          <w:smallCaps w:val="0"/>
          <w:noProof w:val="0"/>
          <w:color w:val="000000" w:themeColor="text1" w:themeTint="FF" w:themeShade="FF"/>
          <w:sz w:val="24"/>
          <w:szCs w:val="24"/>
          <w:lang w:val="en-US"/>
        </w:rPr>
        <w:t>Cutter, S. L., Ash, K. D., &amp; Emrich, C. T. (2016). Urban</w:t>
      </w:r>
      <w:r w:rsidRPr="0FA9DDF5" w:rsidR="3DE455E1">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477A971E">
        <w:rPr>
          <w:rFonts w:ascii="Aptos" w:hAnsi="Aptos" w:eastAsia="Aptos" w:cs="Aptos"/>
          <w:b w:val="0"/>
          <w:bCs w:val="0"/>
          <w:i w:val="0"/>
          <w:iCs w:val="0"/>
          <w:caps w:val="0"/>
          <w:smallCaps w:val="0"/>
          <w:noProof w:val="0"/>
          <w:color w:val="000000" w:themeColor="text1" w:themeTint="FF" w:themeShade="FF"/>
          <w:sz w:val="24"/>
          <w:szCs w:val="24"/>
          <w:lang w:val="en-US"/>
        </w:rPr>
        <w:t xml:space="preserve">rural differences in disaster resilience. </w:t>
      </w:r>
      <w:r w:rsidRPr="0FA9DDF5" w:rsidR="477A971E">
        <w:rPr>
          <w:rFonts w:ascii="Aptos" w:hAnsi="Aptos" w:eastAsia="Aptos" w:cs="Aptos"/>
          <w:b w:val="0"/>
          <w:bCs w:val="0"/>
          <w:i w:val="1"/>
          <w:iCs w:val="1"/>
          <w:caps w:val="0"/>
          <w:smallCaps w:val="0"/>
          <w:noProof w:val="0"/>
          <w:color w:val="000000" w:themeColor="text1" w:themeTint="FF" w:themeShade="FF"/>
          <w:sz w:val="24"/>
          <w:szCs w:val="24"/>
          <w:lang w:val="en-US"/>
        </w:rPr>
        <w:t>Annals of the American Association of Geographers</w:t>
      </w:r>
      <w:r w:rsidRPr="0FA9DDF5" w:rsidR="477A971E">
        <w:rPr>
          <w:rFonts w:ascii="Aptos" w:hAnsi="Aptos" w:eastAsia="Aptos" w:cs="Aptos"/>
          <w:b w:val="0"/>
          <w:bCs w:val="0"/>
          <w:i w:val="0"/>
          <w:iCs w:val="0"/>
          <w:caps w:val="0"/>
          <w:smallCaps w:val="0"/>
          <w:noProof w:val="0"/>
          <w:color w:val="000000" w:themeColor="text1" w:themeTint="FF" w:themeShade="FF"/>
          <w:sz w:val="24"/>
          <w:szCs w:val="24"/>
          <w:lang w:val="en-US"/>
        </w:rPr>
        <w:t>, 106(6), 1236-1252.</w:t>
      </w:r>
      <w:r w:rsidRPr="0FA9DDF5" w:rsidR="5894F86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ee41d9a84b8f4865">
        <w:r w:rsidRPr="0FA9DDF5" w:rsidR="5894F862">
          <w:rPr>
            <w:rStyle w:val="Hyperlink"/>
            <w:rFonts w:ascii="Aptos" w:hAnsi="Aptos" w:eastAsia="Aptos" w:cs="Aptos"/>
            <w:b w:val="0"/>
            <w:bCs w:val="0"/>
            <w:i w:val="0"/>
            <w:iCs w:val="0"/>
            <w:caps w:val="0"/>
            <w:smallCaps w:val="0"/>
            <w:noProof w:val="0"/>
            <w:sz w:val="24"/>
            <w:szCs w:val="24"/>
            <w:lang w:val="en-US"/>
          </w:rPr>
          <w:t>https://doi.org/10.1080/24694452.2016.1194740</w:t>
        </w:r>
      </w:hyperlink>
      <w:r w:rsidRPr="0FA9DDF5" w:rsidR="5894F86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18157C2" w:rsidP="0FA9DDF5" w:rsidRDefault="318157C2" w14:paraId="001B1896" w14:textId="47B5C3A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1475CE3F" w:rsidP="0FA9DDF5" w:rsidRDefault="1475CE3F" w14:paraId="52316062" w14:textId="306545BD">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Dzigbede</w:t>
      </w:r>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 xml:space="preserve">, K. D., Gehl, S. B., &amp; Willoughby, K. (2020). Disaster resiliency of US local governments: Insights to strengthen local response and recovery from the COVID‐19 pandemic. </w:t>
      </w:r>
      <w:r w:rsidRPr="0FA9DDF5" w:rsidR="1475CE3F">
        <w:rPr>
          <w:rFonts w:ascii="Aptos" w:hAnsi="Aptos" w:eastAsia="Aptos" w:cs="Aptos"/>
          <w:b w:val="0"/>
          <w:bCs w:val="0"/>
          <w:i w:val="1"/>
          <w:iCs w:val="1"/>
          <w:caps w:val="0"/>
          <w:smallCaps w:val="0"/>
          <w:noProof w:val="0"/>
          <w:color w:val="000000" w:themeColor="text1" w:themeTint="FF" w:themeShade="FF"/>
          <w:sz w:val="24"/>
          <w:szCs w:val="24"/>
          <w:lang w:val="en-US"/>
        </w:rPr>
        <w:t>Public Administration Review</w:t>
      </w:r>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 xml:space="preserve">, 80(4), 634-643. </w:t>
      </w:r>
      <w:hyperlink r:id="Reda8d68f79af43e7">
        <w:r w:rsidRPr="0FA9DDF5" w:rsidR="1475CE3F">
          <w:rPr>
            <w:rStyle w:val="Hyperlink"/>
            <w:rFonts w:ascii="Aptos" w:hAnsi="Aptos" w:eastAsia="Aptos" w:cs="Aptos"/>
            <w:b w:val="0"/>
            <w:bCs w:val="0"/>
            <w:i w:val="0"/>
            <w:iCs w:val="0"/>
            <w:caps w:val="0"/>
            <w:smallCaps w:val="0"/>
            <w:noProof w:val="0"/>
            <w:sz w:val="24"/>
            <w:szCs w:val="24"/>
            <w:lang w:val="en-US"/>
          </w:rPr>
          <w:t>https://doi.org/10.1111/puar.13249</w:t>
        </w:r>
      </w:hyperlink>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3CC59EC" w:rsidP="0FA9DDF5" w:rsidRDefault="73CC59EC" w14:paraId="090F8BFC" w14:textId="06BF012C">
      <w:pPr>
        <w:pStyle w:val="Normal"/>
        <w:suppressLineNumbers w:val="0"/>
        <w:bidi w:val="0"/>
        <w:spacing w:before="240" w:beforeAutospacing="off" w:after="240" w:afterAutospacing="off" w:line="278" w:lineRule="auto"/>
        <w:rPr>
          <w:rFonts w:ascii="Aptos" w:hAnsi="Aptos" w:eastAsia="Aptos" w:cs="Aptos"/>
          <w:noProof w:val="0"/>
          <w:sz w:val="24"/>
          <w:szCs w:val="24"/>
          <w:lang w:val="en-US"/>
        </w:rPr>
      </w:pPr>
      <w:r w:rsidRPr="0FA9DDF5" w:rsidR="73CC59EC">
        <w:rPr>
          <w:rFonts w:ascii="Aptos" w:hAnsi="Aptos" w:eastAsia="Aptos" w:cs="Aptos"/>
          <w:noProof w:val="0"/>
          <w:sz w:val="24"/>
          <w:szCs w:val="24"/>
          <w:lang w:val="en-US"/>
        </w:rPr>
        <w:t>El-</w:t>
      </w:r>
      <w:r w:rsidRPr="0FA9DDF5" w:rsidR="73CC59EC">
        <w:rPr>
          <w:rFonts w:ascii="Aptos" w:hAnsi="Aptos" w:eastAsia="Aptos" w:cs="Aptos"/>
          <w:noProof w:val="0"/>
          <w:sz w:val="24"/>
          <w:szCs w:val="24"/>
          <w:lang w:val="en-US"/>
        </w:rPr>
        <w:t>Taliawi</w:t>
      </w:r>
      <w:r w:rsidRPr="0FA9DDF5" w:rsidR="73CC59EC">
        <w:rPr>
          <w:rFonts w:ascii="Aptos" w:hAnsi="Aptos" w:eastAsia="Aptos" w:cs="Aptos"/>
          <w:noProof w:val="0"/>
          <w:sz w:val="24"/>
          <w:szCs w:val="24"/>
          <w:lang w:val="en-US"/>
        </w:rPr>
        <w:t xml:space="preserve">, O. G., &amp; Van Der Wal, Z. (2019). Developing administrative capacity: An agenda for research and practice. </w:t>
      </w:r>
      <w:r w:rsidRPr="0FA9DDF5" w:rsidR="73CC59EC">
        <w:rPr>
          <w:rFonts w:ascii="Aptos" w:hAnsi="Aptos" w:eastAsia="Aptos" w:cs="Aptos"/>
          <w:i w:val="1"/>
          <w:iCs w:val="1"/>
          <w:noProof w:val="0"/>
          <w:sz w:val="24"/>
          <w:szCs w:val="24"/>
          <w:lang w:val="en-US"/>
        </w:rPr>
        <w:t>Policy Design and Practice</w:t>
      </w:r>
      <w:r w:rsidRPr="0FA9DDF5" w:rsidR="73CC59EC">
        <w:rPr>
          <w:rFonts w:ascii="Aptos" w:hAnsi="Aptos" w:eastAsia="Aptos" w:cs="Aptos"/>
          <w:noProof w:val="0"/>
          <w:sz w:val="24"/>
          <w:szCs w:val="24"/>
          <w:lang w:val="en-US"/>
        </w:rPr>
        <w:t xml:space="preserve">, 2(3), 243-257. </w:t>
      </w:r>
      <w:hyperlink r:id="R9ef2b2ce09334168">
        <w:r w:rsidRPr="0FA9DDF5" w:rsidR="73CC59EC">
          <w:rPr>
            <w:rStyle w:val="Hyperlink"/>
            <w:rFonts w:ascii="Aptos" w:hAnsi="Aptos" w:eastAsia="Aptos" w:cs="Aptos"/>
            <w:noProof w:val="0"/>
            <w:sz w:val="24"/>
            <w:szCs w:val="24"/>
            <w:lang w:val="en-US"/>
          </w:rPr>
          <w:t>https://doi.org/10.1080/25741292.2019.1595916</w:t>
        </w:r>
      </w:hyperlink>
      <w:r w:rsidRPr="0FA9DDF5" w:rsidR="73CC59EC">
        <w:rPr>
          <w:rFonts w:ascii="Aptos" w:hAnsi="Aptos" w:eastAsia="Aptos" w:cs="Aptos"/>
          <w:noProof w:val="0"/>
          <w:sz w:val="24"/>
          <w:szCs w:val="24"/>
          <w:lang w:val="en-US"/>
        </w:rPr>
        <w:t xml:space="preserve"> </w:t>
      </w:r>
    </w:p>
    <w:p w:rsidR="03F05929" w:rsidP="0FA9DDF5" w:rsidRDefault="03F05929" w14:paraId="0234B1FF" w14:textId="4DB9EF95">
      <w:pPr>
        <w:suppressLineNumbers w:val="0"/>
        <w:bidi w:val="0"/>
        <w:spacing w:before="240" w:beforeAutospacing="off" w:after="240" w:afterAutospacing="off" w:line="278" w:lineRule="auto"/>
        <w:ind/>
        <w:rPr>
          <w:rFonts w:ascii="Aptos" w:hAnsi="Aptos" w:eastAsia="Aptos" w:cs="Aptos"/>
          <w:b w:val="0"/>
          <w:bCs w:val="0"/>
          <w:i w:val="0"/>
          <w:iCs w:val="0"/>
          <w:caps w:val="0"/>
          <w:smallCaps w:val="0"/>
          <w:strike w:val="0"/>
          <w:dstrike w:val="0"/>
          <w:noProof w:val="0"/>
          <w:sz w:val="24"/>
          <w:szCs w:val="24"/>
          <w:lang w:val="en-US"/>
        </w:rPr>
      </w:pPr>
      <w:r>
        <w:rPr>
          <w:rFonts w:ascii="Aptos" w:hAnsi="Aptos"/>
          <w:b w:val="0"/>
          <w:i w:val="0"/>
          <w:sz w:val="304800"/>
        </w:rPr>
      </w:r>
    </w:p>
    <w:p w:rsidR="7B8D4D4C" w:rsidP="5A746606" w:rsidRDefault="7B8D4D4C" w14:paraId="7556DC7A" w14:textId="0F2E90A4">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rFonts w:ascii="Aptos" w:hAnsi="Aptos"/>
          <w:b w:val="0"/>
          <w:i w:val="0"/>
          <w:sz w:val="304800"/>
        </w:rPr>
      </w:r>
    </w:p>
    <w:p w:rsidR="303165A9" w:rsidP="0FA9DDF5" w:rsidRDefault="303165A9" w14:paraId="6F532B14" w14:textId="39C2E4D7">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rFonts w:ascii="Aptos" w:hAnsi="Aptos"/>
          <w:b w:val="0"/>
          <w:i w:val="0"/>
          <w:sz w:val="304800"/>
        </w:rPr>
      </w:r>
    </w:p>
    <w:p w:rsidR="0A551F50" w:rsidP="0FA9DDF5" w:rsidRDefault="0A551F50" w14:paraId="26F0B03B" w14:textId="0CB31F66">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rFonts w:ascii="Aptos" w:hAnsi="Aptos"/>
          <w:b w:val="0"/>
          <w:i w:val="0"/>
          <w:sz w:val="304800"/>
        </w:rPr>
        <w:t>Gigasheet. (2026). List of All U.S. Counties and Cities Spreadsheet (public lookup table used for preliminary city-to-county matching). https://www.gigasheet.com/sample-data/list-of-all-us-counties-and-cities-spreadsheet</w:t>
      </w:r>
    </w:p>
    <w:p w:rsidR="1B77A81D" w:rsidP="5A746606" w:rsidRDefault="1B77A81D" w14:paraId="1FF2AAB3" w14:textId="443D462A">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rFonts w:ascii="Aptos" w:hAnsi="Aptos"/>
          <w:b w:val="0"/>
          <w:i w:val="0"/>
          <w:sz w:val="304800"/>
        </w:rPr>
      </w:r>
    </w:p>
    <w:p w:rsidR="38DAB685" w:rsidP="0FA9DDF5" w:rsidRDefault="38DAB685" w14:paraId="59A8C876" w14:textId="6C56B8AD">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0FA9DDF5" w:rsidR="38DAB685">
        <w:rPr>
          <w:rFonts w:ascii="Aptos" w:hAnsi="Aptos" w:eastAsia="Aptos" w:cs="Aptos"/>
          <w:b w:val="0"/>
          <w:bCs w:val="0"/>
          <w:i w:val="0"/>
          <w:iCs w:val="0"/>
          <w:caps w:val="0"/>
          <w:smallCaps w:val="0"/>
          <w:strike w:val="0"/>
          <w:dstrike w:val="0"/>
          <w:noProof w:val="0"/>
          <w:sz w:val="24"/>
          <w:szCs w:val="24"/>
          <w:lang w:val="en-US"/>
        </w:rPr>
        <w:t xml:space="preserve">Guo, L., Liu, F., Zhu, W., Cheng, J., Zhang, L., Zhang, B., ... &amp; Yu, C. (2025). Pathways from early-life urbanicity to adult neurobehavioral traits via menarche timing. </w:t>
      </w:r>
      <w:r w:rsidRPr="0FA9DDF5" w:rsidR="38DAB685">
        <w:rPr>
          <w:rFonts w:ascii="Aptos" w:hAnsi="Aptos" w:eastAsia="Aptos" w:cs="Aptos"/>
          <w:b w:val="0"/>
          <w:bCs w:val="0"/>
          <w:i w:val="1"/>
          <w:iCs w:val="1"/>
          <w:caps w:val="0"/>
          <w:smallCaps w:val="0"/>
          <w:strike w:val="0"/>
          <w:dstrike w:val="0"/>
          <w:noProof w:val="0"/>
          <w:sz w:val="24"/>
          <w:szCs w:val="24"/>
          <w:lang w:val="en-US"/>
        </w:rPr>
        <w:t>Nature Cities</w:t>
      </w:r>
      <w:r w:rsidRPr="0FA9DDF5" w:rsidR="38DAB685">
        <w:rPr>
          <w:rFonts w:ascii="Aptos" w:hAnsi="Aptos" w:eastAsia="Aptos" w:cs="Aptos"/>
          <w:b w:val="0"/>
          <w:bCs w:val="0"/>
          <w:i w:val="0"/>
          <w:iCs w:val="0"/>
          <w:caps w:val="0"/>
          <w:smallCaps w:val="0"/>
          <w:strike w:val="0"/>
          <w:dstrike w:val="0"/>
          <w:noProof w:val="0"/>
          <w:sz w:val="24"/>
          <w:szCs w:val="24"/>
          <w:lang w:val="en-US"/>
        </w:rPr>
        <w:t xml:space="preserve">, 2(12), 1226-1239. </w:t>
      </w:r>
      <w:hyperlink r:id="Rda8ed98192c84b45">
        <w:r w:rsidRPr="0FA9DDF5" w:rsidR="38DAB685">
          <w:rPr>
            <w:rStyle w:val="Hyperlink"/>
            <w:rFonts w:ascii="Aptos" w:hAnsi="Aptos" w:eastAsia="Aptos" w:cs="Aptos"/>
            <w:b w:val="0"/>
            <w:bCs w:val="0"/>
            <w:i w:val="0"/>
            <w:iCs w:val="0"/>
            <w:caps w:val="0"/>
            <w:smallCaps w:val="0"/>
            <w:strike w:val="0"/>
            <w:dstrike w:val="0"/>
            <w:noProof w:val="0"/>
            <w:sz w:val="24"/>
            <w:szCs w:val="24"/>
            <w:lang w:val="en-US"/>
          </w:rPr>
          <w:t>https://doi.org/10.1038/s44284-025-00352-5</w:t>
        </w:r>
      </w:hyperlink>
      <w:r w:rsidRPr="0FA9DDF5" w:rsidR="38DAB685">
        <w:rPr>
          <w:rFonts w:ascii="Aptos" w:hAnsi="Aptos" w:eastAsia="Aptos" w:cs="Aptos"/>
          <w:b w:val="0"/>
          <w:bCs w:val="0"/>
          <w:i w:val="0"/>
          <w:iCs w:val="0"/>
          <w:caps w:val="0"/>
          <w:smallCaps w:val="0"/>
          <w:strike w:val="0"/>
          <w:dstrike w:val="0"/>
          <w:noProof w:val="0"/>
          <w:sz w:val="24"/>
          <w:szCs w:val="24"/>
          <w:lang w:val="en-US"/>
        </w:rPr>
        <w:t xml:space="preserve"> </w:t>
      </w:r>
    </w:p>
    <w:p w:rsidR="1960B825" w:rsidP="0FA9DDF5" w:rsidRDefault="1960B825" w14:paraId="0C7A2B4D" w14:textId="66D08C5D">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0FA9DDF5" w:rsidR="1960B825">
        <w:rPr>
          <w:rFonts w:ascii="Aptos" w:hAnsi="Aptos" w:eastAsia="Aptos" w:cs="Aptos"/>
          <w:b w:val="0"/>
          <w:bCs w:val="0"/>
          <w:i w:val="0"/>
          <w:iCs w:val="0"/>
          <w:caps w:val="0"/>
          <w:smallCaps w:val="0"/>
          <w:strike w:val="0"/>
          <w:dstrike w:val="0"/>
          <w:noProof w:val="0"/>
          <w:sz w:val="24"/>
          <w:szCs w:val="24"/>
          <w:lang w:val="en-US"/>
        </w:rPr>
        <w:t xml:space="preserve">Hamideh, S. (2015). </w:t>
      </w:r>
      <w:r w:rsidRPr="0FA9DDF5" w:rsidR="1960B825">
        <w:rPr>
          <w:rFonts w:ascii="Aptos" w:hAnsi="Aptos" w:eastAsia="Aptos" w:cs="Aptos"/>
          <w:b w:val="0"/>
          <w:bCs w:val="0"/>
          <w:i w:val="1"/>
          <w:iCs w:val="1"/>
          <w:caps w:val="0"/>
          <w:smallCaps w:val="0"/>
          <w:strike w:val="0"/>
          <w:dstrike w:val="0"/>
          <w:noProof w:val="0"/>
          <w:sz w:val="24"/>
          <w:szCs w:val="24"/>
          <w:lang w:val="en-US"/>
        </w:rPr>
        <w:t>Planning for disaster recovery: Lessons from Hurricane Ike for theory and practice</w:t>
      </w:r>
      <w:r w:rsidRPr="0FA9DDF5" w:rsidR="1960B825">
        <w:rPr>
          <w:rFonts w:ascii="Aptos" w:hAnsi="Aptos" w:eastAsia="Aptos" w:cs="Aptos"/>
          <w:b w:val="0"/>
          <w:bCs w:val="0"/>
          <w:i w:val="0"/>
          <w:iCs w:val="0"/>
          <w:caps w:val="0"/>
          <w:smallCaps w:val="0"/>
          <w:strike w:val="0"/>
          <w:dstrike w:val="0"/>
          <w:noProof w:val="0"/>
          <w:sz w:val="24"/>
          <w:szCs w:val="24"/>
          <w:lang w:val="en-US"/>
        </w:rPr>
        <w:t xml:space="preserve"> (Doctoral dissertation). </w:t>
      </w:r>
      <w:hyperlink r:id="Rd13d92e471eb49ec">
        <w:r w:rsidRPr="0FA9DDF5" w:rsidR="1960B825">
          <w:rPr>
            <w:rStyle w:val="Hyperlink"/>
            <w:rFonts w:ascii="Aptos" w:hAnsi="Aptos" w:eastAsia="Aptos" w:cs="Aptos"/>
            <w:b w:val="0"/>
            <w:bCs w:val="0"/>
            <w:i w:val="0"/>
            <w:iCs w:val="0"/>
            <w:caps w:val="0"/>
            <w:smallCaps w:val="0"/>
            <w:strike w:val="0"/>
            <w:dstrike w:val="0"/>
            <w:noProof w:val="0"/>
            <w:sz w:val="24"/>
            <w:szCs w:val="24"/>
            <w:lang w:val="en-US"/>
          </w:rPr>
          <w:t>https://hdl.handle.net/1969.1/155735</w:t>
        </w:r>
      </w:hyperlink>
      <w:r w:rsidRPr="0FA9DDF5" w:rsidR="1960B825">
        <w:rPr>
          <w:rFonts w:ascii="Aptos" w:hAnsi="Aptos" w:eastAsia="Aptos" w:cs="Aptos"/>
          <w:b w:val="0"/>
          <w:bCs w:val="0"/>
          <w:i w:val="0"/>
          <w:iCs w:val="0"/>
          <w:caps w:val="0"/>
          <w:smallCaps w:val="0"/>
          <w:strike w:val="0"/>
          <w:dstrike w:val="0"/>
          <w:noProof w:val="0"/>
          <w:sz w:val="24"/>
          <w:szCs w:val="24"/>
          <w:lang w:val="en-US"/>
        </w:rPr>
        <w:t xml:space="preserve"> </w:t>
      </w:r>
    </w:p>
    <w:p w:rsidR="4FB5917C" w:rsidP="0FA9DDF5" w:rsidRDefault="4FB5917C" w14:paraId="11F61B9E" w14:textId="6860CD4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4FB5917C">
        <w:rPr>
          <w:rFonts w:ascii="Aptos" w:hAnsi="Aptos" w:eastAsia="Aptos" w:cs="Aptos"/>
          <w:b w:val="0"/>
          <w:bCs w:val="0"/>
          <w:i w:val="0"/>
          <w:iCs w:val="0"/>
          <w:caps w:val="0"/>
          <w:smallCaps w:val="0"/>
          <w:noProof w:val="0"/>
          <w:color w:val="000000" w:themeColor="text1" w:themeTint="FF" w:themeShade="FF"/>
          <w:sz w:val="24"/>
          <w:szCs w:val="24"/>
          <w:lang w:val="en-US"/>
        </w:rPr>
        <w:t xml:space="preserve">Hair, J.F., Hult, G.T.M., Ringle, C.M., Sarstedt, M., Danks, N.P., Ray, S. (2021). An Introduction to Structural Equation Modeling. In: </w:t>
      </w:r>
      <w:r w:rsidRPr="5A746606" w:rsidR="4FB5917C">
        <w:rPr>
          <w:rFonts w:ascii="Aptos" w:hAnsi="Aptos" w:eastAsia="Aptos" w:cs="Aptos"/>
          <w:b w:val="0"/>
          <w:bCs w:val="0"/>
          <w:i w:val="1"/>
          <w:iCs w:val="1"/>
          <w:caps w:val="0"/>
          <w:smallCaps w:val="0"/>
          <w:noProof w:val="0"/>
          <w:color w:val="000000" w:themeColor="text1" w:themeTint="FF" w:themeShade="FF"/>
          <w:sz w:val="24"/>
          <w:szCs w:val="24"/>
          <w:lang w:val="en-US"/>
        </w:rPr>
        <w:t>Partial Least Squares Structural Equation Modeling (PLS-SEM) Using R</w:t>
      </w:r>
      <w:r w:rsidRPr="5A746606" w:rsidR="4FB5917C">
        <w:rPr>
          <w:rFonts w:ascii="Aptos" w:hAnsi="Aptos" w:eastAsia="Aptos" w:cs="Aptos"/>
          <w:b w:val="0"/>
          <w:bCs w:val="0"/>
          <w:i w:val="0"/>
          <w:iCs w:val="0"/>
          <w:caps w:val="0"/>
          <w:smallCaps w:val="0"/>
          <w:noProof w:val="0"/>
          <w:color w:val="000000" w:themeColor="text1" w:themeTint="FF" w:themeShade="FF"/>
          <w:sz w:val="24"/>
          <w:szCs w:val="24"/>
          <w:lang w:val="en-US"/>
        </w:rPr>
        <w:t xml:space="preserve">. Classroom Companion: Business. Springer, Cham. </w:t>
      </w:r>
      <w:hyperlink r:id="R647d504642e148ca">
        <w:r w:rsidRPr="5A746606" w:rsidR="4FB5917C">
          <w:rPr>
            <w:rStyle w:val="Hyperlink"/>
            <w:rFonts w:ascii="Aptos" w:hAnsi="Aptos" w:eastAsia="Aptos" w:cs="Aptos"/>
            <w:b w:val="0"/>
            <w:bCs w:val="0"/>
            <w:i w:val="0"/>
            <w:iCs w:val="0"/>
            <w:caps w:val="0"/>
            <w:smallCaps w:val="0"/>
            <w:noProof w:val="0"/>
            <w:sz w:val="24"/>
            <w:szCs w:val="24"/>
            <w:lang w:val="en-US"/>
          </w:rPr>
          <w:t>https://doi.org/10.1007/978-3-030-80519-7_1</w:t>
        </w:r>
      </w:hyperlink>
      <w:r w:rsidRPr="5A746606" w:rsidR="4FB5917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7D0D2E7" w:rsidP="5A746606" w:rsidRDefault="07D0D2E7" w14:paraId="6608E5E5" w14:textId="465F6B9F">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07D0D2E7">
        <w:rPr>
          <w:rFonts w:ascii="Aptos" w:hAnsi="Aptos" w:eastAsia="Aptos" w:cs="Aptos"/>
          <w:b w:val="0"/>
          <w:bCs w:val="0"/>
          <w:i w:val="0"/>
          <w:iCs w:val="0"/>
          <w:caps w:val="0"/>
          <w:smallCaps w:val="0"/>
          <w:noProof w:val="0"/>
          <w:color w:val="000000" w:themeColor="text1" w:themeTint="FF" w:themeShade="FF"/>
          <w:sz w:val="24"/>
          <w:szCs w:val="24"/>
          <w:lang w:val="en-US"/>
        </w:rPr>
        <w:t>Hu, J., Tan, C., Jiao, Y., Mou, X., &amp; Wu, P. (2025). The associational relationships between multidimensional digital literacy and wage income: evidence from urban–rural heterogeneity.</w:t>
      </w:r>
      <w:r w:rsidRPr="5A746606" w:rsidR="07D0D2E7">
        <w:rPr>
          <w:rFonts w:ascii="Aptos" w:hAnsi="Aptos" w:eastAsia="Aptos" w:cs="Aptos"/>
          <w:b w:val="0"/>
          <w:bCs w:val="0"/>
          <w:i w:val="1"/>
          <w:iCs w:val="1"/>
          <w:caps w:val="0"/>
          <w:smallCaps w:val="0"/>
          <w:noProof w:val="0"/>
          <w:color w:val="000000" w:themeColor="text1" w:themeTint="FF" w:themeShade="FF"/>
          <w:sz w:val="24"/>
          <w:szCs w:val="24"/>
          <w:lang w:val="en-US"/>
        </w:rPr>
        <w:t xml:space="preserve"> Scientific Reports</w:t>
      </w:r>
      <w:r w:rsidRPr="5A746606" w:rsidR="07D0D2E7">
        <w:rPr>
          <w:rFonts w:ascii="Aptos" w:hAnsi="Aptos" w:eastAsia="Aptos" w:cs="Aptos"/>
          <w:b w:val="0"/>
          <w:bCs w:val="0"/>
          <w:i w:val="0"/>
          <w:iCs w:val="0"/>
          <w:caps w:val="0"/>
          <w:smallCaps w:val="0"/>
          <w:noProof w:val="0"/>
          <w:color w:val="000000" w:themeColor="text1" w:themeTint="FF" w:themeShade="FF"/>
          <w:sz w:val="24"/>
          <w:szCs w:val="24"/>
          <w:lang w:val="en-US"/>
        </w:rPr>
        <w:t xml:space="preserve">, 15(1), 42830. </w:t>
      </w:r>
      <w:hyperlink r:id="Rdcea0e934813497f">
        <w:r w:rsidRPr="5A746606" w:rsidR="07D0D2E7">
          <w:rPr>
            <w:rStyle w:val="Hyperlink"/>
            <w:rFonts w:ascii="Aptos" w:hAnsi="Aptos" w:eastAsia="Aptos" w:cs="Aptos"/>
            <w:b w:val="0"/>
            <w:bCs w:val="0"/>
            <w:i w:val="0"/>
            <w:iCs w:val="0"/>
            <w:caps w:val="0"/>
            <w:smallCaps w:val="0"/>
            <w:noProof w:val="0"/>
            <w:sz w:val="24"/>
            <w:szCs w:val="24"/>
            <w:lang w:val="en-US"/>
          </w:rPr>
          <w:t>https://doi.org/10.1038/s41598-025-28467-8</w:t>
        </w:r>
      </w:hyperlink>
      <w:r w:rsidRPr="5A746606" w:rsidR="07D0D2E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6769189" w:rsidP="3C60AEA8" w:rsidRDefault="06769189" w14:paraId="292E9586" w14:textId="621966B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Ishiwatari</w:t>
      </w:r>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 xml:space="preserve">, M. (2021). Institutional coordination of disaster management: Engaging national and local governments in Japan. </w:t>
      </w:r>
      <w:r w:rsidRPr="3C60AEA8" w:rsidR="06769189">
        <w:rPr>
          <w:rFonts w:ascii="Aptos" w:hAnsi="Aptos" w:eastAsia="Aptos" w:cs="Aptos"/>
          <w:b w:val="0"/>
          <w:bCs w:val="0"/>
          <w:i w:val="1"/>
          <w:iCs w:val="1"/>
          <w:caps w:val="0"/>
          <w:smallCaps w:val="0"/>
          <w:noProof w:val="0"/>
          <w:color w:val="000000" w:themeColor="text1" w:themeTint="FF" w:themeShade="FF"/>
          <w:sz w:val="24"/>
          <w:szCs w:val="24"/>
          <w:lang w:val="en-US"/>
        </w:rPr>
        <w:t>Natural Hazards Review</w:t>
      </w:r>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 xml:space="preserve">, 22(1), 04020059. </w:t>
      </w:r>
      <w:hyperlink r:id="Rad14310cf1714685">
        <w:r w:rsidRPr="3C60AEA8" w:rsidR="06769189">
          <w:rPr>
            <w:rStyle w:val="Hyperlink"/>
            <w:rFonts w:ascii="Aptos" w:hAnsi="Aptos" w:eastAsia="Aptos" w:cs="Aptos"/>
            <w:b w:val="0"/>
            <w:bCs w:val="0"/>
            <w:i w:val="0"/>
            <w:iCs w:val="0"/>
            <w:caps w:val="0"/>
            <w:smallCaps w:val="0"/>
            <w:noProof w:val="0"/>
            <w:sz w:val="24"/>
            <w:szCs w:val="24"/>
            <w:lang w:val="en-US"/>
          </w:rPr>
          <w:t>https://doi.org/10.1061/(ASCE)NH.1527-6996.000042</w:t>
        </w:r>
      </w:hyperlink>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711D9DE" w:rsidP="0FA9DDF5" w:rsidRDefault="1711D9DE" w14:paraId="1E7CCBD9" w14:textId="7BF6A07A">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711D9DE">
        <w:rPr>
          <w:rFonts w:ascii="Aptos" w:hAnsi="Aptos" w:eastAsia="Aptos" w:cs="Aptos"/>
          <w:b w:val="0"/>
          <w:bCs w:val="0"/>
          <w:i w:val="0"/>
          <w:iCs w:val="0"/>
          <w:caps w:val="0"/>
          <w:smallCaps w:val="0"/>
          <w:noProof w:val="0"/>
          <w:color w:val="000000" w:themeColor="text1" w:themeTint="FF" w:themeShade="FF"/>
          <w:sz w:val="24"/>
          <w:szCs w:val="24"/>
          <w:lang w:val="en-US"/>
        </w:rPr>
        <w:t xml:space="preserve">Jordan, E., Javernick-Will, A., &amp; Amadei, B. (2014). A qualitative comparative analysis of neighborhood recovery following Hurricane Katrina. </w:t>
      </w:r>
      <w:r w:rsidRPr="5A746606" w:rsidR="1711D9DE">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Resilience in the Built Environment</w:t>
      </w:r>
      <w:r w:rsidRPr="5A746606" w:rsidR="1711D9DE">
        <w:rPr>
          <w:rFonts w:ascii="Aptos" w:hAnsi="Aptos" w:eastAsia="Aptos" w:cs="Aptos"/>
          <w:b w:val="0"/>
          <w:bCs w:val="0"/>
          <w:i w:val="0"/>
          <w:iCs w:val="0"/>
          <w:caps w:val="0"/>
          <w:smallCaps w:val="0"/>
          <w:noProof w:val="0"/>
          <w:color w:val="000000" w:themeColor="text1" w:themeTint="FF" w:themeShade="FF"/>
          <w:sz w:val="24"/>
          <w:szCs w:val="24"/>
          <w:lang w:val="en-US"/>
        </w:rPr>
        <w:t xml:space="preserve">, 5(4), 391-412. </w:t>
      </w:r>
      <w:hyperlink r:id="R48fd41ab70d242ff">
        <w:r w:rsidRPr="5A746606" w:rsidR="1711D9DE">
          <w:rPr>
            <w:rStyle w:val="Hyperlink"/>
            <w:rFonts w:ascii="Aptos" w:hAnsi="Aptos" w:eastAsia="Aptos" w:cs="Aptos"/>
            <w:b w:val="0"/>
            <w:bCs w:val="0"/>
            <w:i w:val="0"/>
            <w:iCs w:val="0"/>
            <w:caps w:val="0"/>
            <w:smallCaps w:val="0"/>
            <w:noProof w:val="0"/>
            <w:sz w:val="24"/>
            <w:szCs w:val="24"/>
            <w:lang w:val="en-US"/>
          </w:rPr>
          <w:t>https://doi.org/10.1108/IJDRBE-03-2013-0006</w:t>
        </w:r>
      </w:hyperlink>
      <w:r w:rsidRPr="5A746606" w:rsidR="1711D9D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C6CF073" w:rsidP="5A746606" w:rsidRDefault="2C6CF073" w14:paraId="50DD6F9E" w14:textId="5FC4A0A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2C6CF073">
        <w:rPr>
          <w:rFonts w:ascii="Aptos" w:hAnsi="Aptos" w:eastAsia="Aptos" w:cs="Aptos"/>
          <w:b w:val="0"/>
          <w:bCs w:val="0"/>
          <w:i w:val="0"/>
          <w:iCs w:val="0"/>
          <w:caps w:val="0"/>
          <w:smallCaps w:val="0"/>
          <w:noProof w:val="0"/>
          <w:color w:val="000000" w:themeColor="text1" w:themeTint="FF" w:themeShade="FF"/>
          <w:sz w:val="24"/>
          <w:szCs w:val="24"/>
          <w:lang w:val="en-US"/>
        </w:rPr>
        <w:t xml:space="preserve">Khalid, S., &amp; Ashraf, I. (2024). The Role of Administrative Capacity in Disaster Management. </w:t>
      </w:r>
      <w:r w:rsidRPr="5A746606" w:rsidR="2C6CF073">
        <w:rPr>
          <w:rFonts w:ascii="Aptos" w:hAnsi="Aptos" w:eastAsia="Aptos" w:cs="Aptos"/>
          <w:b w:val="0"/>
          <w:bCs w:val="0"/>
          <w:i w:val="1"/>
          <w:iCs w:val="1"/>
          <w:caps w:val="0"/>
          <w:smallCaps w:val="0"/>
          <w:noProof w:val="0"/>
          <w:color w:val="000000" w:themeColor="text1" w:themeTint="FF" w:themeShade="FF"/>
          <w:sz w:val="24"/>
          <w:szCs w:val="24"/>
          <w:lang w:val="en-US"/>
        </w:rPr>
        <w:t>Social Trends and Policy Review</w:t>
      </w:r>
      <w:r w:rsidRPr="5A746606" w:rsidR="2C6CF073">
        <w:rPr>
          <w:rFonts w:ascii="Aptos" w:hAnsi="Aptos" w:eastAsia="Aptos" w:cs="Aptos"/>
          <w:b w:val="0"/>
          <w:bCs w:val="0"/>
          <w:i w:val="0"/>
          <w:iCs w:val="0"/>
          <w:caps w:val="0"/>
          <w:smallCaps w:val="0"/>
          <w:noProof w:val="0"/>
          <w:color w:val="000000" w:themeColor="text1" w:themeTint="FF" w:themeShade="FF"/>
          <w:sz w:val="24"/>
          <w:szCs w:val="24"/>
          <w:lang w:val="en-US"/>
        </w:rPr>
        <w:t xml:space="preserve">, 2(2), 97-133. </w:t>
      </w:r>
      <w:hyperlink r:id="R94939931747149e9">
        <w:r w:rsidRPr="5A746606" w:rsidR="2C6CF073">
          <w:rPr>
            <w:rStyle w:val="Hyperlink"/>
            <w:rFonts w:ascii="Aptos" w:hAnsi="Aptos" w:eastAsia="Aptos" w:cs="Aptos"/>
            <w:b w:val="0"/>
            <w:bCs w:val="0"/>
            <w:i w:val="0"/>
            <w:iCs w:val="0"/>
            <w:caps w:val="0"/>
            <w:smallCaps w:val="0"/>
            <w:noProof w:val="0"/>
            <w:sz w:val="24"/>
            <w:szCs w:val="24"/>
            <w:lang w:val="en-US"/>
          </w:rPr>
          <w:t>https://socialtrendsreview.com/index.php/journal/article/download/45/44</w:t>
        </w:r>
      </w:hyperlink>
    </w:p>
    <w:p w:rsidR="18BE4A1C" w:rsidP="3C60AEA8" w:rsidRDefault="18BE4A1C" w14:paraId="12BF2A56" w14:textId="63C82FB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8BE4A1C">
        <w:rPr>
          <w:rFonts w:ascii="Aptos" w:hAnsi="Aptos" w:eastAsia="Aptos" w:cs="Aptos"/>
          <w:b w:val="0"/>
          <w:bCs w:val="0"/>
          <w:i w:val="0"/>
          <w:iCs w:val="0"/>
          <w:caps w:val="0"/>
          <w:smallCaps w:val="0"/>
          <w:noProof w:val="0"/>
          <w:color w:val="000000" w:themeColor="text1" w:themeTint="FF" w:themeShade="FF"/>
          <w:sz w:val="24"/>
          <w:szCs w:val="24"/>
          <w:lang w:val="en-US"/>
        </w:rPr>
        <w:t xml:space="preserve">Khorram-Manesh, A. (2020). Flexible surge capacity-public health, public education, and disaster management. Health promotion perspectives, 10(3), 175. </w:t>
      </w:r>
      <w:hyperlink r:id="Ra5a9df67ce2c498b">
        <w:r w:rsidRPr="5A746606" w:rsidR="18BE4A1C">
          <w:rPr>
            <w:rStyle w:val="Hyperlink"/>
            <w:rFonts w:ascii="Aptos" w:hAnsi="Aptos" w:eastAsia="Aptos" w:cs="Aptos"/>
            <w:b w:val="0"/>
            <w:bCs w:val="0"/>
            <w:i w:val="0"/>
            <w:iCs w:val="0"/>
            <w:caps w:val="0"/>
            <w:smallCaps w:val="0"/>
            <w:noProof w:val="0"/>
            <w:sz w:val="24"/>
            <w:szCs w:val="24"/>
            <w:lang w:val="en-US"/>
          </w:rPr>
          <w:t>https://doi.org/10.34172/hpp.2020.30</w:t>
        </w:r>
      </w:hyperlink>
      <w:r w:rsidRPr="5A746606" w:rsidR="18BE4A1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1DF4B8C" w:rsidP="5A746606" w:rsidRDefault="71DF4B8C" w14:paraId="0A088690" w14:textId="090366A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 xml:space="preserve">Klinsky, S., &amp; </w:t>
      </w:r>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Mavrogianni</w:t>
      </w:r>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 xml:space="preserve">, A. (2020). Climate justice and the built environment. Buildings and Cities, 1(1), 412-428. </w:t>
      </w:r>
      <w:hyperlink r:id="R520159dd9dc74830">
        <w:r w:rsidRPr="5A746606" w:rsidR="71DF4B8C">
          <w:rPr>
            <w:rStyle w:val="Hyperlink"/>
            <w:rFonts w:ascii="Aptos" w:hAnsi="Aptos" w:eastAsia="Aptos" w:cs="Aptos"/>
            <w:b w:val="0"/>
            <w:bCs w:val="0"/>
            <w:i w:val="0"/>
            <w:iCs w:val="0"/>
            <w:caps w:val="0"/>
            <w:smallCaps w:val="0"/>
            <w:noProof w:val="0"/>
            <w:sz w:val="24"/>
            <w:szCs w:val="24"/>
            <w:lang w:val="en-US"/>
          </w:rPr>
          <w:t>http://doi.org/10.5334/bc.65</w:t>
        </w:r>
      </w:hyperlink>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E74608" w:rsidP="0FA9DDF5" w:rsidRDefault="19E74608" w14:paraId="085995DA" w14:textId="571F1D69">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Kusumasari</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B., Alam, Q., &amp; Siddiqui, K. (2010). Resource capability for local government in managing </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disaster</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A746606" w:rsidR="19E74608">
        <w:rPr>
          <w:rFonts w:ascii="Aptos" w:hAnsi="Aptos" w:eastAsia="Aptos" w:cs="Aptos"/>
          <w:b w:val="0"/>
          <w:bCs w:val="0"/>
          <w:i w:val="1"/>
          <w:iCs w:val="1"/>
          <w:caps w:val="0"/>
          <w:smallCaps w:val="0"/>
          <w:noProof w:val="0"/>
          <w:color w:val="000000" w:themeColor="text1" w:themeTint="FF" w:themeShade="FF"/>
          <w:sz w:val="24"/>
          <w:szCs w:val="24"/>
          <w:lang w:val="en-US"/>
        </w:rPr>
        <w:t>Disaster Prevention and Management: An International Journal</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19(4), 438-451. </w:t>
      </w:r>
      <w:hyperlink r:id="R48bdf05502f94621">
        <w:r w:rsidRPr="5A746606" w:rsidR="19E74608">
          <w:rPr>
            <w:rStyle w:val="Hyperlink"/>
            <w:rFonts w:ascii="Aptos" w:hAnsi="Aptos" w:eastAsia="Aptos" w:cs="Aptos"/>
            <w:b w:val="0"/>
            <w:bCs w:val="0"/>
            <w:i w:val="0"/>
            <w:iCs w:val="0"/>
            <w:caps w:val="0"/>
            <w:smallCaps w:val="0"/>
            <w:noProof w:val="0"/>
            <w:sz w:val="24"/>
            <w:szCs w:val="24"/>
            <w:lang w:val="en-US"/>
          </w:rPr>
          <w:t>https://doi.org/10.1108/09653561011070367</w:t>
        </w:r>
      </w:hyperlink>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7E0C91A" w:rsidP="5A746606" w:rsidRDefault="67E0C91A" w14:paraId="3FCF2044" w14:textId="4A2229F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431661A5">
        <w:rPr>
          <w:rFonts w:ascii="Aptos" w:hAnsi="Aptos" w:eastAsia="Aptos" w:cs="Aptos"/>
          <w:b w:val="0"/>
          <w:bCs w:val="0"/>
          <w:i w:val="0"/>
          <w:iCs w:val="0"/>
          <w:caps w:val="0"/>
          <w:smallCaps w:val="0"/>
          <w:noProof w:val="0"/>
          <w:color w:val="000000" w:themeColor="text1" w:themeTint="FF" w:themeShade="FF"/>
          <w:sz w:val="24"/>
          <w:szCs w:val="24"/>
          <w:lang w:val="en-US"/>
        </w:rPr>
        <w:t xml:space="preserve">Kyrkou, C., Kolios, P., Theocharides, T., &amp; Polycarpou, M. (2022). Machine learning for emergency management: A survey and future outlook. </w:t>
      </w:r>
      <w:r w:rsidRPr="5A746606" w:rsidR="431661A5">
        <w:rPr>
          <w:rFonts w:ascii="Aptos" w:hAnsi="Aptos" w:eastAsia="Aptos" w:cs="Aptos"/>
          <w:b w:val="0"/>
          <w:bCs w:val="0"/>
          <w:i w:val="1"/>
          <w:iCs w:val="1"/>
          <w:caps w:val="0"/>
          <w:smallCaps w:val="0"/>
          <w:noProof w:val="0"/>
          <w:color w:val="000000" w:themeColor="text1" w:themeTint="FF" w:themeShade="FF"/>
          <w:sz w:val="24"/>
          <w:szCs w:val="24"/>
          <w:lang w:val="en-US"/>
        </w:rPr>
        <w:t>Proceedings of the IEEE</w:t>
      </w:r>
      <w:r w:rsidRPr="5A746606" w:rsidR="431661A5">
        <w:rPr>
          <w:rFonts w:ascii="Aptos" w:hAnsi="Aptos" w:eastAsia="Aptos" w:cs="Aptos"/>
          <w:b w:val="0"/>
          <w:bCs w:val="0"/>
          <w:i w:val="0"/>
          <w:iCs w:val="0"/>
          <w:caps w:val="0"/>
          <w:smallCaps w:val="0"/>
          <w:noProof w:val="0"/>
          <w:color w:val="000000" w:themeColor="text1" w:themeTint="FF" w:themeShade="FF"/>
          <w:sz w:val="24"/>
          <w:szCs w:val="24"/>
          <w:lang w:val="en-US"/>
        </w:rPr>
        <w:t xml:space="preserve">, 111(1), 19-41. </w:t>
      </w:r>
      <w:hyperlink r:id="R958b0070a4fb428b">
        <w:r w:rsidRPr="5A746606" w:rsidR="431661A5">
          <w:rPr>
            <w:rStyle w:val="Hyperlink"/>
            <w:rFonts w:ascii="Aptos" w:hAnsi="Aptos" w:eastAsia="Aptos" w:cs="Aptos"/>
            <w:b w:val="0"/>
            <w:bCs w:val="0"/>
            <w:i w:val="0"/>
            <w:iCs w:val="0"/>
            <w:caps w:val="0"/>
            <w:smallCaps w:val="0"/>
            <w:noProof w:val="0"/>
            <w:sz w:val="24"/>
            <w:szCs w:val="24"/>
            <w:lang w:val="en-US"/>
          </w:rPr>
          <w:t>https://doi.org/10.1109/JPROC.2022.3223186</w:t>
        </w:r>
      </w:hyperlink>
      <w:r w:rsidRPr="5A746606" w:rsidR="431661A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7E0C91A" w:rsidP="5A746606" w:rsidRDefault="67E0C91A" w14:paraId="54FCD32D" w14:textId="120028D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7E0C91A">
        <w:rPr>
          <w:rFonts w:ascii="Aptos" w:hAnsi="Aptos" w:eastAsia="Aptos" w:cs="Aptos"/>
          <w:b w:val="0"/>
          <w:bCs w:val="0"/>
          <w:i w:val="0"/>
          <w:iCs w:val="0"/>
          <w:caps w:val="0"/>
          <w:smallCaps w:val="0"/>
          <w:noProof w:val="0"/>
          <w:color w:val="000000" w:themeColor="text1" w:themeTint="FF" w:themeShade="FF"/>
          <w:sz w:val="24"/>
          <w:szCs w:val="24"/>
          <w:lang w:val="en-US"/>
        </w:rPr>
        <w:t xml:space="preserve">Lee, D. W. (2019). Local government’s disaster management capacity and disaster resilience. </w:t>
      </w:r>
      <w:r w:rsidRPr="5A746606" w:rsidR="67E0C91A">
        <w:rPr>
          <w:rFonts w:ascii="Aptos" w:hAnsi="Aptos" w:eastAsia="Aptos" w:cs="Aptos"/>
          <w:b w:val="0"/>
          <w:bCs w:val="0"/>
          <w:i w:val="1"/>
          <w:iCs w:val="1"/>
          <w:caps w:val="0"/>
          <w:smallCaps w:val="0"/>
          <w:noProof w:val="0"/>
          <w:color w:val="000000" w:themeColor="text1" w:themeTint="FF" w:themeShade="FF"/>
          <w:sz w:val="24"/>
          <w:szCs w:val="24"/>
          <w:lang w:val="en-US"/>
        </w:rPr>
        <w:t>Local Government Studies</w:t>
      </w:r>
      <w:r w:rsidRPr="5A746606" w:rsidR="67E0C91A">
        <w:rPr>
          <w:rFonts w:ascii="Aptos" w:hAnsi="Aptos" w:eastAsia="Aptos" w:cs="Aptos"/>
          <w:b w:val="0"/>
          <w:bCs w:val="0"/>
          <w:i w:val="0"/>
          <w:iCs w:val="0"/>
          <w:caps w:val="0"/>
          <w:smallCaps w:val="0"/>
          <w:noProof w:val="0"/>
          <w:color w:val="000000" w:themeColor="text1" w:themeTint="FF" w:themeShade="FF"/>
          <w:sz w:val="24"/>
          <w:szCs w:val="24"/>
          <w:lang w:val="en-US"/>
        </w:rPr>
        <w:t xml:space="preserve">, 45(6), 803-826. </w:t>
      </w:r>
      <w:hyperlink r:id="R20cbd13d1da447dc">
        <w:r w:rsidRPr="5A746606" w:rsidR="67E0C91A">
          <w:rPr>
            <w:rStyle w:val="Hyperlink"/>
            <w:rFonts w:ascii="Aptos" w:hAnsi="Aptos" w:eastAsia="Aptos" w:cs="Aptos"/>
            <w:b w:val="0"/>
            <w:bCs w:val="0"/>
            <w:i w:val="0"/>
            <w:iCs w:val="0"/>
            <w:caps w:val="0"/>
            <w:smallCaps w:val="0"/>
            <w:noProof w:val="0"/>
            <w:sz w:val="24"/>
            <w:szCs w:val="24"/>
            <w:lang w:val="en-US"/>
          </w:rPr>
          <w:t>https://doi.org/10.1080/03003930.2019.1653284</w:t>
        </w:r>
      </w:hyperlink>
      <w:r w:rsidRPr="5A746606" w:rsidR="67E0C91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D0E9AA3" w:rsidP="0FA9DDF5" w:rsidRDefault="7D0E9AA3" w14:paraId="51F8271D" w14:textId="226130D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D0E9AA3">
        <w:rPr>
          <w:rFonts w:ascii="Aptos" w:hAnsi="Aptos" w:eastAsia="Aptos" w:cs="Aptos"/>
          <w:b w:val="0"/>
          <w:bCs w:val="0"/>
          <w:i w:val="0"/>
          <w:iCs w:val="0"/>
          <w:caps w:val="0"/>
          <w:smallCaps w:val="0"/>
          <w:noProof w:val="0"/>
          <w:color w:val="000000" w:themeColor="text1" w:themeTint="FF" w:themeShade="FF"/>
          <w:sz w:val="24"/>
          <w:szCs w:val="24"/>
          <w:lang w:val="en-US"/>
        </w:rPr>
        <w:t xml:space="preserve">Lee, S. Y., &amp; Zhu, H. T. (2002). Maximum likelihood estimation of nonlinear structural equation models. </w:t>
      </w:r>
      <w:r w:rsidRPr="0FA9DDF5" w:rsidR="7D0E9AA3">
        <w:rPr>
          <w:rFonts w:ascii="Aptos" w:hAnsi="Aptos" w:eastAsia="Aptos" w:cs="Aptos"/>
          <w:b w:val="0"/>
          <w:bCs w:val="0"/>
          <w:i w:val="1"/>
          <w:iCs w:val="1"/>
          <w:caps w:val="0"/>
          <w:smallCaps w:val="0"/>
          <w:noProof w:val="0"/>
          <w:color w:val="000000" w:themeColor="text1" w:themeTint="FF" w:themeShade="FF"/>
          <w:sz w:val="24"/>
          <w:szCs w:val="24"/>
          <w:lang w:val="en-US"/>
        </w:rPr>
        <w:t>Psychometrika</w:t>
      </w:r>
      <w:r w:rsidRPr="0FA9DDF5" w:rsidR="7D0E9AA3">
        <w:rPr>
          <w:rFonts w:ascii="Aptos" w:hAnsi="Aptos" w:eastAsia="Aptos" w:cs="Aptos"/>
          <w:b w:val="0"/>
          <w:bCs w:val="0"/>
          <w:i w:val="0"/>
          <w:iCs w:val="0"/>
          <w:caps w:val="0"/>
          <w:smallCaps w:val="0"/>
          <w:noProof w:val="0"/>
          <w:color w:val="000000" w:themeColor="text1" w:themeTint="FF" w:themeShade="FF"/>
          <w:sz w:val="24"/>
          <w:szCs w:val="24"/>
          <w:lang w:val="en-US"/>
        </w:rPr>
        <w:t xml:space="preserve">, 67(2), 189-210. </w:t>
      </w:r>
      <w:hyperlink r:id="R20f25f3a7aff4b30">
        <w:r w:rsidRPr="0FA9DDF5" w:rsidR="7D0E9AA3">
          <w:rPr>
            <w:rStyle w:val="Hyperlink"/>
            <w:rFonts w:ascii="Aptos" w:hAnsi="Aptos" w:eastAsia="Aptos" w:cs="Aptos"/>
            <w:b w:val="0"/>
            <w:bCs w:val="0"/>
            <w:i w:val="0"/>
            <w:iCs w:val="0"/>
            <w:caps w:val="0"/>
            <w:smallCaps w:val="0"/>
            <w:noProof w:val="0"/>
            <w:sz w:val="24"/>
            <w:szCs w:val="24"/>
            <w:lang w:val="en-US"/>
          </w:rPr>
          <w:t>https://doi.org/10.1007/BF02294842</w:t>
        </w:r>
      </w:hyperlink>
      <w:r w:rsidRPr="0FA9DDF5" w:rsidR="7D0E9A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0C13FA2" w:rsidP="0FA9DDF5" w:rsidRDefault="10C13FA2" w14:paraId="7C9FE098" w14:textId="0A500F5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0C13FA2">
        <w:rPr>
          <w:rFonts w:ascii="Aptos" w:hAnsi="Aptos" w:eastAsia="Aptos" w:cs="Aptos"/>
          <w:b w:val="0"/>
          <w:bCs w:val="0"/>
          <w:i w:val="0"/>
          <w:iCs w:val="0"/>
          <w:caps w:val="0"/>
          <w:smallCaps w:val="0"/>
          <w:noProof w:val="0"/>
          <w:color w:val="000000" w:themeColor="text1" w:themeTint="FF" w:themeShade="FF"/>
          <w:sz w:val="24"/>
          <w:szCs w:val="24"/>
          <w:lang w:val="en-US"/>
        </w:rPr>
        <w:t xml:space="preserve">Lindsay, B. R. (2014). </w:t>
      </w:r>
      <w:r w:rsidRPr="0FA9DDF5" w:rsidR="10C13FA2">
        <w:rPr>
          <w:rFonts w:ascii="Aptos" w:hAnsi="Aptos" w:eastAsia="Aptos" w:cs="Aptos"/>
          <w:b w:val="0"/>
          <w:bCs w:val="0"/>
          <w:i w:val="1"/>
          <w:iCs w:val="1"/>
          <w:caps w:val="0"/>
          <w:smallCaps w:val="0"/>
          <w:noProof w:val="0"/>
          <w:color w:val="000000" w:themeColor="text1" w:themeTint="FF" w:themeShade="FF"/>
          <w:sz w:val="24"/>
          <w:szCs w:val="24"/>
          <w:lang w:val="en-US"/>
        </w:rPr>
        <w:t>FEMA's disaster relief fund: overview and selected issues</w:t>
      </w:r>
      <w:r w:rsidRPr="0FA9DDF5" w:rsidR="10C13FA2">
        <w:rPr>
          <w:rFonts w:ascii="Aptos" w:hAnsi="Aptos" w:eastAsia="Aptos" w:cs="Aptos"/>
          <w:b w:val="0"/>
          <w:bCs w:val="0"/>
          <w:i w:val="0"/>
          <w:iCs w:val="0"/>
          <w:caps w:val="0"/>
          <w:smallCaps w:val="0"/>
          <w:noProof w:val="0"/>
          <w:color w:val="000000" w:themeColor="text1" w:themeTint="FF" w:themeShade="FF"/>
          <w:sz w:val="24"/>
          <w:szCs w:val="24"/>
          <w:lang w:val="en-US"/>
        </w:rPr>
        <w:t>. Washington, DC, USA: Congressional Research Service.</w:t>
      </w:r>
      <w:r w:rsidRPr="0FA9DDF5" w:rsidR="6E7FDAE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6fa57a0c09824e5f">
        <w:r w:rsidRPr="0FA9DDF5" w:rsidR="6E7FDAE3">
          <w:rPr>
            <w:rStyle w:val="Hyperlink"/>
            <w:rFonts w:ascii="Aptos" w:hAnsi="Aptos" w:eastAsia="Aptos" w:cs="Aptos"/>
            <w:b w:val="0"/>
            <w:bCs w:val="0"/>
            <w:i w:val="0"/>
            <w:iCs w:val="0"/>
            <w:caps w:val="0"/>
            <w:smallCaps w:val="0"/>
            <w:noProof w:val="0"/>
            <w:sz w:val="24"/>
            <w:szCs w:val="24"/>
            <w:lang w:val="en-US"/>
          </w:rPr>
          <w:t>https://budgetcounsel.com/wp-content/uploads/2017/12/crs-fema_s-disaster-relief-fund-overview-and-selected-issues-r43537-may-7-2014.pdf</w:t>
        </w:r>
      </w:hyperlink>
      <w:r w:rsidRPr="0FA9DDF5" w:rsidR="6E7FDAE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4687E4F" w:rsidP="0FA9DDF5" w:rsidRDefault="64687E4F" w14:paraId="69637BD0" w14:textId="2FA9765A">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64687E4F">
        <w:rPr>
          <w:rFonts w:ascii="Aptos" w:hAnsi="Aptos" w:eastAsia="Aptos" w:cs="Aptos"/>
          <w:b w:val="0"/>
          <w:bCs w:val="0"/>
          <w:i w:val="0"/>
          <w:iCs w:val="0"/>
          <w:caps w:val="0"/>
          <w:smallCaps w:val="0"/>
          <w:noProof w:val="0"/>
          <w:color w:val="000000" w:themeColor="text1" w:themeTint="FF" w:themeShade="FF"/>
          <w:sz w:val="24"/>
          <w:szCs w:val="24"/>
          <w:lang w:val="en-US"/>
        </w:rPr>
        <w:t xml:space="preserve">Martín, C. (2018). </w:t>
      </w:r>
      <w:r w:rsidRPr="0FA9DDF5" w:rsidR="64687E4F">
        <w:rPr>
          <w:rFonts w:ascii="Aptos" w:hAnsi="Aptos" w:eastAsia="Aptos" w:cs="Aptos"/>
          <w:b w:val="0"/>
          <w:bCs w:val="0"/>
          <w:i w:val="1"/>
          <w:iCs w:val="1"/>
          <w:caps w:val="0"/>
          <w:smallCaps w:val="0"/>
          <w:noProof w:val="0"/>
          <w:color w:val="000000" w:themeColor="text1" w:themeTint="FF" w:themeShade="FF"/>
          <w:sz w:val="24"/>
          <w:szCs w:val="24"/>
          <w:lang w:val="en-US"/>
        </w:rPr>
        <w:t>The Evidence Base on How CDBG-DR Works for State and Local Stakeholders</w:t>
      </w:r>
      <w:r w:rsidRPr="0FA9DDF5" w:rsidR="64687E4F">
        <w:rPr>
          <w:rFonts w:ascii="Aptos" w:hAnsi="Aptos" w:eastAsia="Aptos" w:cs="Aptos"/>
          <w:b w:val="0"/>
          <w:bCs w:val="0"/>
          <w:i w:val="0"/>
          <w:iCs w:val="0"/>
          <w:caps w:val="0"/>
          <w:smallCaps w:val="0"/>
          <w:noProof w:val="0"/>
          <w:color w:val="000000" w:themeColor="text1" w:themeTint="FF" w:themeShade="FF"/>
          <w:sz w:val="24"/>
          <w:szCs w:val="24"/>
          <w:lang w:val="en-US"/>
        </w:rPr>
        <w:t xml:space="preserve">. Urban Institute. </w:t>
      </w:r>
      <w:hyperlink r:id="Rb5978ed6c2634c8d">
        <w:r w:rsidRPr="0FA9DDF5" w:rsidR="64687E4F">
          <w:rPr>
            <w:rStyle w:val="Hyperlink"/>
            <w:rFonts w:ascii="Aptos" w:hAnsi="Aptos" w:eastAsia="Aptos" w:cs="Aptos"/>
            <w:b w:val="0"/>
            <w:bCs w:val="0"/>
            <w:i w:val="0"/>
            <w:iCs w:val="0"/>
            <w:caps w:val="0"/>
            <w:smallCaps w:val="0"/>
            <w:noProof w:val="0"/>
            <w:sz w:val="24"/>
            <w:szCs w:val="24"/>
            <w:lang w:val="en-US"/>
          </w:rPr>
          <w:t>https://www.urban.org/sites/default/files/publication/98463/the_evidence_base_on_how_cdbg-dr_works_for_state_and_local_stakeholders_0.pdf</w:t>
        </w:r>
      </w:hyperlink>
      <w:r w:rsidRPr="0FA9DDF5" w:rsidR="64687E4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5B6030D6" w:rsidP="0FA9DDF5" w:rsidRDefault="5B6030D6" w14:paraId="3C92039A" w14:textId="4AAA8916">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5B6030D6">
        <w:rPr>
          <w:rFonts w:ascii="Aptos" w:hAnsi="Aptos" w:eastAsia="Aptos" w:cs="Aptos"/>
          <w:b w:val="0"/>
          <w:bCs w:val="0"/>
          <w:i w:val="0"/>
          <w:iCs w:val="0"/>
          <w:caps w:val="0"/>
          <w:smallCaps w:val="0"/>
          <w:noProof w:val="0"/>
          <w:color w:val="000000" w:themeColor="text1" w:themeTint="FF" w:themeShade="FF"/>
          <w:sz w:val="24"/>
          <w:szCs w:val="24"/>
          <w:lang w:val="en-US"/>
        </w:rPr>
        <w:t xml:space="preserve">Martin, C., Gilbert, B., Teles, D., &amp; Theodos, B. (2019). </w:t>
      </w:r>
      <w:r w:rsidRPr="0FA9DDF5" w:rsidR="5B6030D6">
        <w:rPr>
          <w:rFonts w:ascii="Aptos" w:hAnsi="Aptos" w:eastAsia="Aptos" w:cs="Aptos"/>
          <w:b w:val="0"/>
          <w:bCs w:val="0"/>
          <w:i w:val="1"/>
          <w:iCs w:val="1"/>
          <w:caps w:val="0"/>
          <w:smallCaps w:val="0"/>
          <w:noProof w:val="0"/>
          <w:color w:val="000000" w:themeColor="text1" w:themeTint="FF" w:themeShade="FF"/>
          <w:sz w:val="24"/>
          <w:szCs w:val="24"/>
          <w:lang w:val="en-US"/>
        </w:rPr>
        <w:t>Housing Recovery and CDBG-DR</w:t>
      </w:r>
      <w:r w:rsidRPr="0FA9DDF5" w:rsidR="5B6030D6">
        <w:rPr>
          <w:rFonts w:ascii="Aptos" w:hAnsi="Aptos" w:eastAsia="Aptos" w:cs="Aptos"/>
          <w:b w:val="0"/>
          <w:bCs w:val="0"/>
          <w:i w:val="0"/>
          <w:iCs w:val="0"/>
          <w:caps w:val="0"/>
          <w:smallCaps w:val="0"/>
          <w:noProof w:val="0"/>
          <w:color w:val="000000" w:themeColor="text1" w:themeTint="FF" w:themeShade="FF"/>
          <w:sz w:val="24"/>
          <w:szCs w:val="24"/>
          <w:lang w:val="en-US"/>
        </w:rPr>
        <w:t xml:space="preserve">. Urban Institute. </w:t>
      </w:r>
      <w:hyperlink r:id="Rcf74f9155b394e1d">
        <w:r w:rsidRPr="0FA9DDF5" w:rsidR="5B6030D6">
          <w:rPr>
            <w:rStyle w:val="Hyperlink"/>
            <w:rFonts w:ascii="Aptos" w:hAnsi="Aptos" w:eastAsia="Aptos" w:cs="Aptos"/>
            <w:b w:val="0"/>
            <w:bCs w:val="0"/>
            <w:i w:val="0"/>
            <w:iCs w:val="0"/>
            <w:caps w:val="0"/>
            <w:smallCaps w:val="0"/>
            <w:noProof w:val="0"/>
            <w:sz w:val="24"/>
            <w:szCs w:val="24"/>
            <w:lang w:val="en-US"/>
          </w:rPr>
          <w:t>https://www.urban.org/research/publication/housing-recovery-and-cdbg-dr</w:t>
        </w:r>
      </w:hyperlink>
      <w:r w:rsidRPr="0FA9DDF5" w:rsidR="5B6030D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5416F7" w:rsidP="0FA9DDF5" w:rsidRDefault="035416F7" w14:paraId="5BFC4E11" w14:textId="04CE197C">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035416F7">
        <w:rPr>
          <w:rFonts w:ascii="Aptos" w:hAnsi="Aptos" w:eastAsia="Aptos" w:cs="Aptos"/>
          <w:b w:val="0"/>
          <w:bCs w:val="0"/>
          <w:i w:val="0"/>
          <w:iCs w:val="0"/>
          <w:caps w:val="0"/>
          <w:smallCaps w:val="0"/>
          <w:noProof w:val="0"/>
          <w:color w:val="000000" w:themeColor="text1" w:themeTint="FF" w:themeShade="FF"/>
          <w:sz w:val="24"/>
          <w:szCs w:val="24"/>
          <w:lang w:val="en-US"/>
        </w:rPr>
        <w:t xml:space="preserve">Martín, C., Teles, D., &amp; DuBois, N. (2022). Understanding the pace of HUD’s disaster housing recovery efforts. </w:t>
      </w:r>
      <w:r w:rsidRPr="0FA9DDF5" w:rsidR="035416F7">
        <w:rPr>
          <w:rFonts w:ascii="Aptos" w:hAnsi="Aptos" w:eastAsia="Aptos" w:cs="Aptos"/>
          <w:b w:val="0"/>
          <w:bCs w:val="0"/>
          <w:i w:val="1"/>
          <w:iCs w:val="1"/>
          <w:caps w:val="0"/>
          <w:smallCaps w:val="0"/>
          <w:noProof w:val="0"/>
          <w:color w:val="000000" w:themeColor="text1" w:themeTint="FF" w:themeShade="FF"/>
          <w:sz w:val="24"/>
          <w:szCs w:val="24"/>
          <w:lang w:val="en-US"/>
        </w:rPr>
        <w:t>Housing Policy Debate</w:t>
      </w:r>
      <w:r w:rsidRPr="0FA9DDF5" w:rsidR="035416F7">
        <w:rPr>
          <w:rFonts w:ascii="Aptos" w:hAnsi="Aptos" w:eastAsia="Aptos" w:cs="Aptos"/>
          <w:b w:val="0"/>
          <w:bCs w:val="0"/>
          <w:i w:val="0"/>
          <w:iCs w:val="0"/>
          <w:caps w:val="0"/>
          <w:smallCaps w:val="0"/>
          <w:noProof w:val="0"/>
          <w:color w:val="000000" w:themeColor="text1" w:themeTint="FF" w:themeShade="FF"/>
          <w:sz w:val="24"/>
          <w:szCs w:val="24"/>
          <w:lang w:val="en-US"/>
        </w:rPr>
        <w:t xml:space="preserve">, 32(1), 102-127. </w:t>
      </w:r>
      <w:hyperlink r:id="Rdbfff66f732d4622">
        <w:r w:rsidRPr="0FA9DDF5" w:rsidR="035416F7">
          <w:rPr>
            <w:rStyle w:val="Hyperlink"/>
            <w:rFonts w:ascii="Aptos" w:hAnsi="Aptos" w:eastAsia="Aptos" w:cs="Aptos"/>
            <w:b w:val="0"/>
            <w:bCs w:val="0"/>
            <w:i w:val="0"/>
            <w:iCs w:val="0"/>
            <w:caps w:val="0"/>
            <w:smallCaps w:val="0"/>
            <w:noProof w:val="0"/>
            <w:sz w:val="24"/>
            <w:szCs w:val="24"/>
            <w:lang w:val="en-US"/>
          </w:rPr>
          <w:t>https://doi.org/10.1080/10511482.2021.1875258</w:t>
        </w:r>
      </w:hyperlink>
      <w:r w:rsidRPr="0FA9DDF5" w:rsidR="035416F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5EAF6CD" w:rsidP="0FA9DDF5" w:rsidRDefault="45EAF6CD" w14:paraId="1FF586BF" w14:textId="21DF34AE">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45EAF6CD">
        <w:rPr>
          <w:rFonts w:ascii="Aptos" w:hAnsi="Aptos" w:eastAsia="Aptos" w:cs="Aptos"/>
          <w:b w:val="0"/>
          <w:bCs w:val="0"/>
          <w:i w:val="0"/>
          <w:iCs w:val="0"/>
          <w:caps w:val="0"/>
          <w:smallCaps w:val="0"/>
          <w:noProof w:val="0"/>
          <w:color w:val="000000" w:themeColor="text1" w:themeTint="FF" w:themeShade="FF"/>
          <w:sz w:val="24"/>
          <w:szCs w:val="24"/>
          <w:lang w:val="en-US"/>
        </w:rPr>
        <w:t xml:space="preserve">Melendez, E. (2020). Puerto Rico Housing and Community Development Industry’s Capacity for Disaster Recovery. </w:t>
      </w:r>
      <w:r w:rsidRPr="0FA9DDF5" w:rsidR="45EAF6CD">
        <w:rPr>
          <w:rFonts w:ascii="Aptos" w:hAnsi="Aptos" w:eastAsia="Aptos" w:cs="Aptos"/>
          <w:b w:val="0"/>
          <w:bCs w:val="0"/>
          <w:i w:val="1"/>
          <w:iCs w:val="1"/>
          <w:caps w:val="0"/>
          <w:smallCaps w:val="0"/>
          <w:noProof w:val="0"/>
          <w:color w:val="000000" w:themeColor="text1" w:themeTint="FF" w:themeShade="FF"/>
          <w:sz w:val="24"/>
          <w:szCs w:val="24"/>
          <w:lang w:val="en-US"/>
        </w:rPr>
        <w:t>Centro Journal</w:t>
      </w:r>
      <w:r w:rsidRPr="0FA9DDF5" w:rsidR="45EAF6CD">
        <w:rPr>
          <w:rFonts w:ascii="Aptos" w:hAnsi="Aptos" w:eastAsia="Aptos" w:cs="Aptos"/>
          <w:b w:val="0"/>
          <w:bCs w:val="0"/>
          <w:i w:val="0"/>
          <w:iCs w:val="0"/>
          <w:caps w:val="0"/>
          <w:smallCaps w:val="0"/>
          <w:noProof w:val="0"/>
          <w:color w:val="000000" w:themeColor="text1" w:themeTint="FF" w:themeShade="FF"/>
          <w:sz w:val="24"/>
          <w:szCs w:val="24"/>
          <w:lang w:val="en-US"/>
        </w:rPr>
        <w:t xml:space="preserve">, 32(3). </w:t>
      </w:r>
      <w:hyperlink r:id="Rf4a9699e30544505">
        <w:r w:rsidRPr="0FA9DDF5" w:rsidR="26B010C9">
          <w:rPr>
            <w:rStyle w:val="Hyperlink"/>
            <w:rFonts w:ascii="Aptos" w:hAnsi="Aptos" w:eastAsia="Aptos" w:cs="Aptos"/>
            <w:b w:val="0"/>
            <w:bCs w:val="0"/>
            <w:i w:val="0"/>
            <w:iCs w:val="0"/>
            <w:caps w:val="0"/>
            <w:smallCaps w:val="0"/>
            <w:noProof w:val="0"/>
            <w:sz w:val="24"/>
            <w:szCs w:val="24"/>
            <w:lang w:val="en-US"/>
          </w:rPr>
          <w:t>https://research.ebsco.com/c/zdnshz/viewer/pdf/4yx3o67qxb</w:t>
        </w:r>
      </w:hyperlink>
      <w:r w:rsidRPr="0FA9DDF5" w:rsidR="26B010C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8315F3F" w:rsidP="0FA9DDF5" w:rsidRDefault="38315F3F" w14:paraId="5876DE48" w14:textId="06E4A437">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Miao, Q., Best, K., Reilly, A., &amp; </w:t>
      </w: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Davlasheridze</w:t>
      </w: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 M. (2025). Where Did the Money Go? Assessing the Distribution of the Community Development Block Grant-Disasters Recovery Funds. </w:t>
      </w:r>
      <w:r w:rsidRPr="0FA9DDF5" w:rsidR="38315F3F">
        <w:rPr>
          <w:rFonts w:ascii="Aptos" w:hAnsi="Aptos" w:eastAsia="Aptos" w:cs="Aptos"/>
          <w:b w:val="0"/>
          <w:bCs w:val="0"/>
          <w:i w:val="1"/>
          <w:iCs w:val="1"/>
          <w:caps w:val="0"/>
          <w:smallCaps w:val="0"/>
          <w:noProof w:val="0"/>
          <w:color w:val="000000" w:themeColor="text1" w:themeTint="FF" w:themeShade="FF"/>
          <w:sz w:val="24"/>
          <w:szCs w:val="24"/>
          <w:lang w:val="en-US"/>
        </w:rPr>
        <w:t>The American Review of Public Administration</w:t>
      </w: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 55(3), 227-248. </w:t>
      </w:r>
      <w:hyperlink r:id="R3b1a2e4bfff34c4b">
        <w:r w:rsidRPr="0FA9DDF5" w:rsidR="38315F3F">
          <w:rPr>
            <w:rStyle w:val="Hyperlink"/>
            <w:rFonts w:ascii="Aptos" w:hAnsi="Aptos" w:eastAsia="Aptos" w:cs="Aptos"/>
            <w:b w:val="0"/>
            <w:bCs w:val="0"/>
            <w:i w:val="0"/>
            <w:iCs w:val="0"/>
            <w:caps w:val="0"/>
            <w:smallCaps w:val="0"/>
            <w:noProof w:val="0"/>
            <w:sz w:val="24"/>
            <w:szCs w:val="24"/>
            <w:lang w:val="en-US"/>
          </w:rPr>
          <w:t>https://doi.org/10.1177/02750740241308272</w:t>
        </w:r>
      </w:hyperlink>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94215B" w:rsidP="0FA9DDF5" w:rsidRDefault="1994215B" w14:paraId="0FF9A9AB" w14:textId="11FAD2FA">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1994215B">
        <w:rPr>
          <w:rFonts w:ascii="Aptos" w:hAnsi="Aptos" w:eastAsia="Aptos" w:cs="Aptos"/>
          <w:b w:val="0"/>
          <w:bCs w:val="0"/>
          <w:i w:val="0"/>
          <w:iCs w:val="0"/>
          <w:caps w:val="0"/>
          <w:smallCaps w:val="0"/>
          <w:strike w:val="0"/>
          <w:dstrike w:val="0"/>
          <w:noProof w:val="0"/>
          <w:sz w:val="24"/>
          <w:szCs w:val="24"/>
          <w:lang w:val="en-US"/>
        </w:rPr>
        <w:t xml:space="preserve">Mueller, R. O., &amp; Hancock, G. R. (2018). Structural equation modeling. In </w:t>
      </w:r>
      <w:r w:rsidRPr="0FA9DDF5" w:rsidR="1994215B">
        <w:rPr>
          <w:rFonts w:ascii="Aptos" w:hAnsi="Aptos" w:eastAsia="Aptos" w:cs="Aptos"/>
          <w:b w:val="0"/>
          <w:bCs w:val="0"/>
          <w:i w:val="1"/>
          <w:iCs w:val="1"/>
          <w:caps w:val="0"/>
          <w:smallCaps w:val="0"/>
          <w:strike w:val="0"/>
          <w:dstrike w:val="0"/>
          <w:noProof w:val="0"/>
          <w:sz w:val="24"/>
          <w:szCs w:val="24"/>
          <w:lang w:val="en-US"/>
        </w:rPr>
        <w:t>The Reviewer’s Guide to Quantitative Methods in the Social Science</w:t>
      </w:r>
      <w:r w:rsidRPr="0FA9DDF5" w:rsidR="1994215B">
        <w:rPr>
          <w:rFonts w:ascii="Aptos" w:hAnsi="Aptos" w:eastAsia="Aptos" w:cs="Aptos"/>
          <w:b w:val="0"/>
          <w:bCs w:val="0"/>
          <w:i w:val="0"/>
          <w:iCs w:val="0"/>
          <w:caps w:val="0"/>
          <w:smallCaps w:val="0"/>
          <w:strike w:val="0"/>
          <w:dstrike w:val="0"/>
          <w:noProof w:val="0"/>
          <w:sz w:val="24"/>
          <w:szCs w:val="24"/>
          <w:lang w:val="en-US"/>
        </w:rPr>
        <w:t xml:space="preserve">s (pp. 445-456). Routledge. </w:t>
      </w:r>
      <w:hyperlink r:id="Re8a7e5c66d5340f2">
        <w:r w:rsidRPr="0FA9DDF5" w:rsidR="1994215B">
          <w:rPr>
            <w:rStyle w:val="Hyperlink"/>
            <w:rFonts w:ascii="Aptos" w:hAnsi="Aptos" w:eastAsia="Aptos" w:cs="Aptos"/>
            <w:b w:val="0"/>
            <w:bCs w:val="0"/>
            <w:i w:val="0"/>
            <w:iCs w:val="0"/>
            <w:caps w:val="0"/>
            <w:smallCaps w:val="0"/>
            <w:strike w:val="0"/>
            <w:dstrike w:val="0"/>
            <w:noProof w:val="0"/>
            <w:sz w:val="24"/>
            <w:szCs w:val="24"/>
            <w:lang w:val="en-US"/>
          </w:rPr>
          <w:t>https://doi.org/10.4324/9781315755649</w:t>
        </w:r>
      </w:hyperlink>
      <w:r w:rsidRPr="0FA9DDF5" w:rsidR="1994215B">
        <w:rPr>
          <w:rFonts w:ascii="Aptos" w:hAnsi="Aptos" w:eastAsia="Aptos" w:cs="Aptos"/>
          <w:b w:val="0"/>
          <w:bCs w:val="0"/>
          <w:i w:val="0"/>
          <w:iCs w:val="0"/>
          <w:caps w:val="0"/>
          <w:smallCaps w:val="0"/>
          <w:strike w:val="0"/>
          <w:dstrike w:val="0"/>
          <w:noProof w:val="0"/>
          <w:sz w:val="24"/>
          <w:szCs w:val="24"/>
          <w:lang w:val="en-US"/>
        </w:rPr>
        <w:t xml:space="preserve"> </w:t>
      </w:r>
    </w:p>
    <w:p w:rsidR="00215911" w:rsidP="0FA9DDF5" w:rsidRDefault="00215911" w14:paraId="46D0F55E" w14:textId="7FB7B08F">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00215911">
        <w:rPr>
          <w:rFonts w:ascii="Aptos" w:hAnsi="Aptos" w:eastAsia="Aptos" w:cs="Aptos"/>
          <w:b w:val="0"/>
          <w:bCs w:val="0"/>
          <w:i w:val="0"/>
          <w:iCs w:val="0"/>
          <w:caps w:val="0"/>
          <w:smallCaps w:val="0"/>
          <w:strike w:val="0"/>
          <w:dstrike w:val="0"/>
          <w:noProof w:val="0"/>
          <w:sz w:val="24"/>
          <w:szCs w:val="24"/>
          <w:lang w:val="en-US"/>
        </w:rPr>
        <w:t>Nor,</w:t>
      </w:r>
      <w:r w:rsidRPr="5A746606" w:rsidR="00215911">
        <w:rPr>
          <w:rFonts w:ascii="Aptos" w:hAnsi="Aptos" w:eastAsia="Aptos" w:cs="Aptos"/>
          <w:b w:val="0"/>
          <w:bCs w:val="0"/>
          <w:i w:val="0"/>
          <w:iCs w:val="0"/>
          <w:caps w:val="0"/>
          <w:smallCaps w:val="0"/>
          <w:strike w:val="0"/>
          <w:dstrike w:val="0"/>
          <w:noProof w:val="0"/>
          <w:sz w:val="24"/>
          <w:szCs w:val="24"/>
          <w:lang w:val="en-US"/>
        </w:rPr>
        <w:t xml:space="preserve"> M. I. (2025). Investigating the dynamics of climate finance disbursements: A panel data approach from 2003 to 2022. PLOS One, 20(3), e0318170. </w:t>
      </w:r>
      <w:hyperlink r:id="R8a9fbc88294c48d3">
        <w:r w:rsidRPr="5A746606" w:rsidR="00215911">
          <w:rPr>
            <w:rStyle w:val="Hyperlink"/>
            <w:rFonts w:ascii="Aptos" w:hAnsi="Aptos" w:eastAsia="Aptos" w:cs="Aptos"/>
            <w:b w:val="0"/>
            <w:bCs w:val="0"/>
            <w:i w:val="0"/>
            <w:iCs w:val="0"/>
            <w:caps w:val="0"/>
            <w:smallCaps w:val="0"/>
            <w:strike w:val="0"/>
            <w:dstrike w:val="0"/>
            <w:noProof w:val="0"/>
            <w:sz w:val="24"/>
            <w:szCs w:val="24"/>
            <w:lang w:val="en-US"/>
          </w:rPr>
          <w:t>https://doi.org/10.1371/journal.pone.0318170</w:t>
        </w:r>
      </w:hyperlink>
      <w:r w:rsidRPr="5A746606" w:rsidR="00215911">
        <w:rPr>
          <w:rFonts w:ascii="Aptos" w:hAnsi="Aptos" w:eastAsia="Aptos" w:cs="Aptos"/>
          <w:b w:val="0"/>
          <w:bCs w:val="0"/>
          <w:i w:val="0"/>
          <w:iCs w:val="0"/>
          <w:caps w:val="0"/>
          <w:smallCaps w:val="0"/>
          <w:strike w:val="0"/>
          <w:dstrike w:val="0"/>
          <w:noProof w:val="0"/>
          <w:sz w:val="24"/>
          <w:szCs w:val="24"/>
          <w:lang w:val="en-US"/>
        </w:rPr>
        <w:t xml:space="preserve"> </w:t>
      </w:r>
    </w:p>
    <w:p w:rsidR="42E6E6C9" w:rsidP="5A746606" w:rsidRDefault="42E6E6C9" w14:paraId="68E2015F" w14:textId="32763313">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42E6E6C9">
        <w:rPr>
          <w:rFonts w:ascii="Aptos" w:hAnsi="Aptos" w:eastAsia="Aptos" w:cs="Aptos"/>
          <w:b w:val="0"/>
          <w:bCs w:val="0"/>
          <w:i w:val="0"/>
          <w:iCs w:val="0"/>
          <w:caps w:val="0"/>
          <w:smallCaps w:val="0"/>
          <w:strike w:val="0"/>
          <w:dstrike w:val="0"/>
          <w:noProof w:val="0"/>
          <w:sz w:val="24"/>
          <w:szCs w:val="24"/>
          <w:lang w:val="en-US"/>
        </w:rPr>
        <w:t xml:space="preserve">Ofori-Boateng, R., Aceves-Martins, M., </w:t>
      </w:r>
      <w:r w:rsidRPr="5A746606" w:rsidR="42E6E6C9">
        <w:rPr>
          <w:rFonts w:ascii="Aptos" w:hAnsi="Aptos" w:eastAsia="Aptos" w:cs="Aptos"/>
          <w:b w:val="0"/>
          <w:bCs w:val="0"/>
          <w:i w:val="0"/>
          <w:iCs w:val="0"/>
          <w:caps w:val="0"/>
          <w:smallCaps w:val="0"/>
          <w:strike w:val="0"/>
          <w:dstrike w:val="0"/>
          <w:noProof w:val="0"/>
          <w:sz w:val="24"/>
          <w:szCs w:val="24"/>
          <w:lang w:val="en-US"/>
        </w:rPr>
        <w:t>Wiratunga</w:t>
      </w:r>
      <w:r w:rsidRPr="5A746606" w:rsidR="42E6E6C9">
        <w:rPr>
          <w:rFonts w:ascii="Aptos" w:hAnsi="Aptos" w:eastAsia="Aptos" w:cs="Aptos"/>
          <w:b w:val="0"/>
          <w:bCs w:val="0"/>
          <w:i w:val="0"/>
          <w:iCs w:val="0"/>
          <w:caps w:val="0"/>
          <w:smallCaps w:val="0"/>
          <w:strike w:val="0"/>
          <w:dstrike w:val="0"/>
          <w:noProof w:val="0"/>
          <w:sz w:val="24"/>
          <w:szCs w:val="24"/>
          <w:lang w:val="en-US"/>
        </w:rPr>
        <w:t xml:space="preserve">, N., &amp; Moreno-Garcia, C. F. (2024). Towards the automation of systematic reviews using natural language processing, machine learning, and deep learning: a comprehensive review. </w:t>
      </w:r>
      <w:r w:rsidRPr="5A746606" w:rsidR="42E6E6C9">
        <w:rPr>
          <w:rFonts w:ascii="Aptos" w:hAnsi="Aptos" w:eastAsia="Aptos" w:cs="Aptos"/>
          <w:b w:val="0"/>
          <w:bCs w:val="0"/>
          <w:i w:val="1"/>
          <w:iCs w:val="1"/>
          <w:caps w:val="0"/>
          <w:smallCaps w:val="0"/>
          <w:strike w:val="0"/>
          <w:dstrike w:val="0"/>
          <w:noProof w:val="0"/>
          <w:sz w:val="24"/>
          <w:szCs w:val="24"/>
          <w:lang w:val="en-US"/>
        </w:rPr>
        <w:t>Artificial intelligence review</w:t>
      </w:r>
      <w:r w:rsidRPr="5A746606" w:rsidR="42E6E6C9">
        <w:rPr>
          <w:rFonts w:ascii="Aptos" w:hAnsi="Aptos" w:eastAsia="Aptos" w:cs="Aptos"/>
          <w:b w:val="0"/>
          <w:bCs w:val="0"/>
          <w:i w:val="0"/>
          <w:iCs w:val="0"/>
          <w:caps w:val="0"/>
          <w:smallCaps w:val="0"/>
          <w:strike w:val="0"/>
          <w:dstrike w:val="0"/>
          <w:noProof w:val="0"/>
          <w:sz w:val="24"/>
          <w:szCs w:val="24"/>
          <w:lang w:val="en-US"/>
        </w:rPr>
        <w:t xml:space="preserve">, 57(8), 200. </w:t>
      </w:r>
      <w:hyperlink r:id="Rb819827454514fca">
        <w:r w:rsidRPr="5A746606" w:rsidR="42E6E6C9">
          <w:rPr>
            <w:rStyle w:val="Hyperlink"/>
            <w:rFonts w:ascii="Aptos" w:hAnsi="Aptos" w:eastAsia="Aptos" w:cs="Aptos"/>
            <w:b w:val="0"/>
            <w:bCs w:val="0"/>
            <w:i w:val="0"/>
            <w:iCs w:val="0"/>
            <w:caps w:val="0"/>
            <w:smallCaps w:val="0"/>
            <w:strike w:val="0"/>
            <w:dstrike w:val="0"/>
            <w:noProof w:val="0"/>
            <w:sz w:val="24"/>
            <w:szCs w:val="24"/>
            <w:lang w:val="en-US"/>
          </w:rPr>
          <w:t>https://doi.org/10.1007/s10462-024-10844-w</w:t>
        </w:r>
      </w:hyperlink>
      <w:r w:rsidRPr="5A746606" w:rsidR="42E6E6C9">
        <w:rPr>
          <w:rFonts w:ascii="Aptos" w:hAnsi="Aptos" w:eastAsia="Aptos" w:cs="Aptos"/>
          <w:b w:val="0"/>
          <w:bCs w:val="0"/>
          <w:i w:val="0"/>
          <w:iCs w:val="0"/>
          <w:caps w:val="0"/>
          <w:smallCaps w:val="0"/>
          <w:strike w:val="0"/>
          <w:dstrike w:val="0"/>
          <w:noProof w:val="0"/>
          <w:sz w:val="24"/>
          <w:szCs w:val="24"/>
          <w:lang w:val="en-US"/>
        </w:rPr>
        <w:t xml:space="preserve"> </w:t>
      </w:r>
    </w:p>
    <w:p w:rsidR="1B864106" w:rsidP="3C60AEA8" w:rsidRDefault="1B864106" w14:paraId="628E6FB1" w14:textId="203FD8D8">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1B864106">
        <w:rPr>
          <w:rFonts w:ascii="Aptos" w:hAnsi="Aptos" w:eastAsia="Aptos" w:cs="Aptos"/>
          <w:b w:val="0"/>
          <w:bCs w:val="0"/>
          <w:i w:val="0"/>
          <w:iCs w:val="0"/>
          <w:caps w:val="0"/>
          <w:smallCaps w:val="0"/>
          <w:strike w:val="0"/>
          <w:dstrike w:val="0"/>
          <w:noProof w:val="0"/>
          <w:sz w:val="24"/>
          <w:szCs w:val="24"/>
          <w:lang w:val="en-US"/>
        </w:rPr>
        <w:t>Okunola, O. H. (2025). Exploring multi-level governance arrangements in disaster recovery: A study of Lagos, Nigeria.</w:t>
      </w:r>
      <w:r w:rsidRPr="5A746606" w:rsidR="1B864106">
        <w:rPr>
          <w:rFonts w:ascii="Aptos" w:hAnsi="Aptos" w:eastAsia="Aptos" w:cs="Aptos"/>
          <w:b w:val="0"/>
          <w:bCs w:val="0"/>
          <w:i w:val="1"/>
          <w:iCs w:val="1"/>
          <w:caps w:val="0"/>
          <w:smallCaps w:val="0"/>
          <w:strike w:val="0"/>
          <w:dstrike w:val="0"/>
          <w:noProof w:val="0"/>
          <w:sz w:val="24"/>
          <w:szCs w:val="24"/>
          <w:lang w:val="en-US"/>
        </w:rPr>
        <w:t xml:space="preserve"> International Journal of Disaster Risk Reduction</w:t>
      </w:r>
      <w:r w:rsidRPr="5A746606" w:rsidR="1B864106">
        <w:rPr>
          <w:rFonts w:ascii="Aptos" w:hAnsi="Aptos" w:eastAsia="Aptos" w:cs="Aptos"/>
          <w:b w:val="0"/>
          <w:bCs w:val="0"/>
          <w:i w:val="0"/>
          <w:iCs w:val="0"/>
          <w:caps w:val="0"/>
          <w:smallCaps w:val="0"/>
          <w:strike w:val="0"/>
          <w:dstrike w:val="0"/>
          <w:noProof w:val="0"/>
          <w:sz w:val="24"/>
          <w:szCs w:val="24"/>
          <w:lang w:val="en-US"/>
        </w:rPr>
        <w:t xml:space="preserve">, 118, 105254. </w:t>
      </w:r>
      <w:hyperlink r:id="R1c9834b0fb964792">
        <w:r w:rsidRPr="5A746606" w:rsidR="1B864106">
          <w:rPr>
            <w:rStyle w:val="Hyperlink"/>
            <w:rFonts w:ascii="Aptos" w:hAnsi="Aptos" w:eastAsia="Aptos" w:cs="Aptos"/>
            <w:b w:val="0"/>
            <w:bCs w:val="0"/>
            <w:i w:val="0"/>
            <w:iCs w:val="0"/>
            <w:caps w:val="0"/>
            <w:smallCaps w:val="0"/>
            <w:strike w:val="0"/>
            <w:dstrike w:val="0"/>
            <w:noProof w:val="0"/>
            <w:sz w:val="24"/>
            <w:szCs w:val="24"/>
            <w:lang w:val="en-US"/>
          </w:rPr>
          <w:t>https://doi.org/10.1016/j.ijdrr.2025.105254</w:t>
        </w:r>
      </w:hyperlink>
      <w:r w:rsidRPr="5A746606" w:rsidR="1B864106">
        <w:rPr>
          <w:rFonts w:ascii="Aptos" w:hAnsi="Aptos" w:eastAsia="Aptos" w:cs="Aptos"/>
          <w:b w:val="0"/>
          <w:bCs w:val="0"/>
          <w:i w:val="0"/>
          <w:iCs w:val="0"/>
          <w:caps w:val="0"/>
          <w:smallCaps w:val="0"/>
          <w:strike w:val="0"/>
          <w:dstrike w:val="0"/>
          <w:noProof w:val="0"/>
          <w:sz w:val="24"/>
          <w:szCs w:val="24"/>
          <w:lang w:val="en-US"/>
        </w:rPr>
        <w:t xml:space="preserve"> </w:t>
      </w:r>
    </w:p>
    <w:p w:rsidR="71A904A2" w:rsidP="5A746606" w:rsidRDefault="71A904A2" w14:paraId="3FA0D970" w14:textId="4A018C67">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71A904A2">
        <w:rPr>
          <w:rFonts w:ascii="Aptos" w:hAnsi="Aptos" w:eastAsia="Aptos" w:cs="Aptos"/>
          <w:b w:val="0"/>
          <w:bCs w:val="0"/>
          <w:i w:val="0"/>
          <w:iCs w:val="0"/>
          <w:caps w:val="0"/>
          <w:smallCaps w:val="0"/>
          <w:strike w:val="0"/>
          <w:dstrike w:val="0"/>
          <w:noProof w:val="0"/>
          <w:sz w:val="24"/>
          <w:szCs w:val="24"/>
          <w:lang w:val="en-US"/>
        </w:rPr>
        <w:t xml:space="preserve">Ortiz-Ortiz, J. (2026). At the Intersection of Property and Disaster Recovery. </w:t>
      </w:r>
      <w:r w:rsidRPr="5A746606" w:rsidR="71A904A2">
        <w:rPr>
          <w:rFonts w:ascii="Aptos" w:hAnsi="Aptos" w:eastAsia="Aptos" w:cs="Aptos"/>
          <w:b w:val="0"/>
          <w:bCs w:val="0"/>
          <w:i w:val="1"/>
          <w:iCs w:val="1"/>
          <w:caps w:val="0"/>
          <w:smallCaps w:val="0"/>
          <w:strike w:val="0"/>
          <w:dstrike w:val="0"/>
          <w:noProof w:val="0"/>
          <w:sz w:val="24"/>
          <w:szCs w:val="24"/>
          <w:lang w:val="en-US"/>
        </w:rPr>
        <w:t>Probate and Property</w:t>
      </w:r>
      <w:r w:rsidRPr="5A746606" w:rsidR="71A904A2">
        <w:rPr>
          <w:rFonts w:ascii="Aptos" w:hAnsi="Aptos" w:eastAsia="Aptos" w:cs="Aptos"/>
          <w:b w:val="0"/>
          <w:bCs w:val="0"/>
          <w:i w:val="0"/>
          <w:iCs w:val="0"/>
          <w:caps w:val="0"/>
          <w:smallCaps w:val="0"/>
          <w:strike w:val="0"/>
          <w:dstrike w:val="0"/>
          <w:noProof w:val="0"/>
          <w:sz w:val="24"/>
          <w:szCs w:val="24"/>
          <w:lang w:val="en-US"/>
        </w:rPr>
        <w:t xml:space="preserve">, 40, 38. </w:t>
      </w:r>
      <w:hyperlink r:id="R3446a617322643f0">
        <w:r w:rsidRPr="5A746606" w:rsidR="71A904A2">
          <w:rPr>
            <w:rStyle w:val="Hyperlink"/>
            <w:rFonts w:ascii="Aptos" w:hAnsi="Aptos" w:eastAsia="Aptos" w:cs="Aptos"/>
            <w:b w:val="0"/>
            <w:bCs w:val="0"/>
            <w:i w:val="0"/>
            <w:iCs w:val="0"/>
            <w:caps w:val="0"/>
            <w:smallCaps w:val="0"/>
            <w:strike w:val="0"/>
            <w:dstrike w:val="0"/>
            <w:noProof w:val="0"/>
            <w:sz w:val="24"/>
            <w:szCs w:val="24"/>
            <w:lang w:val="en-US"/>
          </w:rPr>
          <w:t>https://scholarship.law.stjohns.edu/faculty_publications/922/</w:t>
        </w:r>
      </w:hyperlink>
      <w:r w:rsidRPr="5A746606" w:rsidR="71A904A2">
        <w:rPr>
          <w:rFonts w:ascii="Aptos" w:hAnsi="Aptos" w:eastAsia="Aptos" w:cs="Aptos"/>
          <w:b w:val="0"/>
          <w:bCs w:val="0"/>
          <w:i w:val="0"/>
          <w:iCs w:val="0"/>
          <w:caps w:val="0"/>
          <w:smallCaps w:val="0"/>
          <w:strike w:val="0"/>
          <w:dstrike w:val="0"/>
          <w:noProof w:val="0"/>
          <w:sz w:val="24"/>
          <w:szCs w:val="24"/>
          <w:lang w:val="en-US"/>
        </w:rPr>
        <w:t xml:space="preserve"> </w:t>
      </w:r>
    </w:p>
    <w:p w:rsidR="06EC25B3" w:rsidP="0FA9DDF5" w:rsidRDefault="06EC25B3" w14:paraId="01EEA05D" w14:textId="7240A324">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06EC25B3">
        <w:rPr>
          <w:rFonts w:ascii="Aptos" w:hAnsi="Aptos" w:eastAsia="Aptos" w:cs="Aptos"/>
          <w:b w:val="0"/>
          <w:bCs w:val="0"/>
          <w:i w:val="0"/>
          <w:iCs w:val="0"/>
          <w:caps w:val="0"/>
          <w:smallCaps w:val="0"/>
          <w:strike w:val="0"/>
          <w:dstrike w:val="0"/>
          <w:noProof w:val="0"/>
          <w:sz w:val="24"/>
          <w:szCs w:val="24"/>
          <w:lang w:val="en-US"/>
        </w:rPr>
        <w:t xml:space="preserve">Owolabi, H. O., </w:t>
      </w:r>
      <w:r w:rsidRPr="0FA9DDF5" w:rsidR="06EC25B3">
        <w:rPr>
          <w:rFonts w:ascii="Aptos" w:hAnsi="Aptos" w:eastAsia="Aptos" w:cs="Aptos"/>
          <w:b w:val="0"/>
          <w:bCs w:val="0"/>
          <w:i w:val="0"/>
          <w:iCs w:val="0"/>
          <w:caps w:val="0"/>
          <w:smallCaps w:val="0"/>
          <w:strike w:val="0"/>
          <w:dstrike w:val="0"/>
          <w:noProof w:val="0"/>
          <w:sz w:val="24"/>
          <w:szCs w:val="24"/>
          <w:lang w:val="en-US"/>
        </w:rPr>
        <w:t>Ayandele</w:t>
      </w:r>
      <w:r w:rsidRPr="0FA9DDF5" w:rsidR="06EC25B3">
        <w:rPr>
          <w:rFonts w:ascii="Aptos" w:hAnsi="Aptos" w:eastAsia="Aptos" w:cs="Aptos"/>
          <w:b w:val="0"/>
          <w:bCs w:val="0"/>
          <w:i w:val="0"/>
          <w:iCs w:val="0"/>
          <w:caps w:val="0"/>
          <w:smallCaps w:val="0"/>
          <w:strike w:val="0"/>
          <w:dstrike w:val="0"/>
          <w:noProof w:val="0"/>
          <w:sz w:val="24"/>
          <w:szCs w:val="24"/>
          <w:lang w:val="en-US"/>
        </w:rPr>
        <w:t xml:space="preserve">, J. K., &amp; Olaoye, D. D. (2020). A systematic review of structural equation </w:t>
      </w:r>
      <w:r w:rsidRPr="0FA9DDF5" w:rsidR="06EC25B3">
        <w:rPr>
          <w:rFonts w:ascii="Aptos" w:hAnsi="Aptos" w:eastAsia="Aptos" w:cs="Aptos"/>
          <w:b w:val="0"/>
          <w:bCs w:val="0"/>
          <w:i w:val="0"/>
          <w:iCs w:val="0"/>
          <w:caps w:val="0"/>
          <w:smallCaps w:val="0"/>
          <w:strike w:val="0"/>
          <w:dstrike w:val="0"/>
          <w:noProof w:val="0"/>
          <w:sz w:val="24"/>
          <w:szCs w:val="24"/>
          <w:lang w:val="en-US"/>
        </w:rPr>
        <w:t>model</w:t>
      </w:r>
      <w:r w:rsidRPr="0FA9DDF5" w:rsidR="06EC25B3">
        <w:rPr>
          <w:rFonts w:ascii="Aptos" w:hAnsi="Aptos" w:eastAsia="Aptos" w:cs="Aptos"/>
          <w:b w:val="0"/>
          <w:bCs w:val="0"/>
          <w:i w:val="0"/>
          <w:iCs w:val="0"/>
          <w:caps w:val="0"/>
          <w:smallCaps w:val="0"/>
          <w:strike w:val="0"/>
          <w:dstrike w:val="0"/>
          <w:noProof w:val="0"/>
          <w:sz w:val="24"/>
          <w:szCs w:val="24"/>
          <w:lang w:val="en-US"/>
        </w:rPr>
        <w:t xml:space="preserve"> (SEM). </w:t>
      </w:r>
      <w:r w:rsidRPr="0FA9DDF5" w:rsidR="06EC25B3">
        <w:rPr>
          <w:rFonts w:ascii="Aptos" w:hAnsi="Aptos" w:eastAsia="Aptos" w:cs="Aptos"/>
          <w:b w:val="0"/>
          <w:bCs w:val="0"/>
          <w:i w:val="1"/>
          <w:iCs w:val="1"/>
          <w:caps w:val="0"/>
          <w:smallCaps w:val="0"/>
          <w:strike w:val="0"/>
          <w:dstrike w:val="0"/>
          <w:noProof w:val="0"/>
          <w:sz w:val="24"/>
          <w:szCs w:val="24"/>
          <w:lang w:val="en-US"/>
        </w:rPr>
        <w:t>Open Journal of Educational Development</w:t>
      </w:r>
      <w:r w:rsidRPr="0FA9DDF5" w:rsidR="06EC25B3">
        <w:rPr>
          <w:rFonts w:ascii="Aptos" w:hAnsi="Aptos" w:eastAsia="Aptos" w:cs="Aptos"/>
          <w:b w:val="0"/>
          <w:bCs w:val="0"/>
          <w:i w:val="0"/>
          <w:iCs w:val="0"/>
          <w:caps w:val="0"/>
          <w:smallCaps w:val="0"/>
          <w:strike w:val="0"/>
          <w:dstrike w:val="0"/>
          <w:noProof w:val="0"/>
          <w:sz w:val="24"/>
          <w:szCs w:val="24"/>
          <w:lang w:val="en-US"/>
        </w:rPr>
        <w:t xml:space="preserve"> (ISSN: 2734-2050), 1(2), 27-39. </w:t>
      </w:r>
      <w:hyperlink r:id="Rd53ef7cef3df4225">
        <w:r w:rsidRPr="0FA9DDF5" w:rsidR="06EC25B3">
          <w:rPr>
            <w:rStyle w:val="Hyperlink"/>
            <w:rFonts w:ascii="Aptos" w:hAnsi="Aptos" w:eastAsia="Aptos" w:cs="Aptos"/>
            <w:b w:val="0"/>
            <w:bCs w:val="0"/>
            <w:i w:val="0"/>
            <w:iCs w:val="0"/>
            <w:caps w:val="0"/>
            <w:smallCaps w:val="0"/>
            <w:strike w:val="0"/>
            <w:dstrike w:val="0"/>
            <w:noProof w:val="0"/>
            <w:sz w:val="24"/>
            <w:szCs w:val="24"/>
            <w:lang w:val="en-US"/>
          </w:rPr>
          <w:t>https://doi.org/10.52417/ojed.v1i2.163</w:t>
        </w:r>
      </w:hyperlink>
      <w:r w:rsidRPr="0FA9DDF5" w:rsidR="06EC25B3">
        <w:rPr>
          <w:rFonts w:ascii="Aptos" w:hAnsi="Aptos" w:eastAsia="Aptos" w:cs="Aptos"/>
          <w:b w:val="0"/>
          <w:bCs w:val="0"/>
          <w:i w:val="0"/>
          <w:iCs w:val="0"/>
          <w:caps w:val="0"/>
          <w:smallCaps w:val="0"/>
          <w:strike w:val="0"/>
          <w:dstrike w:val="0"/>
          <w:noProof w:val="0"/>
          <w:sz w:val="24"/>
          <w:szCs w:val="24"/>
          <w:lang w:val="en-US"/>
        </w:rPr>
        <w:t xml:space="preserve"> </w:t>
      </w:r>
    </w:p>
    <w:p w:rsidR="770752C3" w:rsidP="0FA9DDF5" w:rsidRDefault="770752C3" w14:paraId="1538EBB9" w14:textId="5F14A62D">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770752C3">
        <w:rPr>
          <w:rFonts w:ascii="Aptos" w:hAnsi="Aptos" w:eastAsia="Aptos" w:cs="Aptos"/>
          <w:b w:val="0"/>
          <w:bCs w:val="0"/>
          <w:i w:val="0"/>
          <w:iCs w:val="0"/>
          <w:caps w:val="0"/>
          <w:smallCaps w:val="0"/>
          <w:strike w:val="0"/>
          <w:dstrike w:val="0"/>
          <w:noProof w:val="0"/>
          <w:sz w:val="24"/>
          <w:szCs w:val="24"/>
          <w:lang w:val="en-US"/>
        </w:rPr>
        <w:t xml:space="preserve">Ospina, S. M., Esteve, M., &amp; Lee, S. (2018). Assessing qualitative studies in public administration research. </w:t>
      </w:r>
      <w:r w:rsidRPr="0FA9DDF5" w:rsidR="770752C3">
        <w:rPr>
          <w:rFonts w:ascii="Aptos" w:hAnsi="Aptos" w:eastAsia="Aptos" w:cs="Aptos"/>
          <w:b w:val="0"/>
          <w:bCs w:val="0"/>
          <w:i w:val="1"/>
          <w:iCs w:val="1"/>
          <w:caps w:val="0"/>
          <w:smallCaps w:val="0"/>
          <w:strike w:val="0"/>
          <w:dstrike w:val="0"/>
          <w:noProof w:val="0"/>
          <w:sz w:val="24"/>
          <w:szCs w:val="24"/>
          <w:lang w:val="en-US"/>
        </w:rPr>
        <w:t>Public Administration Review</w:t>
      </w:r>
      <w:r w:rsidRPr="0FA9DDF5" w:rsidR="770752C3">
        <w:rPr>
          <w:rFonts w:ascii="Aptos" w:hAnsi="Aptos" w:eastAsia="Aptos" w:cs="Aptos"/>
          <w:b w:val="0"/>
          <w:bCs w:val="0"/>
          <w:i w:val="0"/>
          <w:iCs w:val="0"/>
          <w:caps w:val="0"/>
          <w:smallCaps w:val="0"/>
          <w:strike w:val="0"/>
          <w:dstrike w:val="0"/>
          <w:noProof w:val="0"/>
          <w:sz w:val="24"/>
          <w:szCs w:val="24"/>
          <w:lang w:val="en-US"/>
        </w:rPr>
        <w:t xml:space="preserve">, 78(4), 593-605. </w:t>
      </w:r>
      <w:hyperlink r:id="R58efb259650745a0">
        <w:r w:rsidRPr="0FA9DDF5" w:rsidR="770752C3">
          <w:rPr>
            <w:rStyle w:val="Hyperlink"/>
            <w:rFonts w:ascii="Aptos" w:hAnsi="Aptos" w:eastAsia="Aptos" w:cs="Aptos"/>
            <w:b w:val="0"/>
            <w:bCs w:val="0"/>
            <w:i w:val="0"/>
            <w:iCs w:val="0"/>
            <w:caps w:val="0"/>
            <w:smallCaps w:val="0"/>
            <w:strike w:val="0"/>
            <w:dstrike w:val="0"/>
            <w:noProof w:val="0"/>
            <w:sz w:val="24"/>
            <w:szCs w:val="24"/>
            <w:lang w:val="en-US"/>
          </w:rPr>
          <w:t>https://doi.org/10.1111/puar.12837</w:t>
        </w:r>
      </w:hyperlink>
      <w:r w:rsidRPr="0FA9DDF5" w:rsidR="770752C3">
        <w:rPr>
          <w:rFonts w:ascii="Aptos" w:hAnsi="Aptos" w:eastAsia="Aptos" w:cs="Aptos"/>
          <w:b w:val="0"/>
          <w:bCs w:val="0"/>
          <w:i w:val="0"/>
          <w:iCs w:val="0"/>
          <w:caps w:val="0"/>
          <w:smallCaps w:val="0"/>
          <w:strike w:val="0"/>
          <w:dstrike w:val="0"/>
          <w:noProof w:val="0"/>
          <w:sz w:val="24"/>
          <w:szCs w:val="24"/>
          <w:lang w:val="en-US"/>
        </w:rPr>
        <w:t xml:space="preserve"> </w:t>
      </w:r>
    </w:p>
    <w:p w:rsidR="03F05929" w:rsidP="0FA9DDF5" w:rsidRDefault="03F05929" w14:paraId="0CB08F6B" w14:textId="316CEBD3">
      <w:pPr>
        <w:pStyle w:val="Normal"/>
        <w:suppressLineNumbers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03428131">
        <w:rPr>
          <w:rFonts w:ascii="Aptos" w:hAnsi="Aptos" w:eastAsia="Aptos" w:cs="Aptos"/>
          <w:b w:val="0"/>
          <w:bCs w:val="0"/>
          <w:i w:val="0"/>
          <w:iCs w:val="0"/>
          <w:caps w:val="0"/>
          <w:smallCaps w:val="0"/>
          <w:strike w:val="0"/>
          <w:dstrike w:val="0"/>
          <w:noProof w:val="0"/>
          <w:sz w:val="24"/>
          <w:szCs w:val="24"/>
          <w:lang w:val="en-US"/>
        </w:rPr>
        <w:t>Peacock, W. G., Van Zandt, S., Zhang, Y., &amp; Highfield, W. E. (2014). Inequities in long-term housing recovery after disasters.</w:t>
      </w:r>
      <w:r w:rsidRPr="0FA9DDF5" w:rsidR="03428131">
        <w:rPr>
          <w:rFonts w:ascii="Aptos" w:hAnsi="Aptos" w:eastAsia="Aptos" w:cs="Aptos"/>
          <w:b w:val="0"/>
          <w:bCs w:val="0"/>
          <w:i w:val="1"/>
          <w:iCs w:val="1"/>
          <w:caps w:val="0"/>
          <w:smallCaps w:val="0"/>
          <w:strike w:val="0"/>
          <w:dstrike w:val="0"/>
          <w:noProof w:val="0"/>
          <w:sz w:val="24"/>
          <w:szCs w:val="24"/>
          <w:lang w:val="en-US"/>
        </w:rPr>
        <w:t xml:space="preserve"> Journal of the American Planning Association</w:t>
      </w:r>
      <w:r w:rsidRPr="0FA9DDF5" w:rsidR="03428131">
        <w:rPr>
          <w:rFonts w:ascii="Aptos" w:hAnsi="Aptos" w:eastAsia="Aptos" w:cs="Aptos"/>
          <w:b w:val="0"/>
          <w:bCs w:val="0"/>
          <w:i w:val="0"/>
          <w:iCs w:val="0"/>
          <w:caps w:val="0"/>
          <w:smallCaps w:val="0"/>
          <w:strike w:val="0"/>
          <w:dstrike w:val="0"/>
          <w:noProof w:val="0"/>
          <w:sz w:val="24"/>
          <w:szCs w:val="24"/>
          <w:lang w:val="en-US"/>
        </w:rPr>
        <w:t>, 80(4), 356-371.</w:t>
      </w:r>
      <w:r w:rsidRPr="0FA9DDF5" w:rsidR="1E8EFA12">
        <w:rPr>
          <w:rFonts w:ascii="Aptos" w:hAnsi="Aptos" w:eastAsia="Aptos" w:cs="Aptos"/>
          <w:b w:val="0"/>
          <w:bCs w:val="0"/>
          <w:i w:val="0"/>
          <w:iCs w:val="0"/>
          <w:caps w:val="0"/>
          <w:smallCaps w:val="0"/>
          <w:strike w:val="0"/>
          <w:dstrike w:val="0"/>
          <w:noProof w:val="0"/>
          <w:sz w:val="24"/>
          <w:szCs w:val="24"/>
          <w:lang w:val="en-US"/>
        </w:rPr>
        <w:t xml:space="preserve"> </w:t>
      </w:r>
      <w:hyperlink r:id="Rbe3ec9a645c34f71">
        <w:r w:rsidRPr="0FA9DDF5" w:rsidR="1E8EFA12">
          <w:rPr>
            <w:rStyle w:val="Hyperlink"/>
            <w:rFonts w:ascii="Aptos" w:hAnsi="Aptos" w:eastAsia="Aptos" w:cs="Aptos"/>
            <w:b w:val="0"/>
            <w:bCs w:val="0"/>
            <w:i w:val="0"/>
            <w:iCs w:val="0"/>
            <w:caps w:val="0"/>
            <w:smallCaps w:val="0"/>
            <w:strike w:val="0"/>
            <w:dstrike w:val="0"/>
            <w:noProof w:val="0"/>
            <w:sz w:val="24"/>
            <w:szCs w:val="24"/>
            <w:lang w:val="en-US"/>
          </w:rPr>
          <w:t>https://doi.org/10.1080/01944363.2014.980440</w:t>
        </w:r>
      </w:hyperlink>
      <w:r w:rsidRPr="0FA9DDF5" w:rsidR="1E8EFA12">
        <w:rPr>
          <w:rFonts w:ascii="Aptos" w:hAnsi="Aptos" w:eastAsia="Aptos" w:cs="Aptos"/>
          <w:b w:val="0"/>
          <w:bCs w:val="0"/>
          <w:i w:val="0"/>
          <w:iCs w:val="0"/>
          <w:caps w:val="0"/>
          <w:smallCaps w:val="0"/>
          <w:strike w:val="0"/>
          <w:dstrike w:val="0"/>
          <w:noProof w:val="0"/>
          <w:sz w:val="24"/>
          <w:szCs w:val="24"/>
          <w:lang w:val="en-US"/>
        </w:rPr>
        <w:t xml:space="preserve"> </w:t>
      </w:r>
    </w:p>
    <w:p w:rsidR="55AEB0D7" w:rsidP="0FA9DDF5" w:rsidRDefault="55AEB0D7" w14:paraId="7ADF96AD" w14:textId="0FCFAE18">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Rosas, E., Roberts, P. S., </w:t>
      </w: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Lauland</w:t>
      </w: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 A., Gutierrez, I. A., &amp; Nuñez-Neto, B. (2021). Assessing the impact of municipal government capacity on recovery from Hurricane Maria in Puerto Rico. </w:t>
      </w:r>
      <w:r w:rsidRPr="0FA9DDF5" w:rsidR="55AEB0D7">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 61, 102340. </w:t>
      </w:r>
      <w:hyperlink r:id="R9da5ff8316494d57">
        <w:r w:rsidRPr="0FA9DDF5" w:rsidR="55AEB0D7">
          <w:rPr>
            <w:rStyle w:val="Hyperlink"/>
            <w:rFonts w:ascii="Aptos" w:hAnsi="Aptos" w:eastAsia="Aptos" w:cs="Aptos"/>
            <w:b w:val="0"/>
            <w:bCs w:val="0"/>
            <w:i w:val="0"/>
            <w:iCs w:val="0"/>
            <w:caps w:val="0"/>
            <w:smallCaps w:val="0"/>
            <w:noProof w:val="0"/>
            <w:sz w:val="24"/>
            <w:szCs w:val="24"/>
            <w:lang w:val="en-US"/>
          </w:rPr>
          <w:t>https://doi.org/10.1016/j.ijdrr.2021.102340</w:t>
        </w:r>
      </w:hyperlink>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5E6D308" w:rsidP="0FA9DDF5" w:rsidRDefault="75E6D308" w14:paraId="226170E0" w14:textId="412CC81A">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Rouhanizadeh</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B., </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Kermanshachi</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S., &amp; Nipa, T. J. (2020). Exploratory analysis of barriers to effective post-disaster recovery. </w:t>
      </w:r>
      <w:r w:rsidRPr="0FA9DDF5" w:rsidR="75E6D308">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50, 101735. </w:t>
      </w:r>
      <w:hyperlink r:id="Rbecda854c4144f08">
        <w:r w:rsidRPr="0FA9DDF5" w:rsidR="75E6D308">
          <w:rPr>
            <w:rStyle w:val="Hyperlink"/>
            <w:rFonts w:ascii="Aptos" w:hAnsi="Aptos" w:eastAsia="Aptos" w:cs="Aptos"/>
            <w:b w:val="0"/>
            <w:bCs w:val="0"/>
            <w:i w:val="0"/>
            <w:iCs w:val="0"/>
            <w:caps w:val="0"/>
            <w:smallCaps w:val="0"/>
            <w:noProof w:val="0"/>
            <w:sz w:val="24"/>
            <w:szCs w:val="24"/>
            <w:lang w:val="en-US"/>
          </w:rPr>
          <w:t>https://doi.org/10.1016/j.ijdrr.2020.101735</w:t>
        </w:r>
      </w:hyperlink>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201BF5F" w:rsidP="0FA9DDF5" w:rsidRDefault="7201BF5F" w14:paraId="7986E5C4" w14:textId="7DF4C00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Rouhanizadeh</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B., </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Kermanshachi</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S., &amp; </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Safapour</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E. (2022). An investigation of causal relationships among barriers that delay post-hurricane recovery of human communities. </w:t>
      </w:r>
      <w:r w:rsidRPr="0FA9DDF5" w:rsidR="7201BF5F">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67, 102666. </w:t>
      </w:r>
      <w:hyperlink r:id="R8be4fa56c063413e">
        <w:r w:rsidRPr="0FA9DDF5" w:rsidR="7201BF5F">
          <w:rPr>
            <w:rStyle w:val="Hyperlink"/>
            <w:rFonts w:ascii="Aptos" w:hAnsi="Aptos" w:eastAsia="Aptos" w:cs="Aptos"/>
            <w:b w:val="0"/>
            <w:bCs w:val="0"/>
            <w:i w:val="0"/>
            <w:iCs w:val="0"/>
            <w:caps w:val="0"/>
            <w:smallCaps w:val="0"/>
            <w:noProof w:val="0"/>
            <w:sz w:val="24"/>
            <w:szCs w:val="24"/>
            <w:lang w:val="en-US"/>
          </w:rPr>
          <w:t>https://doi.org/10.1016/j.ijdrr.2021.102666</w:t>
        </w:r>
      </w:hyperlink>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229B6915" w14:textId="271D32E4">
      <w:pPr>
        <w:suppressLineNumbers w:val="0"/>
        <w:bidi w:val="0"/>
        <w:spacing w:before="240" w:beforeAutospacing="off" w:after="240" w:afterAutospacing="off" w:line="278" w:lineRule="auto"/>
        <w:ind/>
        <w:rPr>
          <w:rFonts w:ascii="Aptos" w:hAnsi="Aptos" w:eastAsia="Aptos" w:cs="Aptos"/>
          <w:b w:val="0"/>
          <w:bCs w:val="0"/>
          <w:i w:val="0"/>
          <w:iCs w:val="0"/>
          <w:caps w:val="0"/>
          <w:smallCaps w:val="0"/>
          <w:strike w:val="0"/>
          <w:dstrike w:val="0"/>
          <w:noProof w:val="0"/>
          <w:sz w:val="24"/>
          <w:szCs w:val="24"/>
          <w:lang w:val="en-US"/>
        </w:rPr>
      </w:pP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Safapour</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xml:space="preserve">, E., </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Kermanshachi</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xml:space="preserve">, S., &amp; </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Pamidimukkala</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xml:space="preserve">, A. (2021). Post-disaster recovery in urban and rural communities: Challenges and strategies. </w:t>
      </w:r>
      <w:r w:rsidRPr="5A746606" w:rsidR="4EB7A08D">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64, 102535.</w:t>
      </w:r>
      <w:r w:rsidRPr="5A746606" w:rsidR="2F6D7C9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6857bf16417647e6">
        <w:r w:rsidRPr="5A746606" w:rsidR="1616F3C9">
          <w:rPr>
            <w:rStyle w:val="Hyperlink"/>
            <w:rFonts w:ascii="Aptos" w:hAnsi="Aptos" w:eastAsia="Aptos" w:cs="Aptos"/>
            <w:b w:val="0"/>
            <w:bCs w:val="0"/>
            <w:i w:val="0"/>
            <w:iCs w:val="0"/>
            <w:caps w:val="0"/>
            <w:smallCaps w:val="0"/>
            <w:noProof w:val="0"/>
            <w:sz w:val="24"/>
            <w:szCs w:val="24"/>
            <w:lang w:val="en-US"/>
          </w:rPr>
          <w:t>https://doi.org/10.1016/j.ijdrr.2021.102535</w:t>
        </w:r>
      </w:hyperlink>
      <w:r w:rsidRPr="5A746606" w:rsidR="1616F3C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D7BBCF0" w:rsidP="5A746606" w:rsidRDefault="2D7BBCF0" w14:paraId="64F336DA" w14:textId="531D7023">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Santos, J., Yip, C., </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Thekdi</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S., &amp; </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Pagsuyoin</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S. (2020). Workforce/Population, Economy, Infrastructure, Geography, Hierarchy, and Time (WEIGHT): reflections on the plural dimensions of disaster resilience. </w:t>
      </w:r>
      <w:r w:rsidRPr="5A746606" w:rsidR="2D7BBCF0">
        <w:rPr>
          <w:rFonts w:ascii="Aptos" w:hAnsi="Aptos" w:eastAsia="Aptos" w:cs="Aptos"/>
          <w:b w:val="0"/>
          <w:bCs w:val="0"/>
          <w:i w:val="1"/>
          <w:iCs w:val="1"/>
          <w:caps w:val="0"/>
          <w:smallCaps w:val="0"/>
          <w:noProof w:val="0"/>
          <w:color w:val="000000" w:themeColor="text1" w:themeTint="FF" w:themeShade="FF"/>
          <w:sz w:val="24"/>
          <w:szCs w:val="24"/>
          <w:lang w:val="en-US"/>
        </w:rPr>
        <w:t>Risk Analysis</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40(1), 43-67. </w:t>
      </w:r>
      <w:hyperlink r:id="R5b5e06fc8d464cea">
        <w:r w:rsidRPr="5A746606" w:rsidR="2D7BBCF0">
          <w:rPr>
            <w:rStyle w:val="Hyperlink"/>
            <w:rFonts w:ascii="Aptos" w:hAnsi="Aptos" w:eastAsia="Aptos" w:cs="Aptos"/>
            <w:b w:val="0"/>
            <w:bCs w:val="0"/>
            <w:i w:val="0"/>
            <w:iCs w:val="0"/>
            <w:caps w:val="0"/>
            <w:smallCaps w:val="0"/>
            <w:noProof w:val="0"/>
            <w:sz w:val="24"/>
            <w:szCs w:val="24"/>
            <w:lang w:val="en-US"/>
          </w:rPr>
          <w:t>https://doi.org/10.1111/risa.13186</w:t>
        </w:r>
      </w:hyperlink>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FFB3C47" w:rsidP="5A746606" w:rsidRDefault="7FFB3C47" w14:paraId="45599A9C" w14:textId="5E180723">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36096DDA" w:rsidP="5A746606" w:rsidRDefault="36096DDA" w14:paraId="2C5D3AF5" w14:textId="3A6F269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03F05929" w:rsidP="0FA9DDF5" w:rsidRDefault="03F05929" w14:paraId="37CE4F27" w14:textId="4CF34864">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472F79D1" w:rsidP="3C60AEA8" w:rsidRDefault="472F79D1" w14:paraId="18735639" w14:textId="67C0275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3C60AEA8" w:rsidR="472F79D1">
        <w:rPr>
          <w:rFonts w:ascii="Aptos" w:hAnsi="Aptos" w:eastAsia="Aptos" w:cs="Aptos"/>
          <w:b w:val="0"/>
          <w:bCs w:val="0"/>
          <w:i w:val="0"/>
          <w:iCs w:val="0"/>
          <w:caps w:val="0"/>
          <w:smallCaps w:val="0"/>
          <w:noProof w:val="0"/>
          <w:color w:val="000000" w:themeColor="text1" w:themeTint="FF" w:themeShade="FF"/>
          <w:sz w:val="24"/>
          <w:szCs w:val="24"/>
          <w:lang w:val="en-US"/>
        </w:rPr>
        <w:t xml:space="preserve">Tierney, K. (2012). Disaster governance: Social, political, and economic dimensions. </w:t>
      </w:r>
      <w:r w:rsidRPr="3C60AEA8" w:rsidR="472F79D1">
        <w:rPr>
          <w:rFonts w:ascii="Aptos" w:hAnsi="Aptos" w:eastAsia="Aptos" w:cs="Aptos"/>
          <w:b w:val="0"/>
          <w:bCs w:val="0"/>
          <w:i w:val="1"/>
          <w:iCs w:val="1"/>
          <w:caps w:val="0"/>
          <w:smallCaps w:val="0"/>
          <w:noProof w:val="0"/>
          <w:color w:val="000000" w:themeColor="text1" w:themeTint="FF" w:themeShade="FF"/>
          <w:sz w:val="24"/>
          <w:szCs w:val="24"/>
          <w:lang w:val="en-US"/>
        </w:rPr>
        <w:t>Annual review of Environment and Resources</w:t>
      </w:r>
      <w:r w:rsidRPr="3C60AEA8" w:rsidR="472F79D1">
        <w:rPr>
          <w:rFonts w:ascii="Aptos" w:hAnsi="Aptos" w:eastAsia="Aptos" w:cs="Aptos"/>
          <w:b w:val="0"/>
          <w:bCs w:val="0"/>
          <w:i w:val="0"/>
          <w:iCs w:val="0"/>
          <w:caps w:val="0"/>
          <w:smallCaps w:val="0"/>
          <w:noProof w:val="0"/>
          <w:color w:val="000000" w:themeColor="text1" w:themeTint="FF" w:themeShade="FF"/>
          <w:sz w:val="24"/>
          <w:szCs w:val="24"/>
          <w:lang w:val="en-US"/>
        </w:rPr>
        <w:t xml:space="preserve">, 37, 341-363. </w:t>
      </w:r>
      <w:hyperlink r:id="R42ffcfa971a74d52">
        <w:r w:rsidRPr="3C60AEA8" w:rsidR="472F79D1">
          <w:rPr>
            <w:rStyle w:val="Hyperlink"/>
            <w:rFonts w:ascii="Aptos" w:hAnsi="Aptos" w:eastAsia="Aptos" w:cs="Aptos"/>
            <w:b w:val="0"/>
            <w:bCs w:val="0"/>
            <w:i w:val="0"/>
            <w:iCs w:val="0"/>
            <w:caps w:val="0"/>
            <w:smallCaps w:val="0"/>
            <w:noProof w:val="0"/>
            <w:sz w:val="24"/>
            <w:szCs w:val="24"/>
            <w:lang w:val="en-US"/>
          </w:rPr>
          <w:t>https://doi.org/10.1146/annurev-environ-020911-095618</w:t>
        </w:r>
      </w:hyperlink>
      <w:r w:rsidRPr="3C60AEA8" w:rsidR="472F79D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31958991" w14:textId="617B90DF">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6D73D1D">
        <w:rPr>
          <w:rFonts w:ascii="Aptos" w:hAnsi="Aptos" w:eastAsia="Aptos" w:cs="Aptos"/>
          <w:b w:val="0"/>
          <w:bCs w:val="0"/>
          <w:i w:val="0"/>
          <w:iCs w:val="0"/>
          <w:caps w:val="0"/>
          <w:smallCaps w:val="0"/>
          <w:noProof w:val="0"/>
          <w:color w:val="000000" w:themeColor="text1" w:themeTint="FF" w:themeShade="FF"/>
          <w:sz w:val="24"/>
          <w:szCs w:val="24"/>
          <w:lang w:val="en-US"/>
        </w:rPr>
        <w:t xml:space="preserve">U.S. Bureau of Labor Statistics. (2026). </w:t>
      </w:r>
      <w:r w:rsidRPr="0FA9DDF5" w:rsidR="26D73D1D">
        <w:rPr>
          <w:rFonts w:ascii="Aptos" w:hAnsi="Aptos" w:eastAsia="Aptos" w:cs="Aptos"/>
          <w:b w:val="0"/>
          <w:bCs w:val="0"/>
          <w:i w:val="1"/>
          <w:iCs w:val="1"/>
          <w:caps w:val="0"/>
          <w:smallCaps w:val="0"/>
          <w:noProof w:val="0"/>
          <w:color w:val="000000" w:themeColor="text1" w:themeTint="FF" w:themeShade="FF"/>
          <w:sz w:val="24"/>
          <w:szCs w:val="24"/>
          <w:lang w:val="en-US"/>
        </w:rPr>
        <w:t>Quarterly Census of Employment and Wages</w:t>
      </w:r>
      <w:r w:rsidRPr="0FA9DDF5" w:rsidR="26D73D1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43018112e1f04a58">
        <w:r w:rsidRPr="0FA9DDF5" w:rsidR="26D73D1D">
          <w:rPr>
            <w:rStyle w:val="Hyperlink"/>
            <w:rFonts w:ascii="Aptos" w:hAnsi="Aptos" w:eastAsia="Aptos" w:cs="Aptos"/>
            <w:b w:val="0"/>
            <w:bCs w:val="0"/>
            <w:i w:val="0"/>
            <w:iCs w:val="0"/>
            <w:caps w:val="0"/>
            <w:smallCaps w:val="0"/>
            <w:noProof w:val="0"/>
            <w:sz w:val="24"/>
            <w:szCs w:val="24"/>
            <w:lang w:val="en-US"/>
          </w:rPr>
          <w:t>https://www.bls.gov/cew/downloadable-data-files.htm</w:t>
        </w:r>
      </w:hyperlink>
      <w:r w:rsidRPr="0FA9DDF5" w:rsidR="26D73D1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26A6CB55" w14:textId="3CBC1827">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4A7E6DAB">
        <w:rPr>
          <w:rFonts w:ascii="Aptos" w:hAnsi="Aptos" w:eastAsia="Aptos" w:cs="Aptos"/>
          <w:b w:val="0"/>
          <w:bCs w:val="0"/>
          <w:i w:val="0"/>
          <w:iCs w:val="0"/>
          <w:caps w:val="0"/>
          <w:smallCaps w:val="0"/>
          <w:noProof w:val="0"/>
          <w:color w:val="000000" w:themeColor="text1" w:themeTint="FF" w:themeShade="FF"/>
          <w:sz w:val="24"/>
          <w:szCs w:val="24"/>
          <w:lang w:val="en-US"/>
        </w:rPr>
        <w:t xml:space="preserve">U.S. Department of Housing and Urban Development. (2026). </w:t>
      </w:r>
      <w:r w:rsidRPr="0FA9DDF5" w:rsidR="4A7E6DAB">
        <w:rPr>
          <w:rFonts w:ascii="Aptos" w:hAnsi="Aptos" w:eastAsia="Aptos" w:cs="Aptos"/>
          <w:b w:val="0"/>
          <w:bCs w:val="0"/>
          <w:i w:val="1"/>
          <w:iCs w:val="1"/>
          <w:caps w:val="0"/>
          <w:smallCaps w:val="0"/>
          <w:noProof w:val="0"/>
          <w:color w:val="000000" w:themeColor="text1" w:themeTint="FF" w:themeShade="FF"/>
          <w:sz w:val="24"/>
          <w:szCs w:val="24"/>
          <w:lang w:val="en-US"/>
        </w:rPr>
        <w:t>CDBG-DR Reports</w:t>
      </w:r>
      <w:r w:rsidRPr="0FA9DDF5" w:rsidR="4A7E6D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c42cabebf1044a40">
        <w:r w:rsidRPr="0FA9DDF5" w:rsidR="4A7E6DAB">
          <w:rPr>
            <w:rStyle w:val="Hyperlink"/>
            <w:rFonts w:ascii="Aptos" w:hAnsi="Aptos" w:eastAsia="Aptos" w:cs="Aptos"/>
            <w:b w:val="0"/>
            <w:bCs w:val="0"/>
            <w:i w:val="0"/>
            <w:iCs w:val="0"/>
            <w:caps w:val="0"/>
            <w:smallCaps w:val="0"/>
            <w:noProof w:val="0"/>
            <w:sz w:val="24"/>
            <w:szCs w:val="24"/>
            <w:lang w:val="en-US"/>
          </w:rPr>
          <w:t>https://www.hud.gov/hud-partners/community-cdbg-dr-reports</w:t>
        </w:r>
      </w:hyperlink>
      <w:r w:rsidRPr="0FA9DDF5" w:rsidR="4A7E6D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119FE752" w14:textId="5CFD4FCF">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F6D7C99">
        <w:rPr>
          <w:rFonts w:ascii="Aptos" w:hAnsi="Aptos" w:eastAsia="Aptos" w:cs="Aptos"/>
          <w:b w:val="0"/>
          <w:bCs w:val="0"/>
          <w:i w:val="0"/>
          <w:iCs w:val="0"/>
          <w:caps w:val="0"/>
          <w:smallCaps w:val="0"/>
          <w:noProof w:val="0"/>
          <w:color w:val="000000" w:themeColor="text1" w:themeTint="FF" w:themeShade="FF"/>
          <w:sz w:val="24"/>
          <w:szCs w:val="24"/>
          <w:lang w:val="en-US"/>
        </w:rPr>
        <w:t xml:space="preserve">U.S. Government Accountability Office. (2019). </w:t>
      </w:r>
      <w:r w:rsidRPr="0FA9DDF5" w:rsidR="2F6D7C99">
        <w:rPr>
          <w:rFonts w:ascii="Aptos" w:hAnsi="Aptos" w:eastAsia="Aptos" w:cs="Aptos"/>
          <w:b w:val="0"/>
          <w:bCs w:val="0"/>
          <w:i w:val="1"/>
          <w:iCs w:val="1"/>
          <w:caps w:val="0"/>
          <w:smallCaps w:val="0"/>
          <w:noProof w:val="0"/>
          <w:color w:val="000000" w:themeColor="text1" w:themeTint="FF" w:themeShade="FF"/>
          <w:sz w:val="24"/>
          <w:szCs w:val="24"/>
          <w:lang w:val="en-US"/>
        </w:rPr>
        <w:t xml:space="preserve">Disaster recovery: Better monitoring of </w:t>
      </w:r>
      <w:r w:rsidRPr="0FA9DDF5" w:rsidR="079DE352">
        <w:rPr>
          <w:rFonts w:ascii="Aptos" w:hAnsi="Aptos" w:eastAsia="Aptos" w:cs="Aptos"/>
          <w:b w:val="0"/>
          <w:bCs w:val="0"/>
          <w:i w:val="1"/>
          <w:iCs w:val="1"/>
          <w:caps w:val="0"/>
          <w:smallCaps w:val="0"/>
          <w:noProof w:val="0"/>
          <w:color w:val="000000" w:themeColor="text1" w:themeTint="FF" w:themeShade="FF"/>
          <w:sz w:val="24"/>
          <w:szCs w:val="24"/>
          <w:lang w:val="en-US"/>
        </w:rPr>
        <w:t>block</w:t>
      </w:r>
      <w:r w:rsidRPr="0FA9DDF5" w:rsidR="2F6D7C99">
        <w:rPr>
          <w:rFonts w:ascii="Aptos" w:hAnsi="Aptos" w:eastAsia="Aptos" w:cs="Aptos"/>
          <w:b w:val="0"/>
          <w:bCs w:val="0"/>
          <w:i w:val="1"/>
          <w:iCs w:val="1"/>
          <w:caps w:val="0"/>
          <w:smallCaps w:val="0"/>
          <w:noProof w:val="0"/>
          <w:color w:val="000000" w:themeColor="text1" w:themeTint="FF" w:themeShade="FF"/>
          <w:sz w:val="24"/>
          <w:szCs w:val="24"/>
          <w:lang w:val="en-US"/>
        </w:rPr>
        <w:t xml:space="preserve"> grant</w:t>
      </w:r>
      <w:r w:rsidRPr="0FA9DDF5" w:rsidR="4EC03A8B">
        <w:rPr>
          <w:rFonts w:ascii="Aptos" w:hAnsi="Aptos" w:eastAsia="Aptos" w:cs="Aptos"/>
          <w:b w:val="0"/>
          <w:bCs w:val="0"/>
          <w:i w:val="1"/>
          <w:iCs w:val="1"/>
          <w:caps w:val="0"/>
          <w:smallCaps w:val="0"/>
          <w:noProof w:val="0"/>
          <w:color w:val="000000" w:themeColor="text1" w:themeTint="FF" w:themeShade="FF"/>
          <w:sz w:val="24"/>
          <w:szCs w:val="24"/>
          <w:lang w:val="en-US"/>
        </w:rPr>
        <w:t xml:space="preserve"> fund</w:t>
      </w:r>
      <w:r w:rsidRPr="0FA9DDF5" w:rsidR="2F6D7C99">
        <w:rPr>
          <w:rFonts w:ascii="Aptos" w:hAnsi="Aptos" w:eastAsia="Aptos" w:cs="Aptos"/>
          <w:b w:val="0"/>
          <w:bCs w:val="0"/>
          <w:i w:val="1"/>
          <w:iCs w:val="1"/>
          <w:caps w:val="0"/>
          <w:smallCaps w:val="0"/>
          <w:noProof w:val="0"/>
          <w:color w:val="000000" w:themeColor="text1" w:themeTint="FF" w:themeShade="FF"/>
          <w:sz w:val="24"/>
          <w:szCs w:val="24"/>
          <w:lang w:val="en-US"/>
        </w:rPr>
        <w:t>s is needed</w:t>
      </w:r>
      <w:r w:rsidRPr="0FA9DDF5" w:rsidR="2F6D7C9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f74f6c4444ab493d">
        <w:r w:rsidRPr="0FA9DDF5" w:rsidR="03D21B6C">
          <w:rPr>
            <w:rStyle w:val="Hyperlink"/>
            <w:rFonts w:ascii="Aptos" w:hAnsi="Aptos" w:eastAsia="Aptos" w:cs="Aptos"/>
            <w:b w:val="0"/>
            <w:bCs w:val="0"/>
            <w:i w:val="0"/>
            <w:iCs w:val="0"/>
            <w:caps w:val="0"/>
            <w:smallCaps w:val="0"/>
            <w:noProof w:val="0"/>
            <w:sz w:val="24"/>
            <w:szCs w:val="24"/>
            <w:lang w:val="en-US"/>
          </w:rPr>
          <w:t>https://www.gao.gov/products/gao-19-232</w:t>
        </w:r>
      </w:hyperlink>
      <w:r w:rsidRPr="0FA9DDF5" w:rsidR="03D21B6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C1EA897" w:rsidP="0FA9DDF5" w:rsidRDefault="2C1EA897" w14:paraId="15B5561F" w14:textId="5C6FA7A3">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659E44A7" w:rsidP="0FA9DDF5" w:rsidRDefault="659E44A7" w14:paraId="6E24A720" w14:textId="623AD42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Van Niekerk, D., </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Nemakonde</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L.D., Kruger, L., Forbes-</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Genade</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 K. (2018). Community-Based Disaster Risk Management. In: Rodríguez, H., Donner, W., Trainor, J. (eds) </w:t>
      </w:r>
      <w:r w:rsidRPr="5A746606" w:rsidR="659E44A7">
        <w:rPr>
          <w:rFonts w:ascii="Aptos" w:hAnsi="Aptos" w:eastAsia="Aptos" w:cs="Aptos"/>
          <w:b w:val="0"/>
          <w:bCs w:val="0"/>
          <w:i w:val="1"/>
          <w:iCs w:val="1"/>
          <w:caps w:val="0"/>
          <w:smallCaps w:val="0"/>
          <w:noProof w:val="0"/>
          <w:color w:val="000000" w:themeColor="text1" w:themeTint="FF" w:themeShade="FF"/>
          <w:sz w:val="24"/>
          <w:szCs w:val="24"/>
          <w:lang w:val="en-US"/>
        </w:rPr>
        <w:t>Handbook of Disaster Research</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 Handbooks of Sociology and Social Research. Springer, Cham. </w:t>
      </w:r>
      <w:hyperlink r:id="R662370e071f442aa">
        <w:r w:rsidRPr="5A746606" w:rsidR="659E44A7">
          <w:rPr>
            <w:rStyle w:val="Hyperlink"/>
            <w:rFonts w:ascii="Aptos" w:hAnsi="Aptos" w:eastAsia="Aptos" w:cs="Aptos"/>
            <w:b w:val="0"/>
            <w:bCs w:val="0"/>
            <w:i w:val="0"/>
            <w:iCs w:val="0"/>
            <w:caps w:val="0"/>
            <w:smallCaps w:val="0"/>
            <w:noProof w:val="0"/>
            <w:sz w:val="24"/>
            <w:szCs w:val="24"/>
            <w:lang w:val="en-US"/>
          </w:rPr>
          <w:t>https://doi.org/10.1007/978-3-319-63254-4_20</w:t>
        </w:r>
      </w:hyperlink>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D461BFC" w:rsidP="5A746606" w:rsidRDefault="1D461BFC" w14:paraId="76C9A4B4" w14:textId="7A0EA386">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1ABF9F65" w:rsidP="0FA9DDF5" w:rsidRDefault="1ABF9F65" w14:paraId="23015CD1" w14:textId="555E9F3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5C23CE89" w:rsidP="5A746606" w:rsidRDefault="5C23CE89" w14:paraId="2FFA958E" w14:textId="62BA02DA">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Zhang, Z., </w:t>
      </w: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Kapucu</w:t>
      </w: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 N., Li, R., &amp; Lu, Y. (2026). Sustainable disaster response and recovery networks: a longitudinal study. </w:t>
      </w:r>
      <w:r w:rsidRPr="5A746606" w:rsidR="5C23CE89">
        <w:rPr>
          <w:rFonts w:ascii="Aptos" w:hAnsi="Aptos" w:eastAsia="Aptos" w:cs="Aptos"/>
          <w:b w:val="0"/>
          <w:bCs w:val="0"/>
          <w:i w:val="1"/>
          <w:iCs w:val="1"/>
          <w:caps w:val="0"/>
          <w:smallCaps w:val="0"/>
          <w:noProof w:val="0"/>
          <w:color w:val="000000" w:themeColor="text1" w:themeTint="FF" w:themeShade="FF"/>
          <w:sz w:val="24"/>
          <w:szCs w:val="24"/>
          <w:lang w:val="en-US"/>
        </w:rPr>
        <w:t>Natural Hazards</w:t>
      </w: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 122(1), 4. </w:t>
      </w:r>
      <w:hyperlink r:id="R5fa5607f212b4f74">
        <w:r w:rsidRPr="5A746606" w:rsidR="5C23CE89">
          <w:rPr>
            <w:rStyle w:val="Hyperlink"/>
            <w:rFonts w:ascii="Aptos" w:hAnsi="Aptos" w:eastAsia="Aptos" w:cs="Aptos"/>
            <w:b w:val="0"/>
            <w:bCs w:val="0"/>
            <w:i w:val="0"/>
            <w:iCs w:val="0"/>
            <w:caps w:val="0"/>
            <w:smallCaps w:val="0"/>
            <w:noProof w:val="0"/>
            <w:sz w:val="24"/>
            <w:szCs w:val="24"/>
            <w:lang w:val="en-US"/>
          </w:rPr>
          <w:t>https://doi.org/10.1007/s11069-025-07741-y</w:t>
        </w:r>
      </w:hyperlink>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01C637A" w:rsidP="0FA9DDF5" w:rsidRDefault="301C637A" w14:paraId="1F2DC8F4" w14:textId="412AC0FF">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Pr>
          <w:rFonts w:ascii="Aptos" w:hAnsi="Aptos"/>
          <w:b w:val="0"/>
          <w:i w:val="0"/>
          <w:sz w:val="304800"/>
        </w:rPr>
      </w:r>
    </w:p>
    <w:p w:rsidR="4563BE08" w:rsidRDefault="4563BE08" w14:paraId="79D4AFBB" w14:textId="07B24CC8">
      <w:r>
        <w:br w:type="page"/>
      </w:r>
    </w:p>
    <w:p w:rsidR="4B1203EA" w:rsidP="4563BE08" w:rsidRDefault="4B1203EA" w14:paraId="74742B91" w14:textId="3CC70C00">
      <w:pPr>
        <w:pStyle w:val="Normal"/>
        <w:suppressLineNumbers w:val="0"/>
        <w:bidi w:val="0"/>
        <w:spacing w:before="240" w:beforeAutospacing="off" w:after="240" w:afterAutospacing="off" w:line="278" w:lineRule="auto"/>
        <w:rPr>
          <w:rFonts w:ascii="Aptos" w:hAnsi="Aptos" w:eastAsia="Aptos" w:cs="Aptos"/>
          <w:b w:val="1"/>
          <w:bCs w:val="1"/>
          <w:i w:val="0"/>
          <w:iCs w:val="0"/>
          <w:caps w:val="0"/>
          <w:smallCaps w:val="0"/>
          <w:strike w:val="0"/>
          <w:dstrike w:val="0"/>
          <w:noProof w:val="0"/>
          <w:sz w:val="24"/>
          <w:szCs w:val="24"/>
          <w:lang w:val="en-US"/>
        </w:rPr>
      </w:pPr>
      <w:r w:rsidRPr="4563BE08" w:rsidR="4B1203EA">
        <w:rPr>
          <w:rFonts w:ascii="Aptos" w:hAnsi="Aptos" w:eastAsia="Aptos" w:cs="Aptos"/>
          <w:b w:val="1"/>
          <w:bCs w:val="1"/>
          <w:i w:val="0"/>
          <w:iCs w:val="0"/>
          <w:caps w:val="0"/>
          <w:smallCaps w:val="0"/>
          <w:strike w:val="0"/>
          <w:dstrike w:val="0"/>
          <w:noProof w:val="0"/>
          <w:sz w:val="24"/>
          <w:szCs w:val="24"/>
          <w:lang w:val="en-US"/>
        </w:rPr>
        <w:t>Appendix</w:t>
      </w:r>
    </w:p>
    <w:p w:rsidR="0A16E870" w:rsidP="41D8F452" w:rsidRDefault="0A16E870" w14:paraId="407A2107" w14:textId="5BF357F8">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t>Figure A1. Indicator-level predicted relationship plots between programs per staff and recovery timeliness.</w:t>
      </w:r>
    </w:p>
    <w:p w:rsidR="0A16E870" w:rsidP="41D8F452" w:rsidRDefault="0A16E870" w14:paraId="1EDA2213" w14:textId="771ADCBB">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t>Figure A2. Indicator-level predicted relationship plots between programs per staff and recovery performance.</w:t>
      </w:r>
    </w:p>
    <w:p w:rsidR="0A16E870" w:rsidP="41D8F452" w:rsidRDefault="0A16E870" w14:paraId="69592EDB" w14:textId="1B6650A7">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t>Figure A3. Indicator-level predicted relationship plots between disasters per staff and recovery performance.</w:t>
      </w:r>
    </w:p>
    <w:p w:rsidR="0A16E870" w:rsidP="41D8F452" w:rsidRDefault="0A16E870" w14:paraId="28B148FD" w14:textId="37DE2F89">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Pr/>
        <w:t>Figure A4. Indicator-level predicted relationship plots between average payroll and recovery performance.</w:t>
      </w:r>
    </w:p>
    <w:p w:rsidR="0A16E870" w:rsidP="4563BE08" w:rsidRDefault="0A16E870" w14:paraId="336F3A6F" w14:textId="19AB2B84">
      <w:pPr>
        <w:pStyle w:val="Normal"/>
        <w:suppressLineNumbers w:val="0"/>
        <w:bidi w:val="0"/>
        <w:spacing w:before="240" w:beforeAutospacing="off" w:after="240" w:afterAutospacing="off" w:line="278" w:lineRule="auto"/>
      </w:pPr>
      <w:r w:rsidR="409AA265">
        <w:drawing>
          <wp:inline wp14:editId="53E5338C" wp14:anchorId="33240F9B">
            <wp:extent cx="5943600" cy="3371850"/>
            <wp:effectExtent l="0" t="0" r="0" b="0"/>
            <wp:docPr id="1017596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596313" name="Picture 1017596313"/>
                    <pic:cNvPicPr/>
                  </pic:nvPicPr>
                  <pic:blipFill>
                    <a:blip xmlns:r="http://schemas.openxmlformats.org/officeDocument/2006/relationships" r:embed="rId1095043534">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33C28426" w:rsidP="41D8F452" w:rsidRDefault="33C28426" w14:paraId="1F872E58" w14:textId="45BD3624">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Pr>
          <w:rFonts w:ascii="Aptos" w:hAnsi="Aptos"/>
          <w:b/>
          <w:sz w:val="304800"/>
        </w:rPr>
        <w:t>Figure A5. Indicator-level predicted relationship plots between average employment and recovery performance.</w:t>
      </w:r>
    </w:p>
    <w:p/>
    <w:p>
      <w:r>
        <w:t>Appendix Tables</w:t>
      </w:r>
    </w:p>
    <w:p/>
    <w:p>
      <w:r>
        <w:t>Appendix Table A1. Two-factor SEM measurement diagnostics.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t>Latent construct</w:t>
            </w:r>
          </w:p>
        </w:tc>
        <w:tc>
          <w:tcPr>
            <w:tcW w:type="dxa" w:w="1560"/>
          </w:tcPr>
          <w:p>
            <w:r>
              <w:rPr/>
              <w:t>Indicator</w:t>
            </w:r>
          </w:p>
        </w:tc>
        <w:tc>
          <w:tcPr>
            <w:tcW w:type="dxa" w:w="1560"/>
          </w:tcPr>
          <w:p>
            <w:r>
              <w:rPr/>
              <w:t>Std. loading</w:t>
            </w:r>
          </w:p>
        </w:tc>
        <w:tc>
          <w:tcPr>
            <w:tcW w:type="dxa" w:w="1560"/>
          </w:tcPr>
          <w:p>
            <w:r>
              <w:rPr/>
              <w:t>SE</w:t>
            </w:r>
          </w:p>
        </w:tc>
        <w:tc>
          <w:tcPr>
            <w:tcW w:type="dxa" w:w="1560"/>
          </w:tcPr>
          <w:p>
            <w:r>
              <w:rPr/>
              <w:t>Std. residual var</w:t>
            </w:r>
          </w:p>
        </w:tc>
        <w:tc>
          <w:tcPr>
            <w:tcW w:type="dxa" w:w="1560"/>
          </w:tcPr>
          <w:p>
            <w:r>
              <w:rPr/>
              <w:t>Note</w:t>
            </w:r>
          </w:p>
        </w:tc>
      </w:tr>
      <w:tr>
        <w:tc>
          <w:tcPr>
            <w:tcW w:type="dxa" w:w="1560"/>
          </w:tcPr>
          <w:p>
            <w:r>
              <w:rPr/>
              <w:t>Administrative Resources</w:t>
            </w:r>
          </w:p>
        </w:tc>
        <w:tc>
          <w:tcPr>
            <w:tcW w:type="dxa" w:w="1560"/>
          </w:tcPr>
          <w:p>
            <w:r>
              <w:rPr/>
              <w:t>Employment proxy</w:t>
            </w:r>
          </w:p>
        </w:tc>
        <w:tc>
          <w:tcPr>
            <w:tcW w:type="dxa" w:w="1560"/>
          </w:tcPr>
          <w:p>
            <w:r>
              <w:rPr/>
              <w:t>0.953</w:t>
            </w:r>
          </w:p>
        </w:tc>
        <w:tc>
          <w:tcPr>
            <w:tcW w:type="dxa" w:w="1560"/>
          </w:tcPr>
          <w:p>
            <w:r>
              <w:rPr/>
              <w:t>-</w:t>
            </w:r>
          </w:p>
        </w:tc>
        <w:tc>
          <w:tcPr>
            <w:tcW w:type="dxa" w:w="1560"/>
          </w:tcPr>
          <w:p>
            <w:r>
              <w:rPr/>
              <w:t>0.093</w:t>
            </w:r>
          </w:p>
        </w:tc>
        <w:tc>
          <w:tcPr>
            <w:tcW w:type="dxa" w:w="1560"/>
          </w:tcPr>
          <w:p>
            <w:r>
              <w:rPr/>
              <w:t>-</w:t>
            </w:r>
          </w:p>
        </w:tc>
      </w:tr>
      <w:tr>
        <w:tc>
          <w:tcPr>
            <w:tcW w:type="dxa" w:w="1560"/>
          </w:tcPr>
          <w:p>
            <w:r>
              <w:rPr/>
              <w:t>Administrative Resources</w:t>
            </w:r>
          </w:p>
        </w:tc>
        <w:tc>
          <w:tcPr>
            <w:tcW w:type="dxa" w:w="1560"/>
          </w:tcPr>
          <w:p>
            <w:r>
              <w:rPr/>
              <w:t>Payroll proxy</w:t>
            </w:r>
          </w:p>
        </w:tc>
        <w:tc>
          <w:tcPr>
            <w:tcW w:type="dxa" w:w="1560"/>
          </w:tcPr>
          <w:p>
            <w:r>
              <w:rPr/>
              <w:t>0.992</w:t>
            </w:r>
          </w:p>
        </w:tc>
        <w:tc>
          <w:tcPr>
            <w:tcW w:type="dxa" w:w="1560"/>
          </w:tcPr>
          <w:p>
            <w:r>
              <w:rPr/>
              <w:t>0.035</w:t>
            </w:r>
          </w:p>
        </w:tc>
        <w:tc>
          <w:tcPr>
            <w:tcW w:type="dxa" w:w="1560"/>
          </w:tcPr>
          <w:p>
            <w:r>
              <w:rPr/>
              <w:t>0.016</w:t>
            </w:r>
          </w:p>
        </w:tc>
        <w:tc>
          <w:tcPr>
            <w:tcW w:type="dxa" w:w="1560"/>
          </w:tcPr>
          <w:p>
            <w:r>
              <w:rPr/>
              <w:t>-</w:t>
            </w:r>
          </w:p>
        </w:tc>
      </w:tr>
      <w:tr>
        <w:tc>
          <w:tcPr>
            <w:tcW w:type="dxa" w:w="1560"/>
          </w:tcPr>
          <w:p>
            <w:r>
              <w:rPr/>
              <w:t>Administrative Burden Capacity</w:t>
            </w:r>
          </w:p>
        </w:tc>
        <w:tc>
          <w:tcPr>
            <w:tcW w:type="dxa" w:w="1560"/>
          </w:tcPr>
          <w:p>
            <w:r>
              <w:rPr/>
              <w:t>Reverse-coded programs per staff</w:t>
            </w:r>
          </w:p>
        </w:tc>
        <w:tc>
          <w:tcPr>
            <w:tcW w:type="dxa" w:w="1560"/>
          </w:tcPr>
          <w:p>
            <w:r>
              <w:rPr/>
              <w:t>0.577</w:t>
            </w:r>
          </w:p>
        </w:tc>
        <w:tc>
          <w:tcPr>
            <w:tcW w:type="dxa" w:w="1560"/>
          </w:tcPr>
          <w:p>
            <w:r>
              <w:rPr/>
              <w:t>-</w:t>
            </w:r>
          </w:p>
        </w:tc>
        <w:tc>
          <w:tcPr>
            <w:tcW w:type="dxa" w:w="1560"/>
          </w:tcPr>
          <w:p>
            <w:r>
              <w:rPr/>
              <w:t>0.667</w:t>
            </w:r>
          </w:p>
        </w:tc>
        <w:tc>
          <w:tcPr>
            <w:tcW w:type="dxa" w:w="1560"/>
          </w:tcPr>
          <w:p>
            <w:r>
              <w:rPr/>
              <w:t>-</w:t>
            </w:r>
          </w:p>
        </w:tc>
      </w:tr>
      <w:tr>
        <w:tc>
          <w:tcPr>
            <w:tcW w:type="dxa" w:w="1560"/>
          </w:tcPr>
          <w:p>
            <w:r>
              <w:rPr/>
              <w:t>Administrative Burden Capacity</w:t>
            </w:r>
          </w:p>
        </w:tc>
        <w:tc>
          <w:tcPr>
            <w:tcW w:type="dxa" w:w="1560"/>
          </w:tcPr>
          <w:p>
            <w:r>
              <w:rPr/>
              <w:t>Reverse-coded disasters per staff</w:t>
            </w:r>
          </w:p>
        </w:tc>
        <w:tc>
          <w:tcPr>
            <w:tcW w:type="dxa" w:w="1560"/>
          </w:tcPr>
          <w:p>
            <w:r>
              <w:rPr/>
              <w:t>1</w:t>
            </w:r>
          </w:p>
        </w:tc>
        <w:tc>
          <w:tcPr>
            <w:tcW w:type="dxa" w:w="1560"/>
          </w:tcPr>
          <w:p>
            <w:r>
              <w:rPr/>
              <w:t>0.209</w:t>
            </w:r>
          </w:p>
        </w:tc>
        <w:tc>
          <w:tcPr>
            <w:tcW w:type="dxa" w:w="1560"/>
          </w:tcPr>
          <w:p>
            <w:r>
              <w:rPr/>
              <w:t>0</w:t>
            </w:r>
          </w:p>
        </w:tc>
        <w:tc>
          <w:tcPr>
            <w:tcW w:type="dxa" w:w="1560"/>
          </w:tcPr>
          <w:p>
            <w:r>
              <w:rPr/>
              <w:t>-</w:t>
            </w:r>
          </w:p>
        </w:tc>
      </w:tr>
      <w:tr>
        <w:tc>
          <w:tcPr>
            <w:tcW w:type="dxa" w:w="1560"/>
          </w:tcPr>
          <w:p>
            <w:r>
              <w:rPr/>
              <w:t>Recovery Performance</w:t>
            </w:r>
          </w:p>
        </w:tc>
        <w:tc>
          <w:tcPr>
            <w:tcW w:type="dxa" w:w="1560"/>
          </w:tcPr>
          <w:p>
            <w:r>
              <w:rPr/>
              <w:t>Disbursed to obligated ratio</w:t>
            </w:r>
          </w:p>
        </w:tc>
        <w:tc>
          <w:tcPr>
            <w:tcW w:type="dxa" w:w="1560"/>
          </w:tcPr>
          <w:p>
            <w:r>
              <w:rPr/>
              <w:t>0.785</w:t>
            </w:r>
          </w:p>
        </w:tc>
        <w:tc>
          <w:tcPr>
            <w:tcW w:type="dxa" w:w="1560"/>
          </w:tcPr>
          <w:p>
            <w:r>
              <w:rPr/>
              <w:t>-</w:t>
            </w:r>
          </w:p>
        </w:tc>
        <w:tc>
          <w:tcPr>
            <w:tcW w:type="dxa" w:w="1560"/>
          </w:tcPr>
          <w:p>
            <w:r>
              <w:rPr/>
              <w:t>0.383</w:t>
            </w:r>
          </w:p>
        </w:tc>
        <w:tc>
          <w:tcPr>
            <w:tcW w:type="dxa" w:w="1560"/>
          </w:tcPr>
          <w:p>
            <w:r>
              <w:rPr/>
              <w:t>-</w:t>
            </w:r>
          </w:p>
        </w:tc>
      </w:tr>
      <w:tr>
        <w:tc>
          <w:tcPr>
            <w:tcW w:type="dxa" w:w="1560"/>
          </w:tcPr>
          <w:p>
            <w:r>
              <w:rPr/>
              <w:t>Recovery Performance</w:t>
            </w:r>
          </w:p>
        </w:tc>
        <w:tc>
          <w:tcPr>
            <w:tcW w:type="dxa" w:w="1560"/>
          </w:tcPr>
          <w:p>
            <w:r>
              <w:rPr/>
              <w:t>Expended to disbursed ratio</w:t>
            </w:r>
          </w:p>
        </w:tc>
        <w:tc>
          <w:tcPr>
            <w:tcW w:type="dxa" w:w="1560"/>
          </w:tcPr>
          <w:p>
            <w:r>
              <w:rPr/>
              <w:t>-0.131</w:t>
            </w:r>
          </w:p>
        </w:tc>
        <w:tc>
          <w:tcPr>
            <w:tcW w:type="dxa" w:w="1560"/>
          </w:tcPr>
          <w:p>
            <w:r>
              <w:rPr/>
              <w:t>0.054</w:t>
            </w:r>
          </w:p>
        </w:tc>
        <w:tc>
          <w:tcPr>
            <w:tcW w:type="dxa" w:w="1560"/>
          </w:tcPr>
          <w:p>
            <w:r>
              <w:rPr/>
              <w:t>0.983</w:t>
            </w:r>
          </w:p>
        </w:tc>
        <w:tc>
          <w:tcPr>
            <w:tcW w:type="dxa" w:w="1560"/>
          </w:tcPr>
          <w:p>
            <w:r>
              <w:rPr/>
              <w:t>Weak negative loading</w:t>
            </w:r>
          </w:p>
        </w:tc>
      </w:tr>
      <w:tr>
        <w:tc>
          <w:tcPr>
            <w:tcW w:type="dxa" w:w="1560"/>
          </w:tcPr>
          <w:p>
            <w:r>
              <w:rPr/>
              <w:t>Recovery Performance</w:t>
            </w:r>
          </w:p>
        </w:tc>
        <w:tc>
          <w:tcPr>
            <w:tcW w:type="dxa" w:w="1560"/>
          </w:tcPr>
          <w:p>
            <w:r>
              <w:rPr/>
              <w:t>Share of obligated funds fully expended</w:t>
            </w:r>
          </w:p>
        </w:tc>
        <w:tc>
          <w:tcPr>
            <w:tcW w:type="dxa" w:w="1560"/>
          </w:tcPr>
          <w:p>
            <w:r>
              <w:rPr/>
              <w:t>0.988</w:t>
            </w:r>
          </w:p>
        </w:tc>
        <w:tc>
          <w:tcPr>
            <w:tcW w:type="dxa" w:w="1560"/>
          </w:tcPr>
          <w:p>
            <w:r>
              <w:rPr/>
              <w:t>0.068</w:t>
            </w:r>
          </w:p>
        </w:tc>
        <w:tc>
          <w:tcPr>
            <w:tcW w:type="dxa" w:w="1560"/>
          </w:tcPr>
          <w:p>
            <w:r>
              <w:rPr/>
              <w:t>0.024</w:t>
            </w:r>
          </w:p>
        </w:tc>
        <w:tc>
          <w:tcPr>
            <w:tcW w:type="dxa" w:w="1560"/>
          </w:tcPr>
          <w:p>
            <w:r>
              <w:rPr/>
              <w:t>-</w:t>
            </w:r>
          </w:p>
        </w:tc>
      </w:tr>
      <w:tr>
        <w:tc>
          <w:tcPr>
            <w:tcW w:type="dxa" w:w="1560"/>
          </w:tcPr>
          <w:p>
            <w:r>
              <w:rPr/>
              <w:t>Recovery Performance</w:t>
            </w:r>
          </w:p>
        </w:tc>
        <w:tc>
          <w:tcPr>
            <w:tcW w:type="dxa" w:w="1560"/>
          </w:tcPr>
          <w:p>
            <w:r>
              <w:rPr/>
              <w:t>Program completion share</w:t>
            </w:r>
          </w:p>
        </w:tc>
        <w:tc>
          <w:tcPr>
            <w:tcW w:type="dxa" w:w="1560"/>
          </w:tcPr>
          <w:p>
            <w:r>
              <w:rPr/>
              <w:t>0.477</w:t>
            </w:r>
          </w:p>
        </w:tc>
        <w:tc>
          <w:tcPr>
            <w:tcW w:type="dxa" w:w="1560"/>
          </w:tcPr>
          <w:p>
            <w:r>
              <w:rPr/>
              <w:t>0.052</w:t>
            </w:r>
          </w:p>
        </w:tc>
        <w:tc>
          <w:tcPr>
            <w:tcW w:type="dxa" w:w="1560"/>
          </w:tcPr>
          <w:p>
            <w:r>
              <w:rPr/>
              <w:t>0.773</w:t>
            </w:r>
          </w:p>
        </w:tc>
        <w:tc>
          <w:tcPr>
            <w:tcW w:type="dxa" w:w="1560"/>
          </w:tcPr>
          <w:p>
            <w:r>
              <w:rPr/>
              <w:t>-</w:t>
            </w:r>
          </w:p>
        </w:tc>
      </w:tr>
      <w:tr>
        <w:tc>
          <w:tcPr>
            <w:tcW w:type="dxa" w:w="1560"/>
          </w:tcPr>
          <w:p>
            <w:r>
              <w:rPr/>
              <w:t>Recovery Timeliness</w:t>
            </w:r>
          </w:p>
        </w:tc>
        <w:tc>
          <w:tcPr>
            <w:tcW w:type="dxa" w:w="1560"/>
          </w:tcPr>
          <w:p>
            <w:r>
              <w:rPr/>
              <w:t>Reverse-coded duration of completion</w:t>
            </w:r>
          </w:p>
        </w:tc>
        <w:tc>
          <w:tcPr>
            <w:tcW w:type="dxa" w:w="1560"/>
          </w:tcPr>
          <w:p>
            <w:r>
              <w:rPr/>
              <w:t>0.545</w:t>
            </w:r>
          </w:p>
        </w:tc>
        <w:tc>
          <w:tcPr>
            <w:tcW w:type="dxa" w:w="1560"/>
          </w:tcPr>
          <w:p>
            <w:r>
              <w:rPr/>
              <w:t>-</w:t>
            </w:r>
          </w:p>
        </w:tc>
        <w:tc>
          <w:tcPr>
            <w:tcW w:type="dxa" w:w="1560"/>
          </w:tcPr>
          <w:p>
            <w:r>
              <w:rPr/>
              <w:t>0.703</w:t>
            </w:r>
          </w:p>
        </w:tc>
        <w:tc>
          <w:tcPr>
            <w:tcW w:type="dxa" w:w="1560"/>
          </w:tcPr>
          <w:p>
            <w:r>
              <w:rPr/>
              <w:t>Duration-based timeliness indicator</w:t>
            </w:r>
          </w:p>
        </w:tc>
      </w:tr>
      <w:tr>
        <w:tc>
          <w:tcPr>
            <w:tcW w:type="dxa" w:w="1560"/>
          </w:tcPr>
          <w:p>
            <w:r>
              <w:rPr/>
              <w:t>Recovery Timeliness</w:t>
            </w:r>
          </w:p>
        </w:tc>
        <w:tc>
          <w:tcPr>
            <w:tcW w:type="dxa" w:w="1560"/>
          </w:tcPr>
          <w:p>
            <w:r>
              <w:rPr/>
              <w:t>Reverse-coded average program duration</w:t>
            </w:r>
          </w:p>
        </w:tc>
        <w:tc>
          <w:tcPr>
            <w:tcW w:type="dxa" w:w="1560"/>
          </w:tcPr>
          <w:p>
            <w:r>
              <w:rPr/>
              <w:t>1</w:t>
            </w:r>
          </w:p>
        </w:tc>
        <w:tc>
          <w:tcPr>
            <w:tcW w:type="dxa" w:w="1560"/>
          </w:tcPr>
          <w:p>
            <w:r>
              <w:rPr/>
              <w:t>0.216</w:t>
            </w:r>
          </w:p>
        </w:tc>
        <w:tc>
          <w:tcPr>
            <w:tcW w:type="dxa" w:w="1560"/>
          </w:tcPr>
          <w:p>
            <w:r>
              <w:rPr/>
              <w:t>0</w:t>
            </w:r>
          </w:p>
        </w:tc>
        <w:tc>
          <w:tcPr>
            <w:tcW w:type="dxa" w:w="1560"/>
          </w:tcPr>
          <w:p>
            <w:r>
              <w:rPr/>
              <w:t>Duration-based timeliness indicator</w:t>
            </w:r>
          </w:p>
        </w:tc>
      </w:tr>
    </w:tbl>
    <w:p/>
    <w:p>
      <w:r>
        <w:t>Appendix Table A2. Complete structural and latent-covariance reporting for the two-factor SEM.</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t>Section</w:t>
            </w:r>
          </w:p>
        </w:tc>
        <w:tc>
          <w:tcPr>
            <w:tcW w:type="dxa" w:w="1040"/>
          </w:tcPr>
          <w:p>
            <w:r>
              <w:rPr/>
              <w:t>Left side</w:t>
            </w:r>
          </w:p>
        </w:tc>
        <w:tc>
          <w:tcPr>
            <w:tcW w:type="dxa" w:w="1040"/>
          </w:tcPr>
          <w:p>
            <w:r>
              <w:rPr/>
              <w:t>Op</w:t>
            </w:r>
          </w:p>
        </w:tc>
        <w:tc>
          <w:tcPr>
            <w:tcW w:type="dxa" w:w="1040"/>
          </w:tcPr>
          <w:p>
            <w:r>
              <w:rPr/>
              <w:t>Right side</w:t>
            </w:r>
          </w:p>
        </w:tc>
        <w:tc>
          <w:tcPr>
            <w:tcW w:type="dxa" w:w="1040"/>
          </w:tcPr>
          <w:p>
            <w:r>
              <w:rPr/>
              <w:t>Estimate</w:t>
            </w:r>
          </w:p>
        </w:tc>
        <w:tc>
          <w:tcPr>
            <w:tcW w:type="dxa" w:w="1040"/>
          </w:tcPr>
          <w:p>
            <w:r>
              <w:rPr/>
              <w:t>Std. estimate</w:t>
            </w:r>
          </w:p>
        </w:tc>
        <w:tc>
          <w:tcPr>
            <w:tcW w:type="dxa" w:w="1040"/>
          </w:tcPr>
          <w:p>
            <w:r>
              <w:rPr/>
              <w:t>SE</w:t>
            </w:r>
          </w:p>
        </w:tc>
        <w:tc>
          <w:tcPr>
            <w:tcW w:type="dxa" w:w="1040"/>
          </w:tcPr>
          <w:p>
            <w:r>
              <w:rPr/>
              <w:t>p-value</w:t>
            </w:r>
          </w:p>
        </w:tc>
        <w:tc>
          <w:tcPr>
            <w:tcW w:type="dxa" w:w="1040"/>
          </w:tcPr>
          <w:p>
            <w:r>
              <w:rPr/>
              <w:t>Note</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AdminResources</w:t>
            </w:r>
          </w:p>
        </w:tc>
        <w:tc>
          <w:tcPr>
            <w:tcW w:type="dxa" w:w="1040"/>
          </w:tcPr>
          <w:p>
            <w:r>
              <w:rPr/>
              <w:t>-0.139</w:t>
            </w:r>
          </w:p>
        </w:tc>
        <w:tc>
          <w:tcPr>
            <w:tcW w:type="dxa" w:w="1040"/>
          </w:tcPr>
          <w:p>
            <w:r>
              <w:rPr/>
              <w:t>-0.170</w:t>
            </w:r>
          </w:p>
        </w:tc>
        <w:tc>
          <w:tcPr>
            <w:tcW w:type="dxa" w:w="1040"/>
          </w:tcPr>
          <w:p>
            <w:r>
              <w:rPr/>
              <w:t>0.037</w:t>
            </w:r>
          </w:p>
        </w:tc>
        <w:tc>
          <w:tcPr>
            <w:tcW w:type="dxa" w:w="1040"/>
          </w:tcPr>
          <w:p>
            <w:r>
              <w:rPr/>
              <w:t>0.000</w:t>
            </w:r>
          </w:p>
        </w:tc>
        <w:tc>
          <w:tcPr>
            <w:tcW w:type="dxa" w:w="1040"/>
          </w:tcPr>
          <w:p>
            <w:r>
              <w:rPr/>
              <w:t>Secondary exploratory outcome construct</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AdminBurdenCapacity</w:t>
            </w:r>
          </w:p>
        </w:tc>
        <w:tc>
          <w:tcPr>
            <w:tcW w:type="dxa" w:w="1040"/>
          </w:tcPr>
          <w:p>
            <w:r>
              <w:rPr/>
              <w:t>0.104</w:t>
            </w:r>
          </w:p>
        </w:tc>
        <w:tc>
          <w:tcPr>
            <w:tcW w:type="dxa" w:w="1040"/>
          </w:tcPr>
          <w:p>
            <w:r>
              <w:rPr/>
              <w:t>0.077</w:t>
            </w:r>
          </w:p>
        </w:tc>
        <w:tc>
          <w:tcPr>
            <w:tcW w:type="dxa" w:w="1040"/>
          </w:tcPr>
          <w:p>
            <w:r>
              <w:rPr/>
              <w:t>0.060</w:t>
            </w:r>
          </w:p>
        </w:tc>
        <w:tc>
          <w:tcPr>
            <w:tcW w:type="dxa" w:w="1040"/>
          </w:tcPr>
          <w:p>
            <w:r>
              <w:rPr/>
              <w:t>0.086</w:t>
            </w:r>
          </w:p>
        </w:tc>
        <w:tc>
          <w:tcPr>
            <w:tcW w:type="dxa" w:w="1040"/>
          </w:tcPr>
          <w:p>
            <w:r>
              <w:rPr/>
              <w:t>Secondary exploratory outcome construct</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state_level</w:t>
            </w:r>
          </w:p>
        </w:tc>
        <w:tc>
          <w:tcPr>
            <w:tcW w:type="dxa" w:w="1040"/>
          </w:tcPr>
          <w:p>
            <w:r>
              <w:rPr/>
              <w:t>-0.133</w:t>
            </w:r>
          </w:p>
        </w:tc>
        <w:tc>
          <w:tcPr>
            <w:tcW w:type="dxa" w:w="1040"/>
          </w:tcPr>
          <w:p>
            <w:r>
              <w:rPr/>
              <w:t>-0.038</w:t>
            </w:r>
          </w:p>
        </w:tc>
        <w:tc>
          <w:tcPr>
            <w:tcW w:type="dxa" w:w="1040"/>
          </w:tcPr>
          <w:p>
            <w:r>
              <w:rPr/>
              <w:t>0.200</w:t>
            </w:r>
          </w:p>
        </w:tc>
        <w:tc>
          <w:tcPr>
            <w:tcW w:type="dxa" w:w="1040"/>
          </w:tcPr>
          <w:p>
            <w:r>
              <w:rPr/>
              <w:t>0.505</w:t>
            </w:r>
          </w:p>
        </w:tc>
        <w:tc>
          <w:tcPr>
            <w:tcW w:type="dxa" w:w="1040"/>
          </w:tcPr>
          <w:p>
            <w:r>
              <w:rPr/>
              <w:t>Secondary exploratory outcome construct</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z_E_TOTPOP</w:t>
            </w:r>
          </w:p>
        </w:tc>
        <w:tc>
          <w:tcPr>
            <w:tcW w:type="dxa" w:w="1040"/>
          </w:tcPr>
          <w:p>
            <w:r>
              <w:rPr/>
              <w:t>-0.015</w:t>
            </w:r>
          </w:p>
        </w:tc>
        <w:tc>
          <w:tcPr>
            <w:tcW w:type="dxa" w:w="1040"/>
          </w:tcPr>
          <w:p>
            <w:r>
              <w:rPr/>
              <w:t>-0.020</w:t>
            </w:r>
          </w:p>
        </w:tc>
        <w:tc>
          <w:tcPr>
            <w:tcW w:type="dxa" w:w="1040"/>
          </w:tcPr>
          <w:p>
            <w:r>
              <w:rPr/>
              <w:t>0.045</w:t>
            </w:r>
          </w:p>
        </w:tc>
        <w:tc>
          <w:tcPr>
            <w:tcW w:type="dxa" w:w="1040"/>
          </w:tcPr>
          <w:p>
            <w:r>
              <w:rPr/>
              <w:t>0.731</w:t>
            </w:r>
          </w:p>
        </w:tc>
        <w:tc>
          <w:tcPr>
            <w:tcW w:type="dxa" w:w="1040"/>
          </w:tcPr>
          <w:p>
            <w:r>
              <w:rPr/>
              <w:t>Secondary exploratory outcome construct</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z_SPL_THEME1</w:t>
            </w:r>
          </w:p>
        </w:tc>
        <w:tc>
          <w:tcPr>
            <w:tcW w:type="dxa" w:w="1040"/>
          </w:tcPr>
          <w:p>
            <w:r>
              <w:rPr/>
              <w:t>0.008</w:t>
            </w:r>
          </w:p>
        </w:tc>
        <w:tc>
          <w:tcPr>
            <w:tcW w:type="dxa" w:w="1040"/>
          </w:tcPr>
          <w:p>
            <w:r>
              <w:rPr/>
              <w:t>0.010</w:t>
            </w:r>
          </w:p>
        </w:tc>
        <w:tc>
          <w:tcPr>
            <w:tcW w:type="dxa" w:w="1040"/>
          </w:tcPr>
          <w:p>
            <w:r>
              <w:rPr/>
              <w:t>0.053</w:t>
            </w:r>
          </w:p>
        </w:tc>
        <w:tc>
          <w:tcPr>
            <w:tcW w:type="dxa" w:w="1040"/>
          </w:tcPr>
          <w:p>
            <w:r>
              <w:rPr/>
              <w:t>0.879</w:t>
            </w:r>
          </w:p>
        </w:tc>
        <w:tc>
          <w:tcPr>
            <w:tcW w:type="dxa" w:w="1040"/>
          </w:tcPr>
          <w:p>
            <w:r>
              <w:rPr/>
              <w:t>Secondary exploratory outcome construct</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z_SPL_THEME2</w:t>
            </w:r>
          </w:p>
        </w:tc>
        <w:tc>
          <w:tcPr>
            <w:tcW w:type="dxa" w:w="1040"/>
          </w:tcPr>
          <w:p>
            <w:r>
              <w:rPr/>
              <w:t>0.041</w:t>
            </w:r>
          </w:p>
        </w:tc>
        <w:tc>
          <w:tcPr>
            <w:tcW w:type="dxa" w:w="1040"/>
          </w:tcPr>
          <w:p>
            <w:r>
              <w:rPr/>
              <w:t>0.053</w:t>
            </w:r>
          </w:p>
        </w:tc>
        <w:tc>
          <w:tcPr>
            <w:tcW w:type="dxa" w:w="1040"/>
          </w:tcPr>
          <w:p>
            <w:r>
              <w:rPr/>
              <w:t>0.044</w:t>
            </w:r>
          </w:p>
        </w:tc>
        <w:tc>
          <w:tcPr>
            <w:tcW w:type="dxa" w:w="1040"/>
          </w:tcPr>
          <w:p>
            <w:r>
              <w:rPr/>
              <w:t>0.353</w:t>
            </w:r>
          </w:p>
        </w:tc>
        <w:tc>
          <w:tcPr>
            <w:tcW w:type="dxa" w:w="1040"/>
          </w:tcPr>
          <w:p>
            <w:r>
              <w:rPr/>
              <w:t>Secondary exploratory outcome construct</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z_SPL_THEME3</w:t>
            </w:r>
          </w:p>
        </w:tc>
        <w:tc>
          <w:tcPr>
            <w:tcW w:type="dxa" w:w="1040"/>
          </w:tcPr>
          <w:p>
            <w:r>
              <w:rPr/>
              <w:t>-0.177</w:t>
            </w:r>
          </w:p>
        </w:tc>
        <w:tc>
          <w:tcPr>
            <w:tcW w:type="dxa" w:w="1040"/>
          </w:tcPr>
          <w:p>
            <w:r>
              <w:rPr/>
              <w:t>-0.226</w:t>
            </w:r>
          </w:p>
        </w:tc>
        <w:tc>
          <w:tcPr>
            <w:tcW w:type="dxa" w:w="1040"/>
          </w:tcPr>
          <w:p>
            <w:r>
              <w:rPr/>
              <w:t>0.041</w:t>
            </w:r>
          </w:p>
        </w:tc>
        <w:tc>
          <w:tcPr>
            <w:tcW w:type="dxa" w:w="1040"/>
          </w:tcPr>
          <w:p>
            <w:r>
              <w:rPr/>
              <w:t>0.000</w:t>
            </w:r>
          </w:p>
        </w:tc>
        <w:tc>
          <w:tcPr>
            <w:tcW w:type="dxa" w:w="1040"/>
          </w:tcPr>
          <w:p>
            <w:r>
              <w:rPr/>
              <w:t>Secondary exploratory outcome construct</w:t>
            </w:r>
          </w:p>
        </w:tc>
      </w:tr>
      <w:tr>
        <w:tc>
          <w:tcPr>
            <w:tcW w:type="dxa" w:w="1040"/>
          </w:tcPr>
          <w:p>
            <w:r>
              <w:rPr/>
              <w:t>Structural path</w:t>
            </w:r>
          </w:p>
        </w:tc>
        <w:tc>
          <w:tcPr>
            <w:tcW w:type="dxa" w:w="1040"/>
          </w:tcPr>
          <w:p>
            <w:r>
              <w:rPr/>
              <w:t>RecoveryPerformance</w:t>
            </w:r>
          </w:p>
        </w:tc>
        <w:tc>
          <w:tcPr>
            <w:tcW w:type="dxa" w:w="1040"/>
          </w:tcPr>
          <w:p>
            <w:r>
              <w:rPr/>
              <w:t>~</w:t>
            </w:r>
          </w:p>
        </w:tc>
        <w:tc>
          <w:tcPr>
            <w:tcW w:type="dxa" w:w="1040"/>
          </w:tcPr>
          <w:p>
            <w:r>
              <w:rPr/>
              <w:t>z_SPL_THEME4</w:t>
            </w:r>
          </w:p>
        </w:tc>
        <w:tc>
          <w:tcPr>
            <w:tcW w:type="dxa" w:w="1040"/>
          </w:tcPr>
          <w:p>
            <w:r>
              <w:rPr/>
              <w:t>-0.022</w:t>
            </w:r>
          </w:p>
        </w:tc>
        <w:tc>
          <w:tcPr>
            <w:tcW w:type="dxa" w:w="1040"/>
          </w:tcPr>
          <w:p>
            <w:r>
              <w:rPr/>
              <w:t>-0.028</w:t>
            </w:r>
          </w:p>
        </w:tc>
        <w:tc>
          <w:tcPr>
            <w:tcW w:type="dxa" w:w="1040"/>
          </w:tcPr>
          <w:p>
            <w:r>
              <w:rPr/>
              <w:t>0.049</w:t>
            </w:r>
          </w:p>
        </w:tc>
        <w:tc>
          <w:tcPr>
            <w:tcW w:type="dxa" w:w="1040"/>
          </w:tcPr>
          <w:p>
            <w:r>
              <w:rPr/>
              <w:t>0.658</w:t>
            </w:r>
          </w:p>
        </w:tc>
        <w:tc>
          <w:tcPr>
            <w:tcW w:type="dxa" w:w="1040"/>
          </w:tcPr>
          <w:p>
            <w:r>
              <w:rPr/>
              <w:t>Secondary exploratory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AdminResources</w:t>
            </w:r>
          </w:p>
        </w:tc>
        <w:tc>
          <w:tcPr>
            <w:tcW w:type="dxa" w:w="1040"/>
          </w:tcPr>
          <w:p>
            <w:r>
              <w:rPr/>
              <w:t>0.046</w:t>
            </w:r>
          </w:p>
        </w:tc>
        <w:tc>
          <w:tcPr>
            <w:tcW w:type="dxa" w:w="1040"/>
          </w:tcPr>
          <w:p>
            <w:r>
              <w:rPr/>
              <w:t>0.080</w:t>
            </w:r>
          </w:p>
        </w:tc>
        <w:tc>
          <w:tcPr>
            <w:tcW w:type="dxa" w:w="1040"/>
          </w:tcPr>
          <w:p>
            <w:r>
              <w:rPr/>
              <w:t>0.025</w:t>
            </w:r>
          </w:p>
        </w:tc>
        <w:tc>
          <w:tcPr>
            <w:tcW w:type="dxa" w:w="1040"/>
          </w:tcPr>
          <w:p>
            <w:r>
              <w:rPr/>
              <w:t>0.072</w:t>
            </w:r>
          </w:p>
        </w:tc>
        <w:tc>
          <w:tcPr>
            <w:tcW w:type="dxa" w:w="1040"/>
          </w:tcPr>
          <w:p>
            <w:r>
              <w:rPr/>
              <w:t>Primary substantive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AdminBurdenCapacity</w:t>
            </w:r>
          </w:p>
        </w:tc>
        <w:tc>
          <w:tcPr>
            <w:tcW w:type="dxa" w:w="1040"/>
          </w:tcPr>
          <w:p>
            <w:r>
              <w:rPr/>
              <w:t>0.251</w:t>
            </w:r>
          </w:p>
        </w:tc>
        <w:tc>
          <w:tcPr>
            <w:tcW w:type="dxa" w:w="1040"/>
          </w:tcPr>
          <w:p>
            <w:r>
              <w:rPr/>
              <w:t>0.266</w:t>
            </w:r>
          </w:p>
        </w:tc>
        <w:tc>
          <w:tcPr>
            <w:tcW w:type="dxa" w:w="1040"/>
          </w:tcPr>
          <w:p>
            <w:r>
              <w:rPr/>
              <w:t>0.051</w:t>
            </w:r>
          </w:p>
        </w:tc>
        <w:tc>
          <w:tcPr>
            <w:tcW w:type="dxa" w:w="1040"/>
          </w:tcPr>
          <w:p>
            <w:r>
              <w:rPr/>
              <w:t>0.000</w:t>
            </w:r>
          </w:p>
        </w:tc>
        <w:tc>
          <w:tcPr>
            <w:tcW w:type="dxa" w:w="1040"/>
          </w:tcPr>
          <w:p>
            <w:r>
              <w:rPr/>
              <w:t>Primary substantive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state_level</w:t>
            </w:r>
          </w:p>
        </w:tc>
        <w:tc>
          <w:tcPr>
            <w:tcW w:type="dxa" w:w="1040"/>
          </w:tcPr>
          <w:p>
            <w:r>
              <w:rPr/>
              <w:t>-0.260</w:t>
            </w:r>
          </w:p>
        </w:tc>
        <w:tc>
          <w:tcPr>
            <w:tcW w:type="dxa" w:w="1040"/>
          </w:tcPr>
          <w:p>
            <w:r>
              <w:rPr/>
              <w:t>-0.106</w:t>
            </w:r>
          </w:p>
        </w:tc>
        <w:tc>
          <w:tcPr>
            <w:tcW w:type="dxa" w:w="1040"/>
          </w:tcPr>
          <w:p>
            <w:r>
              <w:rPr/>
              <w:t>0.133</w:t>
            </w:r>
          </w:p>
        </w:tc>
        <w:tc>
          <w:tcPr>
            <w:tcW w:type="dxa" w:w="1040"/>
          </w:tcPr>
          <w:p>
            <w:r>
              <w:rPr/>
              <w:t>0.050</w:t>
            </w:r>
          </w:p>
        </w:tc>
        <w:tc>
          <w:tcPr>
            <w:tcW w:type="dxa" w:w="1040"/>
          </w:tcPr>
          <w:p>
            <w:r>
              <w:rPr/>
              <w:t>Primary substantive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z_E_TOTPOP</w:t>
            </w:r>
          </w:p>
        </w:tc>
        <w:tc>
          <w:tcPr>
            <w:tcW w:type="dxa" w:w="1040"/>
          </w:tcPr>
          <w:p>
            <w:r>
              <w:rPr/>
              <w:t>0.009</w:t>
            </w:r>
          </w:p>
        </w:tc>
        <w:tc>
          <w:tcPr>
            <w:tcW w:type="dxa" w:w="1040"/>
          </w:tcPr>
          <w:p>
            <w:r>
              <w:rPr/>
              <w:t>0.016</w:t>
            </w:r>
          </w:p>
        </w:tc>
        <w:tc>
          <w:tcPr>
            <w:tcW w:type="dxa" w:w="1040"/>
          </w:tcPr>
          <w:p>
            <w:r>
              <w:rPr/>
              <w:t>0.029</w:t>
            </w:r>
          </w:p>
        </w:tc>
        <w:tc>
          <w:tcPr>
            <w:tcW w:type="dxa" w:w="1040"/>
          </w:tcPr>
          <w:p>
            <w:r>
              <w:rPr/>
              <w:t>0.760</w:t>
            </w:r>
          </w:p>
        </w:tc>
        <w:tc>
          <w:tcPr>
            <w:tcW w:type="dxa" w:w="1040"/>
          </w:tcPr>
          <w:p>
            <w:r>
              <w:rPr/>
              <w:t>Primary substantive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z_SPL_THEME1</w:t>
            </w:r>
          </w:p>
        </w:tc>
        <w:tc>
          <w:tcPr>
            <w:tcW w:type="dxa" w:w="1040"/>
          </w:tcPr>
          <w:p>
            <w:r>
              <w:rPr/>
              <w:t>-0.106</w:t>
            </w:r>
          </w:p>
        </w:tc>
        <w:tc>
          <w:tcPr>
            <w:tcW w:type="dxa" w:w="1040"/>
          </w:tcPr>
          <w:p>
            <w:r>
              <w:rPr/>
              <w:t>-0.194</w:t>
            </w:r>
          </w:p>
        </w:tc>
        <w:tc>
          <w:tcPr>
            <w:tcW w:type="dxa" w:w="1040"/>
          </w:tcPr>
          <w:p>
            <w:r>
              <w:rPr/>
              <w:t>0.036</w:t>
            </w:r>
          </w:p>
        </w:tc>
        <w:tc>
          <w:tcPr>
            <w:tcW w:type="dxa" w:w="1040"/>
          </w:tcPr>
          <w:p>
            <w:r>
              <w:rPr/>
              <w:t>0.004</w:t>
            </w:r>
          </w:p>
        </w:tc>
        <w:tc>
          <w:tcPr>
            <w:tcW w:type="dxa" w:w="1040"/>
          </w:tcPr>
          <w:p>
            <w:r>
              <w:rPr/>
              <w:t>Primary substantive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z_SPL_THEME2</w:t>
            </w:r>
          </w:p>
        </w:tc>
        <w:tc>
          <w:tcPr>
            <w:tcW w:type="dxa" w:w="1040"/>
          </w:tcPr>
          <w:p>
            <w:r>
              <w:rPr/>
              <w:t>-0.087</w:t>
            </w:r>
          </w:p>
        </w:tc>
        <w:tc>
          <w:tcPr>
            <w:tcW w:type="dxa" w:w="1040"/>
          </w:tcPr>
          <w:p>
            <w:r>
              <w:rPr/>
              <w:t>-0.159</w:t>
            </w:r>
          </w:p>
        </w:tc>
        <w:tc>
          <w:tcPr>
            <w:tcW w:type="dxa" w:w="1040"/>
          </w:tcPr>
          <w:p>
            <w:r>
              <w:rPr/>
              <w:t>0.030</w:t>
            </w:r>
          </w:p>
        </w:tc>
        <w:tc>
          <w:tcPr>
            <w:tcW w:type="dxa" w:w="1040"/>
          </w:tcPr>
          <w:p>
            <w:r>
              <w:rPr/>
              <w:t>0.004</w:t>
            </w:r>
          </w:p>
        </w:tc>
        <w:tc>
          <w:tcPr>
            <w:tcW w:type="dxa" w:w="1040"/>
          </w:tcPr>
          <w:p>
            <w:r>
              <w:rPr/>
              <w:t>Primary substantive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z_SPL_THEME3</w:t>
            </w:r>
          </w:p>
        </w:tc>
        <w:tc>
          <w:tcPr>
            <w:tcW w:type="dxa" w:w="1040"/>
          </w:tcPr>
          <w:p>
            <w:r>
              <w:rPr/>
              <w:t>-0.014</w:t>
            </w:r>
          </w:p>
        </w:tc>
        <w:tc>
          <w:tcPr>
            <w:tcW w:type="dxa" w:w="1040"/>
          </w:tcPr>
          <w:p>
            <w:r>
              <w:rPr/>
              <w:t>-0.026</w:t>
            </w:r>
          </w:p>
        </w:tc>
        <w:tc>
          <w:tcPr>
            <w:tcW w:type="dxa" w:w="1040"/>
          </w:tcPr>
          <w:p>
            <w:r>
              <w:rPr/>
              <w:t>0.026</w:t>
            </w:r>
          </w:p>
        </w:tc>
        <w:tc>
          <w:tcPr>
            <w:tcW w:type="dxa" w:w="1040"/>
          </w:tcPr>
          <w:p>
            <w:r>
              <w:rPr/>
              <w:t>0.591</w:t>
            </w:r>
          </w:p>
        </w:tc>
        <w:tc>
          <w:tcPr>
            <w:tcW w:type="dxa" w:w="1040"/>
          </w:tcPr>
          <w:p>
            <w:r>
              <w:rPr/>
              <w:t>Primary substantive outcome construct</w:t>
            </w:r>
          </w:p>
        </w:tc>
      </w:tr>
      <w:tr>
        <w:tc>
          <w:tcPr>
            <w:tcW w:type="dxa" w:w="1040"/>
          </w:tcPr>
          <w:p>
            <w:r>
              <w:rPr/>
              <w:t>Structural path</w:t>
            </w:r>
          </w:p>
        </w:tc>
        <w:tc>
          <w:tcPr>
            <w:tcW w:type="dxa" w:w="1040"/>
          </w:tcPr>
          <w:p>
            <w:r>
              <w:rPr/>
              <w:t>RecoveryTimeliness</w:t>
            </w:r>
          </w:p>
        </w:tc>
        <w:tc>
          <w:tcPr>
            <w:tcW w:type="dxa" w:w="1040"/>
          </w:tcPr>
          <w:p>
            <w:r>
              <w:rPr/>
              <w:t>~</w:t>
            </w:r>
          </w:p>
        </w:tc>
        <w:tc>
          <w:tcPr>
            <w:tcW w:type="dxa" w:w="1040"/>
          </w:tcPr>
          <w:p>
            <w:r>
              <w:rPr/>
              <w:t>z_SPL_THEME4</w:t>
            </w:r>
          </w:p>
        </w:tc>
        <w:tc>
          <w:tcPr>
            <w:tcW w:type="dxa" w:w="1040"/>
          </w:tcPr>
          <w:p>
            <w:r>
              <w:rPr/>
              <w:t>0.006</w:t>
            </w:r>
          </w:p>
        </w:tc>
        <w:tc>
          <w:tcPr>
            <w:tcW w:type="dxa" w:w="1040"/>
          </w:tcPr>
          <w:p>
            <w:r>
              <w:rPr/>
              <w:t>0.011</w:t>
            </w:r>
          </w:p>
        </w:tc>
        <w:tc>
          <w:tcPr>
            <w:tcW w:type="dxa" w:w="1040"/>
          </w:tcPr>
          <w:p>
            <w:r>
              <w:rPr/>
              <w:t>0.031</w:t>
            </w:r>
          </w:p>
        </w:tc>
        <w:tc>
          <w:tcPr>
            <w:tcW w:type="dxa" w:w="1040"/>
          </w:tcPr>
          <w:p>
            <w:r>
              <w:rPr/>
              <w:t>0.846</w:t>
            </w:r>
          </w:p>
        </w:tc>
        <w:tc>
          <w:tcPr>
            <w:tcW w:type="dxa" w:w="1040"/>
          </w:tcPr>
          <w:p>
            <w:r>
              <w:rPr/>
              <w:t>Primary substantive outcome construct</w:t>
            </w:r>
          </w:p>
        </w:tc>
      </w:tr>
      <w:tr>
        <w:tc>
          <w:tcPr>
            <w:tcW w:type="dxa" w:w="1040"/>
          </w:tcPr>
          <w:p>
            <w:r>
              <w:rPr/>
              <w:t>Latent covariance/variance</w:t>
            </w:r>
          </w:p>
        </w:tc>
        <w:tc>
          <w:tcPr>
            <w:tcW w:type="dxa" w:w="1040"/>
          </w:tcPr>
          <w:p>
            <w:r>
              <w:rPr/>
              <w:t>AdminResources</w:t>
            </w:r>
          </w:p>
        </w:tc>
        <w:tc>
          <w:tcPr>
            <w:tcW w:type="dxa" w:w="1040"/>
          </w:tcPr>
          <w:p>
            <w:r>
              <w:rPr/>
              <w:t>~~</w:t>
            </w:r>
          </w:p>
        </w:tc>
        <w:tc>
          <w:tcPr>
            <w:tcW w:type="dxa" w:w="1040"/>
          </w:tcPr>
          <w:p>
            <w:r>
              <w:rPr/>
              <w:t>AdminResources</w:t>
            </w:r>
          </w:p>
        </w:tc>
        <w:tc>
          <w:tcPr>
            <w:tcW w:type="dxa" w:w="1040"/>
          </w:tcPr>
          <w:p>
            <w:r>
              <w:rPr/>
              <w:t>0.907</w:t>
            </w:r>
          </w:p>
        </w:tc>
        <w:tc>
          <w:tcPr>
            <w:tcW w:type="dxa" w:w="1040"/>
          </w:tcPr>
          <w:p>
            <w:r>
              <w:rPr/>
              <w:t>1</w:t>
            </w:r>
          </w:p>
        </w:tc>
        <w:tc>
          <w:tcPr>
            <w:tcW w:type="dxa" w:w="1040"/>
          </w:tcPr>
          <w:p>
            <w:r>
              <w:rPr/>
              <w:t>0.065</w:t>
            </w:r>
          </w:p>
        </w:tc>
        <w:tc>
          <w:tcPr>
            <w:tcW w:type="dxa" w:w="1040"/>
          </w:tcPr>
          <w:p>
            <w:r>
              <w:rPr/>
              <w:t>0</w:t>
            </w:r>
          </w:p>
        </w:tc>
        <w:tc>
          <w:tcPr>
            <w:tcW w:type="dxa" w:w="1040"/>
          </w:tcPr>
          <w:p>
            <w:r>
              <w:rPr/>
              <w:t>Latent residual variance</w:t>
            </w:r>
          </w:p>
        </w:tc>
      </w:tr>
      <w:tr>
        <w:tc>
          <w:tcPr>
            <w:tcW w:type="dxa" w:w="1040"/>
          </w:tcPr>
          <w:p>
            <w:r>
              <w:rPr/>
              <w:t>Latent covariance/variance</w:t>
            </w:r>
          </w:p>
        </w:tc>
        <w:tc>
          <w:tcPr>
            <w:tcW w:type="dxa" w:w="1040"/>
          </w:tcPr>
          <w:p>
            <w:r>
              <w:rPr/>
              <w:t>RecoveryPerformance</w:t>
            </w:r>
          </w:p>
        </w:tc>
        <w:tc>
          <w:tcPr>
            <w:tcW w:type="dxa" w:w="1040"/>
          </w:tcPr>
          <w:p>
            <w:r>
              <w:rPr/>
              <w:t>~~</w:t>
            </w:r>
          </w:p>
        </w:tc>
        <w:tc>
          <w:tcPr>
            <w:tcW w:type="dxa" w:w="1040"/>
          </w:tcPr>
          <w:p>
            <w:r>
              <w:rPr/>
              <w:t>RecoveryTimeliness</w:t>
            </w:r>
          </w:p>
        </w:tc>
        <w:tc>
          <w:tcPr>
            <w:tcW w:type="dxa" w:w="1040"/>
          </w:tcPr>
          <w:p>
            <w:r>
              <w:rPr/>
              <w:t>-0.130</w:t>
            </w:r>
          </w:p>
        </w:tc>
        <w:tc>
          <w:tcPr>
            <w:tcW w:type="dxa" w:w="1040"/>
          </w:tcPr>
          <w:p>
            <w:r>
              <w:rPr/>
              <w:t>-0.306</w:t>
            </w:r>
          </w:p>
        </w:tc>
        <w:tc>
          <w:tcPr>
            <w:tcW w:type="dxa" w:w="1040"/>
          </w:tcPr>
          <w:p>
            <w:r>
              <w:rPr/>
              <w:t>0.023</w:t>
            </w:r>
          </w:p>
        </w:tc>
        <w:tc>
          <w:tcPr>
            <w:tcW w:type="dxa" w:w="1040"/>
          </w:tcPr>
          <w:p>
            <w:r>
              <w:rPr/>
              <w:t>0.000</w:t>
            </w:r>
          </w:p>
        </w:tc>
        <w:tc>
          <w:tcPr>
            <w:tcW w:type="dxa" w:w="1040"/>
          </w:tcPr>
          <w:p>
            <w:r>
              <w:rPr/>
              <w:t>Latent covariance</w:t>
            </w:r>
          </w:p>
        </w:tc>
      </w:tr>
      <w:tr>
        <w:tc>
          <w:tcPr>
            <w:tcW w:type="dxa" w:w="1040"/>
          </w:tcPr>
          <w:p>
            <w:r>
              <w:rPr/>
              <w:t>Latent covariance/variance</w:t>
            </w:r>
          </w:p>
        </w:tc>
        <w:tc>
          <w:tcPr>
            <w:tcW w:type="dxa" w:w="1040"/>
          </w:tcPr>
          <w:p>
            <w:r>
              <w:rPr/>
              <w:t>RecoveryPerformance</w:t>
            </w:r>
          </w:p>
        </w:tc>
        <w:tc>
          <w:tcPr>
            <w:tcW w:type="dxa" w:w="1040"/>
          </w:tcPr>
          <w:p>
            <w:r>
              <w:rPr/>
              <w:t>~~</w:t>
            </w:r>
          </w:p>
        </w:tc>
        <w:tc>
          <w:tcPr>
            <w:tcW w:type="dxa" w:w="1040"/>
          </w:tcPr>
          <w:p>
            <w:r>
              <w:rPr/>
              <w:t>RecoveryPerformance</w:t>
            </w:r>
          </w:p>
        </w:tc>
        <w:tc>
          <w:tcPr>
            <w:tcW w:type="dxa" w:w="1040"/>
          </w:tcPr>
          <w:p>
            <w:r>
              <w:rPr/>
              <w:t>0.557</w:t>
            </w:r>
          </w:p>
        </w:tc>
        <w:tc>
          <w:tcPr>
            <w:tcW w:type="dxa" w:w="1040"/>
          </w:tcPr>
          <w:p>
            <w:r>
              <w:rPr/>
              <w:t>0.912</w:t>
            </w:r>
          </w:p>
        </w:tc>
        <w:tc>
          <w:tcPr>
            <w:tcW w:type="dxa" w:w="1040"/>
          </w:tcPr>
          <w:p>
            <w:r>
              <w:rPr/>
              <w:t>0.054</w:t>
            </w:r>
          </w:p>
        </w:tc>
        <w:tc>
          <w:tcPr>
            <w:tcW w:type="dxa" w:w="1040"/>
          </w:tcPr>
          <w:p>
            <w:r>
              <w:rPr/>
              <w:t>0</w:t>
            </w:r>
          </w:p>
        </w:tc>
        <w:tc>
          <w:tcPr>
            <w:tcW w:type="dxa" w:w="1040"/>
          </w:tcPr>
          <w:p>
            <w:r>
              <w:rPr/>
              <w:t>Latent residual variance</w:t>
            </w:r>
          </w:p>
        </w:tc>
      </w:tr>
      <w:tr>
        <w:tc>
          <w:tcPr>
            <w:tcW w:type="dxa" w:w="1040"/>
          </w:tcPr>
          <w:p>
            <w:r>
              <w:rPr/>
              <w:t>Latent covariance/variance</w:t>
            </w:r>
          </w:p>
        </w:tc>
        <w:tc>
          <w:tcPr>
            <w:tcW w:type="dxa" w:w="1040"/>
          </w:tcPr>
          <w:p>
            <w:r>
              <w:rPr/>
              <w:t>AdminBurdenCapacity</w:t>
            </w:r>
          </w:p>
        </w:tc>
        <w:tc>
          <w:tcPr>
            <w:tcW w:type="dxa" w:w="1040"/>
          </w:tcPr>
          <w:p>
            <w:r>
              <w:rPr/>
              <w:t>~~</w:t>
            </w:r>
          </w:p>
        </w:tc>
        <w:tc>
          <w:tcPr>
            <w:tcW w:type="dxa" w:w="1040"/>
          </w:tcPr>
          <w:p>
            <w:r>
              <w:rPr/>
              <w:t>AdminBurdenCapacity</w:t>
            </w:r>
          </w:p>
        </w:tc>
        <w:tc>
          <w:tcPr>
            <w:tcW w:type="dxa" w:w="1040"/>
          </w:tcPr>
          <w:p>
            <w:r>
              <w:rPr/>
              <w:t>0.333</w:t>
            </w:r>
          </w:p>
        </w:tc>
        <w:tc>
          <w:tcPr>
            <w:tcW w:type="dxa" w:w="1040"/>
          </w:tcPr>
          <w:p>
            <w:r>
              <w:rPr/>
              <w:t>1</w:t>
            </w:r>
          </w:p>
        </w:tc>
        <w:tc>
          <w:tcPr>
            <w:tcW w:type="dxa" w:w="1040"/>
          </w:tcPr>
          <w:p>
            <w:r>
              <w:rPr/>
              <w:t>0.056</w:t>
            </w:r>
          </w:p>
        </w:tc>
        <w:tc>
          <w:tcPr>
            <w:tcW w:type="dxa" w:w="1040"/>
          </w:tcPr>
          <w:p>
            <w:r>
              <w:rPr/>
              <w:t>0.000</w:t>
            </w:r>
          </w:p>
        </w:tc>
        <w:tc>
          <w:tcPr>
            <w:tcW w:type="dxa" w:w="1040"/>
          </w:tcPr>
          <w:p>
            <w:r>
              <w:rPr/>
              <w:t>Latent residual variance</w:t>
            </w:r>
          </w:p>
        </w:tc>
      </w:tr>
      <w:tr>
        <w:tc>
          <w:tcPr>
            <w:tcW w:type="dxa" w:w="1040"/>
          </w:tcPr>
          <w:p>
            <w:r>
              <w:rPr/>
              <w:t>Latent covariance/variance</w:t>
            </w:r>
          </w:p>
        </w:tc>
        <w:tc>
          <w:tcPr>
            <w:tcW w:type="dxa" w:w="1040"/>
          </w:tcPr>
          <w:p>
            <w:r>
              <w:rPr/>
              <w:t>RecoveryTimeliness</w:t>
            </w:r>
          </w:p>
        </w:tc>
        <w:tc>
          <w:tcPr>
            <w:tcW w:type="dxa" w:w="1040"/>
          </w:tcPr>
          <w:p>
            <w:r>
              <w:rPr/>
              <w:t>~~</w:t>
            </w:r>
          </w:p>
        </w:tc>
        <w:tc>
          <w:tcPr>
            <w:tcW w:type="dxa" w:w="1040"/>
          </w:tcPr>
          <w:p>
            <w:r>
              <w:rPr/>
              <w:t>RecoveryTimeliness</w:t>
            </w:r>
          </w:p>
        </w:tc>
        <w:tc>
          <w:tcPr>
            <w:tcW w:type="dxa" w:w="1040"/>
          </w:tcPr>
          <w:p>
            <w:r>
              <w:rPr/>
              <w:t>0.238</w:t>
            </w:r>
          </w:p>
        </w:tc>
        <w:tc>
          <w:tcPr>
            <w:tcW w:type="dxa" w:w="1040"/>
          </w:tcPr>
          <w:p>
            <w:r>
              <w:rPr/>
              <w:t>0.801</w:t>
            </w:r>
          </w:p>
        </w:tc>
        <w:tc>
          <w:tcPr>
            <w:tcW w:type="dxa" w:w="1040"/>
          </w:tcPr>
          <w:p>
            <w:r>
              <w:rPr/>
              <w:t>0.038</w:t>
            </w:r>
          </w:p>
        </w:tc>
        <w:tc>
          <w:tcPr>
            <w:tcW w:type="dxa" w:w="1040"/>
          </w:tcPr>
          <w:p>
            <w:r>
              <w:rPr/>
              <w:t>0</w:t>
            </w:r>
          </w:p>
        </w:tc>
        <w:tc>
          <w:tcPr>
            <w:tcW w:type="dxa" w:w="1040"/>
          </w:tcPr>
          <w:p>
            <w:r>
              <w:rPr/>
              <w:t>Latent residual variance</w:t>
            </w:r>
          </w:p>
        </w:tc>
      </w:tr>
    </w:tbl>
    <w:p/>
    <w:p>
      <w:r>
        <w:t>Appendix Table A3. Imported-versus-rerun fit verification for the archived SEM models.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t>Fit statistic</w:t>
            </w:r>
          </w:p>
        </w:tc>
        <w:tc>
          <w:tcPr>
            <w:tcW w:type="dxa" w:w="1170"/>
          </w:tcPr>
          <w:p>
            <w:r>
              <w:rPr/>
              <w:t>Imported one-factor</w:t>
            </w:r>
          </w:p>
        </w:tc>
        <w:tc>
          <w:tcPr>
            <w:tcW w:type="dxa" w:w="1170"/>
          </w:tcPr>
          <w:p>
            <w:r>
              <w:rPr/>
              <w:t>Rerun one-factor</w:t>
            </w:r>
          </w:p>
        </w:tc>
        <w:tc>
          <w:tcPr>
            <w:tcW w:type="dxa" w:w="1170"/>
          </w:tcPr>
          <w:p>
            <w:r>
              <w:rPr/>
              <w:t>Delta one-factor</w:t>
            </w:r>
          </w:p>
        </w:tc>
        <w:tc>
          <w:tcPr>
            <w:tcW w:type="dxa" w:w="1170"/>
          </w:tcPr>
          <w:p>
            <w:r>
              <w:rPr/>
              <w:t>Imported two-factor</w:t>
            </w:r>
          </w:p>
        </w:tc>
        <w:tc>
          <w:tcPr>
            <w:tcW w:type="dxa" w:w="1170"/>
          </w:tcPr>
          <w:p>
            <w:r>
              <w:rPr/>
              <w:t>Rerun two-factor</w:t>
            </w:r>
          </w:p>
        </w:tc>
        <w:tc>
          <w:tcPr>
            <w:tcW w:type="dxa" w:w="1170"/>
          </w:tcPr>
          <w:p>
            <w:r>
              <w:rPr/>
              <w:t>Delta two-factor</w:t>
            </w:r>
          </w:p>
        </w:tc>
        <w:tc>
          <w:tcPr>
            <w:tcW w:type="dxa" w:w="1170"/>
          </w:tcPr>
          <w:p>
            <w:r>
              <w:rPr/>
              <w:t>Note</w:t>
            </w:r>
          </w:p>
        </w:tc>
      </w:tr>
      <w:tr>
        <w:tc>
          <w:tcPr>
            <w:tcW w:type="dxa" w:w="1170"/>
          </w:tcPr>
          <w:p>
            <w:r>
              <w:rPr/>
              <w:t>DoF</w:t>
            </w:r>
          </w:p>
        </w:tc>
        <w:tc>
          <w:tcPr>
            <w:tcW w:type="dxa" w:w="1170"/>
          </w:tcPr>
          <w:p>
            <w:r>
              <w:rPr/>
              <w:t>101</w:t>
            </w:r>
          </w:p>
        </w:tc>
        <w:tc>
          <w:tcPr>
            <w:tcW w:type="dxa" w:w="1170"/>
          </w:tcPr>
          <w:p>
            <w:r>
              <w:rPr/>
              <w:t>101</w:t>
            </w:r>
          </w:p>
        </w:tc>
        <w:tc>
          <w:tcPr>
            <w:tcW w:type="dxa" w:w="1170"/>
          </w:tcPr>
          <w:p>
            <w:r>
              <w:rPr/>
              <w:t>0</w:t>
            </w:r>
          </w:p>
        </w:tc>
        <w:tc>
          <w:tcPr>
            <w:tcW w:type="dxa" w:w="1170"/>
          </w:tcPr>
          <w:p>
            <w:r>
              <w:rPr/>
              <w:t>98</w:t>
            </w:r>
          </w:p>
        </w:tc>
        <w:tc>
          <w:tcPr>
            <w:tcW w:type="dxa" w:w="1170"/>
          </w:tcPr>
          <w:p>
            <w:r>
              <w:rPr/>
              <w:t>98</w:t>
            </w:r>
          </w:p>
        </w:tc>
        <w:tc>
          <w:tcPr>
            <w:tcW w:type="dxa" w:w="1170"/>
          </w:tcPr>
          <w:p>
            <w:r>
              <w:rPr/>
              <w:t>0</w:t>
            </w:r>
          </w:p>
        </w:tc>
        <w:tc>
          <w:tcPr>
            <w:tcW w:type="dxa" w:w="1170"/>
          </w:tcPr>
          <w:p>
            <w:r>
              <w:rPr/>
              <w:t>-</w:t>
            </w:r>
          </w:p>
        </w:tc>
      </w:tr>
      <w:tr>
        <w:tc>
          <w:tcPr>
            <w:tcW w:type="dxa" w:w="1170"/>
          </w:tcPr>
          <w:p>
            <w:r>
              <w:rPr/>
              <w:t>DoF Baseline</w:t>
            </w:r>
          </w:p>
        </w:tc>
        <w:tc>
          <w:tcPr>
            <w:tcW w:type="dxa" w:w="1170"/>
          </w:tcPr>
          <w:p>
            <w:r>
              <w:rPr/>
              <w:t>126</w:t>
            </w:r>
          </w:p>
        </w:tc>
        <w:tc>
          <w:tcPr>
            <w:tcW w:type="dxa" w:w="1170"/>
          </w:tcPr>
          <w:p>
            <w:r>
              <w:rPr/>
              <w:t>126</w:t>
            </w:r>
          </w:p>
        </w:tc>
        <w:tc>
          <w:tcPr>
            <w:tcW w:type="dxa" w:w="1170"/>
          </w:tcPr>
          <w:p>
            <w:r>
              <w:rPr/>
              <w:t>0</w:t>
            </w:r>
          </w:p>
        </w:tc>
        <w:tc>
          <w:tcPr>
            <w:tcW w:type="dxa" w:w="1170"/>
          </w:tcPr>
          <w:p>
            <w:r>
              <w:rPr/>
              <w:t>126</w:t>
            </w:r>
          </w:p>
        </w:tc>
        <w:tc>
          <w:tcPr>
            <w:tcW w:type="dxa" w:w="1170"/>
          </w:tcPr>
          <w:p>
            <w:r>
              <w:rPr/>
              <w:t>126</w:t>
            </w:r>
          </w:p>
        </w:tc>
        <w:tc>
          <w:tcPr>
            <w:tcW w:type="dxa" w:w="1170"/>
          </w:tcPr>
          <w:p>
            <w:r>
              <w:rPr/>
              <w:t>0</w:t>
            </w:r>
          </w:p>
        </w:tc>
        <w:tc>
          <w:tcPr>
            <w:tcW w:type="dxa" w:w="1170"/>
          </w:tcPr>
          <w:p>
            <w:r>
              <w:rPr/>
              <w:t>-</w:t>
            </w:r>
          </w:p>
        </w:tc>
      </w:tr>
      <w:tr>
        <w:tc>
          <w:tcPr>
            <w:tcW w:type="dxa" w:w="1170"/>
          </w:tcPr>
          <w:p>
            <w:r>
              <w:rPr/>
              <w:t>chi2</w:t>
            </w:r>
          </w:p>
        </w:tc>
        <w:tc>
          <w:tcPr>
            <w:tcW w:type="dxa" w:w="1170"/>
          </w:tcPr>
          <w:p>
            <w:r>
              <w:rPr/>
              <w:t>741.720</w:t>
            </w:r>
          </w:p>
        </w:tc>
        <w:tc>
          <w:tcPr>
            <w:tcW w:type="dxa" w:w="1170"/>
          </w:tcPr>
          <w:p>
            <w:r>
              <w:rPr/>
              <w:t>741.720</w:t>
            </w:r>
          </w:p>
        </w:tc>
        <w:tc>
          <w:tcPr>
            <w:tcW w:type="dxa" w:w="1170"/>
          </w:tcPr>
          <w:p>
            <w:r>
              <w:rPr/>
              <w:t>0</w:t>
            </w:r>
          </w:p>
        </w:tc>
        <w:tc>
          <w:tcPr>
            <w:tcW w:type="dxa" w:w="1170"/>
          </w:tcPr>
          <w:p>
            <w:r>
              <w:rPr/>
              <w:t>469.820</w:t>
            </w:r>
          </w:p>
        </w:tc>
        <w:tc>
          <w:tcPr>
            <w:tcW w:type="dxa" w:w="1170"/>
          </w:tcPr>
          <w:p>
            <w:r>
              <w:rPr/>
              <w:t>469.820</w:t>
            </w:r>
          </w:p>
        </w:tc>
        <w:tc>
          <w:tcPr>
            <w:tcW w:type="dxa" w:w="1170"/>
          </w:tcPr>
          <w:p>
            <w:r>
              <w:rPr/>
              <w:t>0</w:t>
            </w:r>
          </w:p>
        </w:tc>
        <w:tc>
          <w:tcPr>
            <w:tcW w:type="dxa" w:w="1170"/>
          </w:tcPr>
          <w:p>
            <w:r>
              <w:rPr/>
              <w:t>-</w:t>
            </w:r>
          </w:p>
        </w:tc>
      </w:tr>
      <w:tr>
        <w:tc>
          <w:tcPr>
            <w:tcW w:type="dxa" w:w="1170"/>
          </w:tcPr>
          <w:p>
            <w:r>
              <w:rPr/>
              <w:t>chi2 p-value</w:t>
            </w:r>
          </w:p>
        </w:tc>
        <w:tc>
          <w:tcPr>
            <w:tcW w:type="dxa" w:w="1170"/>
          </w:tcPr>
          <w:p>
            <w:r>
              <w:rPr/>
              <w:t>0</w:t>
            </w:r>
          </w:p>
        </w:tc>
        <w:tc>
          <w:tcPr>
            <w:tcW w:type="dxa" w:w="1170"/>
          </w:tcPr>
          <w:p>
            <w:r>
              <w:rPr/>
              <w:t>0</w:t>
            </w:r>
          </w:p>
        </w:tc>
        <w:tc>
          <w:tcPr>
            <w:tcW w:type="dxa" w:w="1170"/>
          </w:tcPr>
          <w:p>
            <w:r>
              <w:rPr/>
              <w:t>0</w:t>
            </w:r>
          </w:p>
        </w:tc>
        <w:tc>
          <w:tcPr>
            <w:tcW w:type="dxa" w:w="1170"/>
          </w:tcPr>
          <w:p>
            <w:r>
              <w:rPr/>
              <w:t>0</w:t>
            </w:r>
          </w:p>
        </w:tc>
        <w:tc>
          <w:tcPr>
            <w:tcW w:type="dxa" w:w="1170"/>
          </w:tcPr>
          <w:p>
            <w:r>
              <w:rPr/>
              <w:t>0</w:t>
            </w:r>
          </w:p>
        </w:tc>
        <w:tc>
          <w:tcPr>
            <w:tcW w:type="dxa" w:w="1170"/>
          </w:tcPr>
          <w:p>
            <w:r>
              <w:rPr/>
              <w:t>0</w:t>
            </w:r>
          </w:p>
        </w:tc>
        <w:tc>
          <w:tcPr>
            <w:tcW w:type="dxa" w:w="1170"/>
          </w:tcPr>
          <w:p>
            <w:r>
              <w:rPr/>
              <w:t>-</w:t>
            </w:r>
          </w:p>
        </w:tc>
      </w:tr>
      <w:tr>
        <w:tc>
          <w:tcPr>
            <w:tcW w:type="dxa" w:w="1170"/>
          </w:tcPr>
          <w:p>
            <w:r>
              <w:rPr/>
              <w:t>chi2 Baseline</w:t>
            </w:r>
          </w:p>
        </w:tc>
        <w:tc>
          <w:tcPr>
            <w:tcW w:type="dxa" w:w="1170"/>
          </w:tcPr>
          <w:p>
            <w:r>
              <w:rPr/>
              <w:t>4506.239</w:t>
            </w:r>
          </w:p>
        </w:tc>
        <w:tc>
          <w:tcPr>
            <w:tcW w:type="dxa" w:w="1170"/>
          </w:tcPr>
          <w:p>
            <w:r>
              <w:rPr/>
              <w:t>4506.239</w:t>
            </w:r>
          </w:p>
        </w:tc>
        <w:tc>
          <w:tcPr>
            <w:tcW w:type="dxa" w:w="1170"/>
          </w:tcPr>
          <w:p>
            <w:r>
              <w:rPr/>
              <w:t>0</w:t>
            </w:r>
          </w:p>
        </w:tc>
        <w:tc>
          <w:tcPr>
            <w:tcW w:type="dxa" w:w="1170"/>
          </w:tcPr>
          <w:p>
            <w:r>
              <w:rPr/>
              <w:t>4506.239</w:t>
            </w:r>
          </w:p>
        </w:tc>
        <w:tc>
          <w:tcPr>
            <w:tcW w:type="dxa" w:w="1170"/>
          </w:tcPr>
          <w:p>
            <w:r>
              <w:rPr/>
              <w:t>4506.239</w:t>
            </w:r>
          </w:p>
        </w:tc>
        <w:tc>
          <w:tcPr>
            <w:tcW w:type="dxa" w:w="1170"/>
          </w:tcPr>
          <w:p>
            <w:r>
              <w:rPr/>
              <w:t>0</w:t>
            </w:r>
          </w:p>
        </w:tc>
        <w:tc>
          <w:tcPr>
            <w:tcW w:type="dxa" w:w="1170"/>
          </w:tcPr>
          <w:p>
            <w:r>
              <w:rPr/>
              <w:t>-</w:t>
            </w:r>
          </w:p>
        </w:tc>
      </w:tr>
      <w:tr>
        <w:tc>
          <w:tcPr>
            <w:tcW w:type="dxa" w:w="1170"/>
          </w:tcPr>
          <w:p>
            <w:r>
              <w:rPr/>
              <w:t>CFI</w:t>
            </w:r>
          </w:p>
        </w:tc>
        <w:tc>
          <w:tcPr>
            <w:tcW w:type="dxa" w:w="1170"/>
          </w:tcPr>
          <w:p>
            <w:r>
              <w:rPr/>
              <w:t>0.854</w:t>
            </w:r>
          </w:p>
        </w:tc>
        <w:tc>
          <w:tcPr>
            <w:tcW w:type="dxa" w:w="1170"/>
          </w:tcPr>
          <w:p>
            <w:r>
              <w:rPr/>
              <w:t>0.854</w:t>
            </w:r>
          </w:p>
        </w:tc>
        <w:tc>
          <w:tcPr>
            <w:tcW w:type="dxa" w:w="1170"/>
          </w:tcPr>
          <w:p>
            <w:r>
              <w:rPr/>
              <w:t>0</w:t>
            </w:r>
          </w:p>
        </w:tc>
        <w:tc>
          <w:tcPr>
            <w:tcW w:type="dxa" w:w="1170"/>
          </w:tcPr>
          <w:p>
            <w:r>
              <w:rPr/>
              <w:t>0.915</w:t>
            </w:r>
          </w:p>
        </w:tc>
        <w:tc>
          <w:tcPr>
            <w:tcW w:type="dxa" w:w="1170"/>
          </w:tcPr>
          <w:p>
            <w:r>
              <w:rPr/>
              <w:t>0.915</w:t>
            </w:r>
          </w:p>
        </w:tc>
        <w:tc>
          <w:tcPr>
            <w:tcW w:type="dxa" w:w="1170"/>
          </w:tcPr>
          <w:p>
            <w:r>
              <w:rPr/>
              <w:t>0</w:t>
            </w:r>
          </w:p>
        </w:tc>
        <w:tc>
          <w:tcPr>
            <w:tcW w:type="dxa" w:w="1170"/>
          </w:tcPr>
          <w:p>
            <w:r>
              <w:rPr/>
              <w:t>-</w:t>
            </w:r>
          </w:p>
        </w:tc>
      </w:tr>
      <w:tr>
        <w:tc>
          <w:tcPr>
            <w:tcW w:type="dxa" w:w="1170"/>
          </w:tcPr>
          <w:p>
            <w:r>
              <w:rPr/>
              <w:t>GFI</w:t>
            </w:r>
          </w:p>
        </w:tc>
        <w:tc>
          <w:tcPr>
            <w:tcW w:type="dxa" w:w="1170"/>
          </w:tcPr>
          <w:p>
            <w:r>
              <w:rPr/>
              <w:t>0.835</w:t>
            </w:r>
          </w:p>
        </w:tc>
        <w:tc>
          <w:tcPr>
            <w:tcW w:type="dxa" w:w="1170"/>
          </w:tcPr>
          <w:p>
            <w:r>
              <w:rPr/>
              <w:t>0.835</w:t>
            </w:r>
          </w:p>
        </w:tc>
        <w:tc>
          <w:tcPr>
            <w:tcW w:type="dxa" w:w="1170"/>
          </w:tcPr>
          <w:p>
            <w:r>
              <w:rPr/>
              <w:t>0</w:t>
            </w:r>
          </w:p>
        </w:tc>
        <w:tc>
          <w:tcPr>
            <w:tcW w:type="dxa" w:w="1170"/>
          </w:tcPr>
          <w:p>
            <w:r>
              <w:rPr/>
              <w:t>0.896</w:t>
            </w:r>
          </w:p>
        </w:tc>
        <w:tc>
          <w:tcPr>
            <w:tcW w:type="dxa" w:w="1170"/>
          </w:tcPr>
          <w:p>
            <w:r>
              <w:rPr/>
              <w:t>0.896</w:t>
            </w:r>
          </w:p>
        </w:tc>
        <w:tc>
          <w:tcPr>
            <w:tcW w:type="dxa" w:w="1170"/>
          </w:tcPr>
          <w:p>
            <w:r>
              <w:rPr/>
              <w:t>0</w:t>
            </w:r>
          </w:p>
        </w:tc>
        <w:tc>
          <w:tcPr>
            <w:tcW w:type="dxa" w:w="1170"/>
          </w:tcPr>
          <w:p>
            <w:r>
              <w:rPr/>
              <w:t>-</w:t>
            </w:r>
          </w:p>
        </w:tc>
      </w:tr>
      <w:tr>
        <w:tc>
          <w:tcPr>
            <w:tcW w:type="dxa" w:w="1170"/>
          </w:tcPr>
          <w:p>
            <w:r>
              <w:rPr/>
              <w:t>AGFI</w:t>
            </w:r>
          </w:p>
        </w:tc>
        <w:tc>
          <w:tcPr>
            <w:tcW w:type="dxa" w:w="1170"/>
          </w:tcPr>
          <w:p>
            <w:r>
              <w:rPr/>
              <w:t>0.795</w:t>
            </w:r>
          </w:p>
        </w:tc>
        <w:tc>
          <w:tcPr>
            <w:tcW w:type="dxa" w:w="1170"/>
          </w:tcPr>
          <w:p>
            <w:r>
              <w:rPr/>
              <w:t>0.795</w:t>
            </w:r>
          </w:p>
        </w:tc>
        <w:tc>
          <w:tcPr>
            <w:tcW w:type="dxa" w:w="1170"/>
          </w:tcPr>
          <w:p>
            <w:r>
              <w:rPr/>
              <w:t>0</w:t>
            </w:r>
          </w:p>
        </w:tc>
        <w:tc>
          <w:tcPr>
            <w:tcW w:type="dxa" w:w="1170"/>
          </w:tcPr>
          <w:p>
            <w:r>
              <w:rPr/>
              <w:t>0.866</w:t>
            </w:r>
          </w:p>
        </w:tc>
        <w:tc>
          <w:tcPr>
            <w:tcW w:type="dxa" w:w="1170"/>
          </w:tcPr>
          <w:p>
            <w:r>
              <w:rPr/>
              <w:t>0.866</w:t>
            </w:r>
          </w:p>
        </w:tc>
        <w:tc>
          <w:tcPr>
            <w:tcW w:type="dxa" w:w="1170"/>
          </w:tcPr>
          <w:p>
            <w:r>
              <w:rPr/>
              <w:t>0</w:t>
            </w:r>
          </w:p>
        </w:tc>
        <w:tc>
          <w:tcPr>
            <w:tcW w:type="dxa" w:w="1170"/>
          </w:tcPr>
          <w:p>
            <w:r>
              <w:rPr/>
              <w:t>-</w:t>
            </w:r>
          </w:p>
        </w:tc>
      </w:tr>
      <w:tr>
        <w:tc>
          <w:tcPr>
            <w:tcW w:type="dxa" w:w="1170"/>
          </w:tcPr>
          <w:p>
            <w:r>
              <w:rPr/>
              <w:t>NFI</w:t>
            </w:r>
          </w:p>
        </w:tc>
        <w:tc>
          <w:tcPr>
            <w:tcW w:type="dxa" w:w="1170"/>
          </w:tcPr>
          <w:p>
            <w:r>
              <w:rPr/>
              <w:t>0.835</w:t>
            </w:r>
          </w:p>
        </w:tc>
        <w:tc>
          <w:tcPr>
            <w:tcW w:type="dxa" w:w="1170"/>
          </w:tcPr>
          <w:p>
            <w:r>
              <w:rPr/>
              <w:t>0.835</w:t>
            </w:r>
          </w:p>
        </w:tc>
        <w:tc>
          <w:tcPr>
            <w:tcW w:type="dxa" w:w="1170"/>
          </w:tcPr>
          <w:p>
            <w:r>
              <w:rPr/>
              <w:t>0</w:t>
            </w:r>
          </w:p>
        </w:tc>
        <w:tc>
          <w:tcPr>
            <w:tcW w:type="dxa" w:w="1170"/>
          </w:tcPr>
          <w:p>
            <w:r>
              <w:rPr/>
              <w:t>0.896</w:t>
            </w:r>
          </w:p>
        </w:tc>
        <w:tc>
          <w:tcPr>
            <w:tcW w:type="dxa" w:w="1170"/>
          </w:tcPr>
          <w:p>
            <w:r>
              <w:rPr/>
              <w:t>0.896</w:t>
            </w:r>
          </w:p>
        </w:tc>
        <w:tc>
          <w:tcPr>
            <w:tcW w:type="dxa" w:w="1170"/>
          </w:tcPr>
          <w:p>
            <w:r>
              <w:rPr/>
              <w:t>0</w:t>
            </w:r>
          </w:p>
        </w:tc>
        <w:tc>
          <w:tcPr>
            <w:tcW w:type="dxa" w:w="1170"/>
          </w:tcPr>
          <w:p>
            <w:r>
              <w:rPr/>
              <w:t>-</w:t>
            </w:r>
          </w:p>
        </w:tc>
      </w:tr>
      <w:tr>
        <w:tc>
          <w:tcPr>
            <w:tcW w:type="dxa" w:w="1170"/>
          </w:tcPr>
          <w:p>
            <w:r>
              <w:rPr/>
              <w:t>TLI</w:t>
            </w:r>
          </w:p>
        </w:tc>
        <w:tc>
          <w:tcPr>
            <w:tcW w:type="dxa" w:w="1170"/>
          </w:tcPr>
          <w:p>
            <w:r>
              <w:rPr/>
              <w:t>0.818</w:t>
            </w:r>
          </w:p>
        </w:tc>
        <w:tc>
          <w:tcPr>
            <w:tcW w:type="dxa" w:w="1170"/>
          </w:tcPr>
          <w:p>
            <w:r>
              <w:rPr/>
              <w:t>0.818</w:t>
            </w:r>
          </w:p>
        </w:tc>
        <w:tc>
          <w:tcPr>
            <w:tcW w:type="dxa" w:w="1170"/>
          </w:tcPr>
          <w:p>
            <w:r>
              <w:rPr/>
              <w:t>0</w:t>
            </w:r>
          </w:p>
        </w:tc>
        <w:tc>
          <w:tcPr>
            <w:tcW w:type="dxa" w:w="1170"/>
          </w:tcPr>
          <w:p>
            <w:r>
              <w:rPr/>
              <w:t>0.891</w:t>
            </w:r>
          </w:p>
        </w:tc>
        <w:tc>
          <w:tcPr>
            <w:tcW w:type="dxa" w:w="1170"/>
          </w:tcPr>
          <w:p>
            <w:r>
              <w:rPr/>
              <w:t>0.891</w:t>
            </w:r>
          </w:p>
        </w:tc>
        <w:tc>
          <w:tcPr>
            <w:tcW w:type="dxa" w:w="1170"/>
          </w:tcPr>
          <w:p>
            <w:r>
              <w:rPr/>
              <w:t>0</w:t>
            </w:r>
          </w:p>
        </w:tc>
        <w:tc>
          <w:tcPr>
            <w:tcW w:type="dxa" w:w="1170"/>
          </w:tcPr>
          <w:p>
            <w:r>
              <w:rPr/>
              <w:t>-</w:t>
            </w:r>
          </w:p>
        </w:tc>
      </w:tr>
      <w:tr>
        <w:tc>
          <w:tcPr>
            <w:tcW w:type="dxa" w:w="1170"/>
          </w:tcPr>
          <w:p>
            <w:r>
              <w:rPr/>
              <w:t>RMSEA</w:t>
            </w:r>
          </w:p>
        </w:tc>
        <w:tc>
          <w:tcPr>
            <w:tcW w:type="dxa" w:w="1170"/>
          </w:tcPr>
          <w:p>
            <w:r>
              <w:rPr/>
              <w:t>0.105</w:t>
            </w:r>
          </w:p>
        </w:tc>
        <w:tc>
          <w:tcPr>
            <w:tcW w:type="dxa" w:w="1170"/>
          </w:tcPr>
          <w:p>
            <w:r>
              <w:rPr/>
              <w:t>0.105</w:t>
            </w:r>
          </w:p>
        </w:tc>
        <w:tc>
          <w:tcPr>
            <w:tcW w:type="dxa" w:w="1170"/>
          </w:tcPr>
          <w:p>
            <w:r>
              <w:rPr/>
              <w:t>0</w:t>
            </w:r>
          </w:p>
        </w:tc>
        <w:tc>
          <w:tcPr>
            <w:tcW w:type="dxa" w:w="1170"/>
          </w:tcPr>
          <w:p>
            <w:r>
              <w:rPr/>
              <w:t>0.081</w:t>
            </w:r>
          </w:p>
        </w:tc>
        <w:tc>
          <w:tcPr>
            <w:tcW w:type="dxa" w:w="1170"/>
          </w:tcPr>
          <w:p>
            <w:r>
              <w:rPr/>
              <w:t>0.081</w:t>
            </w:r>
          </w:p>
        </w:tc>
        <w:tc>
          <w:tcPr>
            <w:tcW w:type="dxa" w:w="1170"/>
          </w:tcPr>
          <w:p>
            <w:r>
              <w:rPr/>
              <w:t>0</w:t>
            </w:r>
          </w:p>
        </w:tc>
        <w:tc>
          <w:tcPr>
            <w:tcW w:type="dxa" w:w="1170"/>
          </w:tcPr>
          <w:p>
            <w:r>
              <w:rPr/>
              <w:t>-</w:t>
            </w:r>
          </w:p>
        </w:tc>
      </w:tr>
      <w:tr>
        <w:tc>
          <w:tcPr>
            <w:tcW w:type="dxa" w:w="1170"/>
          </w:tcPr>
          <w:p>
            <w:r>
              <w:rPr/>
              <w:t>AIC</w:t>
            </w:r>
          </w:p>
        </w:tc>
        <w:tc>
          <w:tcPr>
            <w:tcW w:type="dxa" w:w="1170"/>
          </w:tcPr>
          <w:p>
            <w:r>
              <w:rPr/>
              <w:t>67.411</w:t>
            </w:r>
          </w:p>
        </w:tc>
        <w:tc>
          <w:tcPr>
            <w:tcW w:type="dxa" w:w="1170"/>
          </w:tcPr>
          <w:p>
            <w:r>
              <w:rPr/>
              <w:t>67.411</w:t>
            </w:r>
          </w:p>
        </w:tc>
        <w:tc>
          <w:tcPr>
            <w:tcW w:type="dxa" w:w="1170"/>
          </w:tcPr>
          <w:p>
            <w:r>
              <w:rPr/>
              <w:t>0</w:t>
            </w:r>
          </w:p>
        </w:tc>
        <w:tc>
          <w:tcPr>
            <w:tcW w:type="dxa" w:w="1170"/>
          </w:tcPr>
          <w:p>
            <w:r>
              <w:rPr/>
              <w:t>74.360</w:t>
            </w:r>
          </w:p>
        </w:tc>
        <w:tc>
          <w:tcPr>
            <w:tcW w:type="dxa" w:w="1170"/>
          </w:tcPr>
          <w:p>
            <w:r>
              <w:rPr/>
              <w:t>74.360</w:t>
            </w:r>
          </w:p>
        </w:tc>
        <w:tc>
          <w:tcPr>
            <w:tcW w:type="dxa" w:w="1170"/>
          </w:tcPr>
          <w:p>
            <w:r>
              <w:rPr/>
              <w:t>0</w:t>
            </w:r>
          </w:p>
        </w:tc>
        <w:tc>
          <w:tcPr>
            <w:tcW w:type="dxa" w:w="1170"/>
          </w:tcPr>
          <w:p>
            <w:r>
              <w:rPr/>
              <w:t>Archive and rerun values come directly from semopy calc_stats on the 573-row SEM-ready data.</w:t>
            </w:r>
          </w:p>
        </w:tc>
      </w:tr>
      <w:tr>
        <w:tc>
          <w:tcPr>
            <w:tcW w:type="dxa" w:w="1170"/>
          </w:tcPr>
          <w:p>
            <w:r>
              <w:rPr/>
              <w:t>BIC</w:t>
            </w:r>
          </w:p>
        </w:tc>
        <w:tc>
          <w:tcPr>
            <w:tcW w:type="dxa" w:w="1170"/>
          </w:tcPr>
          <w:p>
            <w:r>
              <w:rPr/>
              <w:t>219.692</w:t>
            </w:r>
          </w:p>
        </w:tc>
        <w:tc>
          <w:tcPr>
            <w:tcW w:type="dxa" w:w="1170"/>
          </w:tcPr>
          <w:p>
            <w:r>
              <w:rPr/>
              <w:t>219.692</w:t>
            </w:r>
          </w:p>
        </w:tc>
        <w:tc>
          <w:tcPr>
            <w:tcW w:type="dxa" w:w="1170"/>
          </w:tcPr>
          <w:p>
            <w:r>
              <w:rPr/>
              <w:t>0</w:t>
            </w:r>
          </w:p>
        </w:tc>
        <w:tc>
          <w:tcPr>
            <w:tcW w:type="dxa" w:w="1170"/>
          </w:tcPr>
          <w:p>
            <w:r>
              <w:rPr/>
              <w:t>239.694</w:t>
            </w:r>
          </w:p>
        </w:tc>
        <w:tc>
          <w:tcPr>
            <w:tcW w:type="dxa" w:w="1170"/>
          </w:tcPr>
          <w:p>
            <w:r>
              <w:rPr/>
              <w:t>239.694</w:t>
            </w:r>
          </w:p>
        </w:tc>
        <w:tc>
          <w:tcPr>
            <w:tcW w:type="dxa" w:w="1170"/>
          </w:tcPr>
          <w:p>
            <w:r>
              <w:rPr/>
              <w:t>0</w:t>
            </w:r>
          </w:p>
        </w:tc>
        <w:tc>
          <w:tcPr>
            <w:tcW w:type="dxa" w:w="1170"/>
          </w:tcPr>
          <w:p>
            <w:r>
              <w:rPr/>
              <w:t>Archive and rerun values come directly from semopy calc_stats on the 573-row SEM-ready data.</w:t>
            </w:r>
          </w:p>
        </w:tc>
      </w:tr>
      <w:tr>
        <w:tc>
          <w:tcPr>
            <w:tcW w:type="dxa" w:w="1170"/>
          </w:tcPr>
          <w:p>
            <w:r>
              <w:rPr/>
              <w:t>LogLik</w:t>
            </w:r>
          </w:p>
        </w:tc>
        <w:tc>
          <w:tcPr>
            <w:tcW w:type="dxa" w:w="1170"/>
          </w:tcPr>
          <w:p>
            <w:r>
              <w:rPr/>
              <w:t>1.294</w:t>
            </w:r>
          </w:p>
        </w:tc>
        <w:tc>
          <w:tcPr>
            <w:tcW w:type="dxa" w:w="1170"/>
          </w:tcPr>
          <w:p>
            <w:r>
              <w:rPr/>
              <w:t>-</w:t>
            </w:r>
          </w:p>
        </w:tc>
        <w:tc>
          <w:tcPr>
            <w:tcW w:type="dxa" w:w="1170"/>
          </w:tcPr>
          <w:p>
            <w:r>
              <w:rPr/>
              <w:t>-</w:t>
            </w:r>
          </w:p>
        </w:tc>
        <w:tc>
          <w:tcPr>
            <w:tcW w:type="dxa" w:w="1170"/>
          </w:tcPr>
          <w:p>
            <w:r>
              <w:rPr/>
              <w:t>0.820</w:t>
            </w:r>
          </w:p>
        </w:tc>
        <w:tc>
          <w:tcPr>
            <w:tcW w:type="dxa" w:w="1170"/>
          </w:tcPr>
          <w:p>
            <w:r>
              <w:rPr/>
              <w:t>-</w:t>
            </w:r>
          </w:p>
        </w:tc>
        <w:tc>
          <w:tcPr>
            <w:tcW w:type="dxa" w:w="1170"/>
          </w:tcPr>
          <w:p>
            <w:r>
              <w:rPr/>
              <w:t>-</w:t>
            </w:r>
          </w:p>
        </w:tc>
        <w:tc>
          <w:tcPr>
            <w:tcW w:type="dxa" w:w="1170"/>
          </w:tcPr>
          <w:p>
            <w:r>
              <w:rPr/>
              <w:t>-</w:t>
            </w:r>
          </w:p>
        </w:tc>
      </w:tr>
    </w:tbl>
    <w:p/>
    <w:p>
      <w:r>
        <w:t>Appendix Table A4. Recoverable data flow from standardized QPR rows to the archived 573-jurisdiction SEM sample.</w:t>
      </w:r>
    </w:p>
    <w:tbl>
      <w:tblPr>
        <w:tblStyle w:val="TableGrid"/>
        <w:tblW w:type="auto" w:w="0"/>
        <w:tblLook w:firstColumn="1" w:firstRow="1" w:lastColumn="0" w:lastRow="0" w:noHBand="0" w:noVBand="1" w:val="04A0"/>
      </w:tblPr>
      <w:tblGrid>
        <w:gridCol w:w="3120"/>
        <w:gridCol w:w="3120"/>
        <w:gridCol w:w="3120"/>
      </w:tblGrid>
      <w:tr>
        <w:tc>
          <w:tcPr>
            <w:tcW w:type="dxa" w:w="3120"/>
          </w:tcPr>
          <w:p>
            <w:r>
              <w:rPr/>
              <w:t>Stage</w:t>
            </w:r>
          </w:p>
        </w:tc>
        <w:tc>
          <w:tcPr>
            <w:tcW w:type="dxa" w:w="3120"/>
          </w:tcPr>
          <w:p>
            <w:r>
              <w:rPr/>
              <w:t>Count</w:t>
            </w:r>
          </w:p>
        </w:tc>
        <w:tc>
          <w:tcPr>
            <w:tcW w:type="dxa" w:w="3120"/>
          </w:tcPr>
          <w:p>
            <w:r>
              <w:rPr/>
              <w:t>Note</w:t>
            </w:r>
          </w:p>
        </w:tc>
      </w:tr>
      <w:tr>
        <w:tc>
          <w:tcPr>
            <w:tcW w:type="dxa" w:w="3120"/>
          </w:tcPr>
          <w:p>
            <w:r>
              <w:rPr/>
              <w:t>Standardized DRGR/QPR activity-quarter rows</w:t>
            </w:r>
          </w:p>
        </w:tc>
        <w:tc>
          <w:tcPr>
            <w:tcW w:type="dxa" w:w="3120"/>
          </w:tcPr>
          <w:p>
            <w:r>
              <w:rPr/>
              <w:t>130605</w:t>
            </w:r>
          </w:p>
        </w:tc>
        <w:tc>
          <w:tcPr>
            <w:tcW w:type="dxa" w:w="3120"/>
          </w:tcPr>
          <w:p>
            <w:r>
              <w:rPr/>
              <w:t>Repository-standardized administrative rows before quarter-label exclusion.</w:t>
            </w:r>
          </w:p>
        </w:tc>
      </w:tr>
      <w:tr>
        <w:tc>
          <w:tcPr>
            <w:tcW w:type="dxa" w:w="3120"/>
          </w:tcPr>
          <w:p>
            <w:r>
              <w:rPr/>
              <w:t>Rows with valid actual-quarter labels</w:t>
            </w:r>
          </w:p>
        </w:tc>
        <w:tc>
          <w:tcPr>
            <w:tcW w:type="dxa" w:w="3120"/>
          </w:tcPr>
          <w:p>
            <w:r>
              <w:rPr/>
              <w:t>128382</w:t>
            </w:r>
          </w:p>
        </w:tc>
        <w:tc>
          <w:tcPr>
            <w:tcW w:type="dxa" w:w="3120"/>
          </w:tcPr>
          <w:p>
            <w:r>
              <w:rPr/>
              <w:t>Excludes rows flagged with missing QPR Actual Quarter in the standardized archive.</w:t>
            </w:r>
          </w:p>
        </w:tc>
      </w:tr>
      <w:tr>
        <w:tc>
          <w:tcPr>
            <w:tcW w:type="dxa" w:w="3120"/>
          </w:tcPr>
          <w:p>
            <w:r>
              <w:rPr/>
              <w:t>Collapsed grantee-disaster-quarter rows</w:t>
            </w:r>
          </w:p>
        </w:tc>
        <w:tc>
          <w:tcPr>
            <w:tcW w:type="dxa" w:w="3120"/>
          </w:tcPr>
          <w:p>
            <w:r>
              <w:rPr/>
              <w:t>3623</w:t>
            </w:r>
          </w:p>
        </w:tc>
        <w:tc>
          <w:tcPr>
            <w:tcW w:type="dxa" w:w="3120"/>
          </w:tcPr>
          <w:p>
            <w:r>
              <w:rPr/>
              <w:t>Quarter-collapsed standardized panel used by the repo-standardized path; not yet the recovered Kaifa SEM file.</w:t>
            </w:r>
          </w:p>
        </w:tc>
      </w:tr>
      <w:tr>
        <w:tc>
          <w:tcPr>
            <w:tcW w:type="dxa" w:w="3120"/>
          </w:tcPr>
          <w:p>
            <w:r>
              <w:rPr/>
              <w:t>Recovered archived administering-jurisdiction profiles</w:t>
            </w:r>
          </w:p>
        </w:tc>
        <w:tc>
          <w:tcPr>
            <w:tcW w:type="dxa" w:w="3120"/>
          </w:tcPr>
          <w:p>
            <w:r>
              <w:rPr/>
              <w:t>577</w:t>
            </w:r>
          </w:p>
        </w:tc>
        <w:tc>
          <w:tcPr>
            <w:tcW w:type="dxa" w:w="3120"/>
          </w:tcPr>
          <w:p>
            <w:r>
              <w:rPr/>
              <w:t>Row count in the recovered bundled CSV prior to excluding four extra profiles.</w:t>
            </w:r>
          </w:p>
        </w:tc>
      </w:tr>
      <w:tr>
        <w:tc>
          <w:tcPr>
            <w:tcW w:type="dxa" w:w="3120"/>
          </w:tcPr>
          <w:p>
            <w:r>
              <w:rPr/>
              <w:t>Reference complete-case SEM sample</w:t>
            </w:r>
          </w:p>
        </w:tc>
        <w:tc>
          <w:tcPr>
            <w:tcW w:type="dxa" w:w="3120"/>
          </w:tcPr>
          <w:p>
            <w:r>
              <w:rPr/>
              <w:t>573</w:t>
            </w:r>
          </w:p>
        </w:tc>
        <w:tc>
          <w:tcPr>
            <w:tcW w:type="dxa" w:w="3120"/>
          </w:tcPr>
          <w:p>
            <w:r>
              <w:rPr/>
              <w:t>Archived 573-jurisdiction SEM-ready file used for the main Kaifa SEM tables (30 state, 543 local).</w:t>
            </w:r>
          </w:p>
        </w:tc>
      </w:tr>
    </w:tbl>
    <w:p/>
    <w:p>
      <w:r>
        <w:t>Appendix Table A5. Portfolio maturity proxy summary for the 573-jurisdiction SEM sample.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t>Portfolio maturity proxy</w:t>
            </w:r>
          </w:p>
        </w:tc>
        <w:tc>
          <w:tcPr>
            <w:tcW w:type="dxa" w:w="1337"/>
          </w:tcPr>
          <w:p>
            <w:r>
              <w:rPr/>
              <w:t>N</w:t>
            </w:r>
          </w:p>
        </w:tc>
        <w:tc>
          <w:tcPr>
            <w:tcW w:type="dxa" w:w="1337"/>
          </w:tcPr>
          <w:p>
            <w:r>
              <w:rPr/>
              <w:t>State</w:t>
            </w:r>
          </w:p>
        </w:tc>
        <w:tc>
          <w:tcPr>
            <w:tcW w:type="dxa" w:w="1337"/>
          </w:tcPr>
          <w:p>
            <w:r>
              <w:rPr/>
              <w:t>Local</w:t>
            </w:r>
          </w:p>
        </w:tc>
        <w:tc>
          <w:tcPr>
            <w:tcW w:type="dxa" w:w="1337"/>
          </w:tcPr>
          <w:p>
            <w:r>
              <w:rPr/>
              <w:t>Median programs</w:t>
            </w:r>
          </w:p>
        </w:tc>
        <w:tc>
          <w:tcPr>
            <w:tcW w:type="dxa" w:w="1337"/>
          </w:tcPr>
          <w:p>
            <w:r>
              <w:rPr/>
              <w:t>Median disasters</w:t>
            </w:r>
          </w:p>
        </w:tc>
        <w:tc>
          <w:tcPr>
            <w:tcW w:type="dxa" w:w="1337"/>
          </w:tcPr>
          <w:p>
            <w:r>
              <w:rPr/>
              <w:t>Median duration (months)</w:t>
            </w:r>
          </w:p>
        </w:tc>
      </w:tr>
      <w:tr>
        <w:tc>
          <w:tcPr>
            <w:tcW w:type="dxa" w:w="1337"/>
          </w:tcPr>
          <w:p>
            <w:r>
              <w:rPr/>
              <w:t>&lt;=24 months</w:t>
            </w:r>
          </w:p>
        </w:tc>
        <w:tc>
          <w:tcPr>
            <w:tcW w:type="dxa" w:w="1337"/>
          </w:tcPr>
          <w:p>
            <w:r>
              <w:rPr/>
              <w:t>110</w:t>
            </w:r>
          </w:p>
        </w:tc>
        <w:tc>
          <w:tcPr>
            <w:tcW w:type="dxa" w:w="1337"/>
          </w:tcPr>
          <w:p>
            <w:r>
              <w:rPr/>
              <w:t>2</w:t>
            </w:r>
          </w:p>
        </w:tc>
        <w:tc>
          <w:tcPr>
            <w:tcW w:type="dxa" w:w="1337"/>
          </w:tcPr>
          <w:p>
            <w:r>
              <w:rPr/>
              <w:t>108</w:t>
            </w:r>
          </w:p>
        </w:tc>
        <w:tc>
          <w:tcPr>
            <w:tcW w:type="dxa" w:w="1337"/>
          </w:tcPr>
          <w:p>
            <w:r>
              <w:rPr/>
              <w:t>3</w:t>
            </w:r>
          </w:p>
        </w:tc>
        <w:tc>
          <w:tcPr>
            <w:tcW w:type="dxa" w:w="1337"/>
          </w:tcPr>
          <w:p>
            <w:r>
              <w:rPr/>
              <w:t>1</w:t>
            </w:r>
          </w:p>
        </w:tc>
        <w:tc>
          <w:tcPr>
            <w:tcW w:type="dxa" w:w="1337"/>
          </w:tcPr>
          <w:p>
            <w:r>
              <w:rPr/>
              <w:t>15.039</w:t>
            </w:r>
          </w:p>
        </w:tc>
      </w:tr>
      <w:tr>
        <w:tc>
          <w:tcPr>
            <w:tcW w:type="dxa" w:w="1337"/>
          </w:tcPr>
          <w:p>
            <w:r>
              <w:rPr/>
              <w:t>24-60 months</w:t>
            </w:r>
          </w:p>
        </w:tc>
        <w:tc>
          <w:tcPr>
            <w:tcW w:type="dxa" w:w="1337"/>
          </w:tcPr>
          <w:p>
            <w:r>
              <w:rPr/>
              <w:t>257</w:t>
            </w:r>
          </w:p>
        </w:tc>
        <w:tc>
          <w:tcPr>
            <w:tcW w:type="dxa" w:w="1337"/>
          </w:tcPr>
          <w:p>
            <w:r>
              <w:rPr/>
              <w:t>13</w:t>
            </w:r>
          </w:p>
        </w:tc>
        <w:tc>
          <w:tcPr>
            <w:tcW w:type="dxa" w:w="1337"/>
          </w:tcPr>
          <w:p>
            <w:r>
              <w:rPr/>
              <w:t>244</w:t>
            </w:r>
          </w:p>
        </w:tc>
        <w:tc>
          <w:tcPr>
            <w:tcW w:type="dxa" w:w="1337"/>
          </w:tcPr>
          <w:p>
            <w:r>
              <w:rPr/>
              <w:t>7</w:t>
            </w:r>
          </w:p>
        </w:tc>
        <w:tc>
          <w:tcPr>
            <w:tcW w:type="dxa" w:w="1337"/>
          </w:tcPr>
          <w:p>
            <w:r>
              <w:rPr/>
              <w:t>1</w:t>
            </w:r>
          </w:p>
        </w:tc>
        <w:tc>
          <w:tcPr>
            <w:tcW w:type="dxa" w:w="1337"/>
          </w:tcPr>
          <w:p>
            <w:r>
              <w:rPr/>
              <w:t>39.020</w:t>
            </w:r>
          </w:p>
        </w:tc>
      </w:tr>
      <w:tr>
        <w:tc>
          <w:tcPr>
            <w:tcW w:type="dxa" w:w="1337"/>
          </w:tcPr>
          <w:p>
            <w:r>
              <w:rPr/>
              <w:t>&gt;60 months</w:t>
            </w:r>
          </w:p>
        </w:tc>
        <w:tc>
          <w:tcPr>
            <w:tcW w:type="dxa" w:w="1337"/>
          </w:tcPr>
          <w:p>
            <w:r>
              <w:rPr/>
              <w:t>206</w:t>
            </w:r>
          </w:p>
        </w:tc>
        <w:tc>
          <w:tcPr>
            <w:tcW w:type="dxa" w:w="1337"/>
          </w:tcPr>
          <w:p>
            <w:r>
              <w:rPr/>
              <w:t>15</w:t>
            </w:r>
          </w:p>
        </w:tc>
        <w:tc>
          <w:tcPr>
            <w:tcW w:type="dxa" w:w="1337"/>
          </w:tcPr>
          <w:p>
            <w:r>
              <w:rPr/>
              <w:t>191</w:t>
            </w:r>
          </w:p>
        </w:tc>
        <w:tc>
          <w:tcPr>
            <w:tcW w:type="dxa" w:w="1337"/>
          </w:tcPr>
          <w:p>
            <w:r>
              <w:rPr/>
              <w:t>9.500</w:t>
            </w:r>
          </w:p>
        </w:tc>
        <w:tc>
          <w:tcPr>
            <w:tcW w:type="dxa" w:w="1337"/>
          </w:tcPr>
          <w:p>
            <w:r>
              <w:rPr/>
              <w:t>1</w:t>
            </w:r>
          </w:p>
        </w:tc>
        <w:tc>
          <w:tcPr>
            <w:tcW w:type="dxa" w:w="1337"/>
          </w:tcPr>
          <w:p>
            <w:r>
              <w:rPr/>
              <w:t>84.118</w:t>
            </w:r>
          </w:p>
        </w:tc>
      </w:tr>
    </w:tbl>
    <w:p/>
    <w:p>
      <w:r>
        <w:t>Appendix Table A6. Light-touch SEM sensitivity checks.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t>Specification</w:t>
            </w:r>
          </w:p>
        </w:tc>
        <w:tc>
          <w:tcPr>
            <w:tcW w:type="dxa" w:w="1560"/>
          </w:tcPr>
          <w:p>
            <w:r>
              <w:rPr/>
              <w:t>CFI</w:t>
            </w:r>
          </w:p>
        </w:tc>
        <w:tc>
          <w:tcPr>
            <w:tcW w:type="dxa" w:w="1560"/>
          </w:tcPr>
          <w:p>
            <w:r>
              <w:rPr/>
              <w:t>RMSEA</w:t>
            </w:r>
          </w:p>
        </w:tc>
        <w:tc>
          <w:tcPr>
            <w:tcW w:type="dxa" w:w="1560"/>
          </w:tcPr>
          <w:p>
            <w:r>
              <w:rPr/>
              <w:t>Burden -&gt; timeliness beta</w:t>
            </w:r>
          </w:p>
        </w:tc>
        <w:tc>
          <w:tcPr>
            <w:tcW w:type="dxa" w:w="1560"/>
          </w:tcPr>
          <w:p>
            <w:r>
              <w:rPr/>
              <w:t>Burden -&gt; performance beta</w:t>
            </w:r>
          </w:p>
        </w:tc>
        <w:tc>
          <w:tcPr>
            <w:tcW w:type="dxa" w:w="1560"/>
          </w:tcPr>
          <w:p>
            <w:r>
              <w:rPr/>
              <w:t>Note</w:t>
            </w:r>
          </w:p>
        </w:tc>
      </w:tr>
      <w:tr>
        <w:tc>
          <w:tcPr>
            <w:tcW w:type="dxa" w:w="1560"/>
          </w:tcPr>
          <w:p>
            <w:r>
              <w:rPr/>
              <w:t>Primary two-factor SEM</w:t>
            </w:r>
          </w:p>
        </w:tc>
        <w:tc>
          <w:tcPr>
            <w:tcW w:type="dxa" w:w="1560"/>
          </w:tcPr>
          <w:p>
            <w:r>
              <w:rPr/>
              <w:t>0.915</w:t>
            </w:r>
          </w:p>
        </w:tc>
        <w:tc>
          <w:tcPr>
            <w:tcW w:type="dxa" w:w="1560"/>
          </w:tcPr>
          <w:p>
            <w:r>
              <w:rPr/>
              <w:t>0.081</w:t>
            </w:r>
          </w:p>
        </w:tc>
        <w:tc>
          <w:tcPr>
            <w:tcW w:type="dxa" w:w="1560"/>
          </w:tcPr>
          <w:p>
            <w:r>
              <w:rPr/>
              <w:t>0.266</w:t>
            </w:r>
          </w:p>
        </w:tc>
        <w:tc>
          <w:tcPr>
            <w:tcW w:type="dxa" w:w="1560"/>
          </w:tcPr>
          <w:p>
            <w:r>
              <w:rPr/>
              <w:t>0.077</w:t>
            </w:r>
          </w:p>
        </w:tc>
        <w:tc>
          <w:tcPr>
            <w:tcW w:type="dxa" w:w="1560"/>
          </w:tcPr>
          <w:p>
            <w:r>
              <w:rPr/>
              <w:t>Main manuscript specification</w:t>
            </w:r>
          </w:p>
        </w:tc>
      </w:tr>
      <w:tr>
        <w:tc>
          <w:tcPr>
            <w:tcW w:type="dxa" w:w="1560"/>
          </w:tcPr>
          <w:p>
            <w:r>
              <w:rPr/>
              <w:t>Drop weak performance indicator</w:t>
            </w:r>
          </w:p>
        </w:tc>
        <w:tc>
          <w:tcPr>
            <w:tcW w:type="dxa" w:w="1560"/>
          </w:tcPr>
          <w:p>
            <w:r>
              <w:rPr/>
              <w:t>0.919</w:t>
            </w:r>
          </w:p>
        </w:tc>
        <w:tc>
          <w:tcPr>
            <w:tcW w:type="dxa" w:w="1560"/>
          </w:tcPr>
          <w:p>
            <w:r>
              <w:rPr/>
              <w:t>0.085</w:t>
            </w:r>
          </w:p>
        </w:tc>
        <w:tc>
          <w:tcPr>
            <w:tcW w:type="dxa" w:w="1560"/>
          </w:tcPr>
          <w:p>
            <w:r>
              <w:rPr/>
              <w:t>0.266</w:t>
            </w:r>
          </w:p>
        </w:tc>
        <w:tc>
          <w:tcPr>
            <w:tcW w:type="dxa" w:w="1560"/>
          </w:tcPr>
          <w:p>
            <w:r>
              <w:rPr/>
              <w:t>0.076</w:t>
            </w:r>
          </w:p>
        </w:tc>
        <w:tc>
          <w:tcPr>
            <w:tcW w:type="dxa" w:w="1560"/>
          </w:tcPr>
          <w:p>
            <w:r>
              <w:rPr/>
              <w:t>Removes expended-to-disbursed from Recovery Performance</w:t>
            </w:r>
          </w:p>
        </w:tc>
      </w:tr>
      <w:tr>
        <w:tc>
          <w:tcPr>
            <w:tcW w:type="dxa" w:w="1560"/>
          </w:tcPr>
          <w:p>
            <w:r>
              <w:rPr/>
              <w:t>Employment-only workload denominator</w:t>
            </w:r>
          </w:p>
        </w:tc>
        <w:tc>
          <w:tcPr>
            <w:tcW w:type="dxa" w:w="1560"/>
          </w:tcPr>
          <w:p>
            <w:r>
              <w:rPr/>
              <w:t>0.908</w:t>
            </w:r>
          </w:p>
        </w:tc>
        <w:tc>
          <w:tcPr>
            <w:tcW w:type="dxa" w:w="1560"/>
          </w:tcPr>
          <w:p>
            <w:r>
              <w:rPr/>
              <w:t>0.085</w:t>
            </w:r>
          </w:p>
        </w:tc>
        <w:tc>
          <w:tcPr>
            <w:tcW w:type="dxa" w:w="1560"/>
          </w:tcPr>
          <w:p>
            <w:r>
              <w:rPr/>
              <w:t>0.266</w:t>
            </w:r>
          </w:p>
        </w:tc>
        <w:tc>
          <w:tcPr>
            <w:tcW w:type="dxa" w:w="1560"/>
          </w:tcPr>
          <w:p>
            <w:r>
              <w:rPr/>
              <w:t>0.170</w:t>
            </w:r>
          </w:p>
        </w:tc>
        <w:tc>
          <w:tcPr>
            <w:tcW w:type="dxa" w:w="1560"/>
          </w:tcPr>
          <w:p>
            <w:r>
              <w:rPr/>
              <w:t>Uses NumProgram/avg_employment and NumDisaster/avg_employment</w:t>
            </w:r>
          </w:p>
        </w:tc>
      </w:tr>
      <w:tr>
        <w:tc>
          <w:tcPr>
            <w:tcW w:type="dxa" w:w="1560"/>
          </w:tcPr>
          <w:p>
            <w:r>
              <w:rPr/>
              <w:t>Coarse maturity-band controls</w:t>
            </w:r>
          </w:p>
        </w:tc>
        <w:tc>
          <w:tcPr>
            <w:tcW w:type="dxa" w:w="1560"/>
          </w:tcPr>
          <w:p>
            <w:r>
              <w:rPr/>
              <w:t>0.915</w:t>
            </w:r>
          </w:p>
        </w:tc>
        <w:tc>
          <w:tcPr>
            <w:tcW w:type="dxa" w:w="1560"/>
          </w:tcPr>
          <w:p>
            <w:r>
              <w:rPr/>
              <w:t>0.080</w:t>
            </w:r>
          </w:p>
        </w:tc>
        <w:tc>
          <w:tcPr>
            <w:tcW w:type="dxa" w:w="1560"/>
          </w:tcPr>
          <w:p>
            <w:r>
              <w:rPr/>
              <w:t>0.105</w:t>
            </w:r>
          </w:p>
        </w:tc>
        <w:tc>
          <w:tcPr>
            <w:tcW w:type="dxa" w:w="1560"/>
          </w:tcPr>
          <w:p>
            <w:r>
              <w:rPr/>
              <w:t>0.104</w:t>
            </w:r>
          </w:p>
        </w:tc>
        <w:tc>
          <w:tcPr>
            <w:tcW w:type="dxa" w:w="1560"/>
          </w:tcPr>
          <w:p>
            <w:r>
              <w:rPr/>
              <w:t>Adds mid- and long-duration portfolio band dummies as conservative outcome-adjacent maturity controls.</w:t>
            </w:r>
          </w:p>
        </w:tc>
      </w:tr>
      <w:tr>
        <w:tc>
          <w:tcPr>
            <w:tcW w:type="dxa" w:w="1560"/>
          </w:tcPr>
          <w:p>
            <w:r>
              <w:rPr/>
              <w:t>Portfolio-scale controls</w:t>
            </w:r>
          </w:p>
        </w:tc>
        <w:tc>
          <w:tcPr>
            <w:tcW w:type="dxa" w:w="1560"/>
          </w:tcPr>
          <w:p>
            <w:r>
              <w:rPr/>
              <w:t>0.783</w:t>
            </w:r>
          </w:p>
        </w:tc>
        <w:tc>
          <w:tcPr>
            <w:tcW w:type="dxa" w:w="1560"/>
          </w:tcPr>
          <w:p>
            <w:r>
              <w:rPr/>
              <w:t>0.131</w:t>
            </w:r>
          </w:p>
        </w:tc>
        <w:tc>
          <w:tcPr>
            <w:tcW w:type="dxa" w:w="1560"/>
          </w:tcPr>
          <w:p>
            <w:r>
              <w:rPr/>
              <w:t>0.127</w:t>
            </w:r>
          </w:p>
        </w:tc>
        <w:tc>
          <w:tcPr>
            <w:tcW w:type="dxa" w:w="1560"/>
          </w:tcPr>
          <w:p>
            <w:r>
              <w:rPr/>
              <w:t>-0.131</w:t>
            </w:r>
          </w:p>
        </w:tc>
        <w:tc>
          <w:tcPr>
            <w:tcW w:type="dxa" w:w="1560"/>
          </w:tcPr>
          <w:p>
            <w:r>
              <w:rPr/>
              <w:t>Adds logged program and disaster counts to separate workload density from raw portfolio scale.</w:t>
            </w:r>
          </w:p>
        </w:tc>
      </w:tr>
      <w:tr>
        <w:tc>
          <w:tcPr>
            <w:tcW w:type="dxa" w:w="1560"/>
          </w:tcPr>
          <w:p>
            <w:r>
              <w:rPr/>
              <w:t>Residualized burden indicators</w:t>
            </w:r>
          </w:p>
        </w:tc>
        <w:tc>
          <w:tcPr>
            <w:tcW w:type="dxa" w:w="1560"/>
          </w:tcPr>
          <w:p>
            <w:r>
              <w:rPr/>
              <w:t>0.918</w:t>
            </w:r>
          </w:p>
        </w:tc>
        <w:tc>
          <w:tcPr>
            <w:tcW w:type="dxa" w:w="1560"/>
          </w:tcPr>
          <w:p>
            <w:r>
              <w:rPr/>
              <w:t>0.079</w:t>
            </w:r>
          </w:p>
        </w:tc>
        <w:tc>
          <w:tcPr>
            <w:tcW w:type="dxa" w:w="1560"/>
          </w:tcPr>
          <w:p>
            <w:r>
              <w:rPr/>
              <w:t>0.297</w:t>
            </w:r>
          </w:p>
        </w:tc>
        <w:tc>
          <w:tcPr>
            <w:tcW w:type="dxa" w:w="1560"/>
          </w:tcPr>
          <w:p>
            <w:r>
              <w:rPr/>
              <w:t>0.056</w:t>
            </w:r>
          </w:p>
        </w:tc>
        <w:tc>
          <w:tcPr>
            <w:tcW w:type="dxa" w:w="1560"/>
          </w:tcPr>
          <w:p>
            <w:r>
              <w:rPr/>
              <w:t>Residualizes burden indicators on employment, payroll, and population to test arithmetic coupling.</w:t>
            </w:r>
          </w:p>
        </w:tc>
      </w:tr>
    </w:tbl>
    <w:p/>
    <w:p>
      <w:r>
        <w:t>Appendix Table A7. Ratio-artifact frequency and capped-ratio sensitivity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t>Element</w:t>
            </w:r>
          </w:p>
        </w:tc>
        <w:tc>
          <w:tcPr>
            <w:tcW w:type="dxa" w:w="3120"/>
          </w:tcPr>
          <w:p>
            <w:r>
              <w:rPr/>
              <w:t>Value</w:t>
            </w:r>
          </w:p>
        </w:tc>
        <w:tc>
          <w:tcPr>
            <w:tcW w:type="dxa" w:w="3120"/>
          </w:tcPr>
          <w:p>
            <w:r>
              <w:rPr/>
              <w:t>Note</w:t>
            </w:r>
          </w:p>
        </w:tc>
      </w:tr>
      <w:tr>
        <w:tc>
          <w:tcPr>
            <w:tcW w:type="dxa" w:w="3120"/>
          </w:tcPr>
          <w:p>
            <w:r>
              <w:rPr/>
              <w:t>Ratio_disbursed_to_obligated</w:t>
            </w:r>
          </w:p>
        </w:tc>
        <w:tc>
          <w:tcPr>
            <w:tcW w:type="dxa" w:w="3120"/>
          </w:tcPr>
          <w:p>
            <w:r>
              <w:rPr/>
              <w:t>0</w:t>
            </w:r>
          </w:p>
        </w:tc>
        <w:tc>
          <w:tcPr>
            <w:tcW w:type="dxa" w:w="3120"/>
          </w:tcPr>
          <w:p>
            <w:r>
              <w:rPr/>
              <w:t>Observed count above 1.0 out of 573 recovered 573-sample profiles.</w:t>
            </w:r>
          </w:p>
        </w:tc>
      </w:tr>
      <w:tr>
        <w:tc>
          <w:tcPr>
            <w:tcW w:type="dxa" w:w="3120"/>
          </w:tcPr>
          <w:p>
            <w:r>
              <w:rPr/>
              <w:t>Ratio_expended_to_disbursed</w:t>
            </w:r>
          </w:p>
        </w:tc>
        <w:tc>
          <w:tcPr>
            <w:tcW w:type="dxa" w:w="3120"/>
          </w:tcPr>
          <w:p>
            <w:r>
              <w:rPr/>
              <w:t>163</w:t>
            </w:r>
          </w:p>
        </w:tc>
        <w:tc>
          <w:tcPr>
            <w:tcW w:type="dxa" w:w="3120"/>
          </w:tcPr>
          <w:p>
            <w:r>
              <w:rPr/>
              <w:t>Observed count above 1.0 out of 573 recovered 573-sample profiles.</w:t>
            </w:r>
          </w:p>
        </w:tc>
      </w:tr>
      <w:tr>
        <w:tc>
          <w:tcPr>
            <w:tcW w:type="dxa" w:w="3120"/>
          </w:tcPr>
          <w:p>
            <w:r>
              <w:rPr/>
              <w:t>Ratio_obligated_funds_fully_expended</w:t>
            </w:r>
          </w:p>
        </w:tc>
        <w:tc>
          <w:tcPr>
            <w:tcW w:type="dxa" w:w="3120"/>
          </w:tcPr>
          <w:p>
            <w:r>
              <w:rPr/>
              <w:t>52</w:t>
            </w:r>
          </w:p>
        </w:tc>
        <w:tc>
          <w:tcPr>
            <w:tcW w:type="dxa" w:w="3120"/>
          </w:tcPr>
          <w:p>
            <w:r>
              <w:rPr/>
              <w:t>Observed count above 1.0 out of 573 recovered 573-sample profiles.</w:t>
            </w:r>
          </w:p>
        </w:tc>
      </w:tr>
      <w:tr>
        <w:tc>
          <w:tcPr>
            <w:tcW w:type="dxa" w:w="3120"/>
          </w:tcPr>
          <w:p>
            <w:r>
              <w:rPr/>
              <w:t>Ratio_Program_Completed</w:t>
            </w:r>
          </w:p>
        </w:tc>
        <w:tc>
          <w:tcPr>
            <w:tcW w:type="dxa" w:w="3120"/>
          </w:tcPr>
          <w:p>
            <w:r>
              <w:rPr/>
              <w:t>0</w:t>
            </w:r>
          </w:p>
        </w:tc>
        <w:tc>
          <w:tcPr>
            <w:tcW w:type="dxa" w:w="3120"/>
          </w:tcPr>
          <w:p>
            <w:r>
              <w:rPr/>
              <w:t>Observed count above 1.0 out of 573 recovered 573-sample profiles.</w:t>
            </w:r>
          </w:p>
        </w:tc>
      </w:tr>
      <w:tr>
        <w:tc>
          <w:tcPr>
            <w:tcW w:type="dxa" w:w="3120"/>
          </w:tcPr>
          <w:p>
            <w:r>
              <w:rPr/>
              <w:t>Capped ratio sensitivity: CFI</w:t>
            </w:r>
          </w:p>
        </w:tc>
        <w:tc>
          <w:tcPr>
            <w:tcW w:type="dxa" w:w="3120"/>
          </w:tcPr>
          <w:p>
            <w:r>
              <w:rPr/>
              <w:t>0.886</w:t>
            </w:r>
          </w:p>
        </w:tc>
        <w:tc>
          <w:tcPr>
            <w:tcW w:type="dxa" w:w="3120"/>
          </w:tcPr>
          <w:p>
            <w:r>
              <w:rPr/>
              <w:t>Two-factor SEM refit after truncating ratio indicators at 1.0.</w:t>
            </w:r>
          </w:p>
        </w:tc>
      </w:tr>
      <w:tr>
        <w:tc>
          <w:tcPr>
            <w:tcW w:type="dxa" w:w="3120"/>
          </w:tcPr>
          <w:p>
            <w:r>
              <w:rPr/>
              <w:t>Capped ratio sensitivity: burden -&gt; timeliness beta</w:t>
            </w:r>
          </w:p>
        </w:tc>
        <w:tc>
          <w:tcPr>
            <w:tcW w:type="dxa" w:w="3120"/>
          </w:tcPr>
          <w:p>
            <w:r>
              <w:rPr/>
              <w:t>0.266</w:t>
            </w:r>
          </w:p>
        </w:tc>
        <w:tc>
          <w:tcPr>
            <w:tcW w:type="dxa" w:w="3120"/>
          </w:tcPr>
          <w:p>
            <w:r>
              <w:rPr/>
              <w:t>Primary timeliness coefficient after ratio truncation.</w:t>
            </w:r>
          </w:p>
        </w:tc>
      </w:tr>
      <w:tr>
        <w:tc>
          <w:tcPr>
            <w:tcW w:type="dxa" w:w="3120"/>
          </w:tcPr>
          <w:p>
            <w:r>
              <w:rPr/>
              <w:t>Capped ratio sensitivity: resources -&gt; performance beta</w:t>
            </w:r>
          </w:p>
        </w:tc>
        <w:tc>
          <w:tcPr>
            <w:tcW w:type="dxa" w:w="3120"/>
          </w:tcPr>
          <w:p>
            <w:r>
              <w:rPr/>
              <w:t>-0.188</w:t>
            </w:r>
          </w:p>
        </w:tc>
        <w:tc>
          <w:tcPr>
            <w:tcW w:type="dxa" w:w="3120"/>
          </w:tcPr>
          <w:p>
            <w:r>
              <w:rPr/>
              <w:t>Secondary performance coefficient after ratio truncation.</w:t>
            </w:r>
          </w:p>
        </w:tc>
      </w:tr>
    </w:tbl>
    <w:p/>
    <w:p>
      <w:r>
        <w:t>Appendix Table A8. Official 2023 Census geography crosswalk audit for SEM-facing units.</w:t>
      </w:r>
    </w:p>
    <w:tbl>
      <w:tblPr>
        <w:tblStyle w:val="TableGrid"/>
        <w:tblW w:type="auto" w:w="0"/>
        <w:tblLook w:firstColumn="1" w:firstRow="1" w:lastColumn="0" w:lastRow="0" w:noHBand="0" w:noVBand="1" w:val="04A0"/>
      </w:tblPr>
      <w:tblGrid>
        <w:gridCol w:w="3120"/>
        <w:gridCol w:w="3120"/>
        <w:gridCol w:w="3120"/>
      </w:tblGrid>
      <w:tr>
        <w:tc>
          <w:tcPr>
            <w:tcW w:type="dxa" w:w="3120"/>
          </w:tcPr>
          <w:p>
            <w:r>
              <w:rPr/>
              <w:t>Mapping step</w:t>
            </w:r>
          </w:p>
        </w:tc>
        <w:tc>
          <w:tcPr>
            <w:tcW w:type="dxa" w:w="3120"/>
          </w:tcPr>
          <w:p>
            <w:r>
              <w:rPr/>
              <w:t>Description</w:t>
            </w:r>
          </w:p>
        </w:tc>
        <w:tc>
          <w:tcPr>
            <w:tcW w:type="dxa" w:w="3120"/>
          </w:tcPr>
          <w:p>
            <w:r>
              <w:rPr/>
              <w:t>Count / implication</w:t>
            </w:r>
          </w:p>
        </w:tc>
      </w:tr>
      <w:tr>
        <w:tc>
          <w:tcPr>
            <w:tcW w:type="dxa" w:w="3120"/>
          </w:tcPr>
          <w:p>
            <w:r>
              <w:rPr/>
              <w:t>Official Census state-agency crosswalk</w:t>
            </w:r>
          </w:p>
        </w:tc>
        <w:tc>
          <w:tcPr>
            <w:tcW w:type="dxa" w:w="3120"/>
          </w:tcPr>
          <w:p>
            <w:r>
              <w:rPr/>
              <w:t>Two-letter state-administered SEM units matched directly to the 2023 Census state file by STUSPS abbreviation.</w:t>
            </w:r>
          </w:p>
        </w:tc>
        <w:tc>
          <w:tcPr>
            <w:tcW w:type="dxa" w:w="3120"/>
          </w:tcPr>
          <w:p>
            <w:r>
              <w:rPr/>
              <w:t>30/30 matched (100.0%)</w:t>
            </w:r>
          </w:p>
        </w:tc>
      </w:tr>
      <w:tr>
        <w:tc>
          <w:tcPr>
            <w:tcW w:type="dxa" w:w="3120"/>
          </w:tcPr>
          <w:p>
            <w:r>
              <w:rPr/>
              <w:t>Official Census county crosswalk</w:t>
            </w:r>
          </w:p>
        </w:tc>
        <w:tc>
          <w:tcPr>
            <w:tcW w:type="dxa" w:w="3120"/>
          </w:tcPr>
          <w:p>
            <w:r>
              <w:rPr/>
              <w:t>County-linked local SEM units matched directly to the 2023 Census county file by normalized county/parish/borough label and state.</w:t>
            </w:r>
          </w:p>
        </w:tc>
        <w:tc>
          <w:tcPr>
            <w:tcW w:type="dxa" w:w="3120"/>
          </w:tcPr>
          <w:p>
            <w:r>
              <w:rPr/>
              <w:t>543/543 matched (100.0%)</w:t>
            </w:r>
          </w:p>
        </w:tc>
      </w:tr>
      <w:tr>
        <w:tc>
          <w:tcPr>
            <w:tcW w:type="dxa" w:w="3120"/>
          </w:tcPr>
          <w:p>
            <w:r>
              <w:rPr/>
              <w:t>Recovered-sample unresolved cases</w:t>
            </w:r>
          </w:p>
        </w:tc>
        <w:tc>
          <w:tcPr>
            <w:tcW w:type="dxa" w:w="3120"/>
          </w:tcPr>
          <w:p>
            <w:r>
              <w:rPr/>
              <w:t>Recovered SEM sample units that did not resolve to an official Census state or county GEOID.</w:t>
            </w:r>
          </w:p>
        </w:tc>
        <w:tc>
          <w:tcPr>
            <w:tcW w:type="dxa" w:w="3120"/>
          </w:tcPr>
          <w:p>
            <w:r>
              <w:rPr/>
              <w:t>0</w:t>
            </w:r>
          </w:p>
        </w:tc>
      </w:tr>
      <w:tr>
        <w:tc>
          <w:tcPr>
            <w:tcW w:type="dxa" w:w="3120"/>
          </w:tcPr>
          <w:p>
            <w:r>
              <w:rPr/>
              <w:t>Map inheritance rule</w:t>
            </w:r>
          </w:p>
        </w:tc>
        <w:tc>
          <w:tcPr>
            <w:tcW w:type="dxa" w:w="3120"/>
          </w:tcPr>
          <w:p>
            <w:r>
              <w:rPr/>
              <w:t>County-linked local units inherit county GEOIDs; state-administered units inherit statewide GEOIDs rather than county scores.</w:t>
            </w:r>
          </w:p>
        </w:tc>
        <w:tc>
          <w:tcPr>
            <w:tcW w:type="dxa" w:w="3120"/>
          </w:tcPr>
          <w:p>
            <w:r>
              <w:rPr/>
              <w:t>573</w:t>
            </w:r>
          </w:p>
        </w:tc>
      </w:tr>
    </w:tbl>
    <w:p/>
    <w:p>
      <w:r>
        <w:t>Appendix Table A9. Proxy-validation and coupling diagnostics for QCEW-based resource and workload measures.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t>Check</w:t>
            </w:r>
          </w:p>
        </w:tc>
        <w:tc>
          <w:tcPr>
            <w:tcW w:type="dxa" w:w="2340"/>
          </w:tcPr>
          <w:p>
            <w:r>
              <w:rPr/>
              <w:t>Sample</w:t>
            </w:r>
          </w:p>
        </w:tc>
        <w:tc>
          <w:tcPr>
            <w:tcW w:type="dxa" w:w="2340"/>
          </w:tcPr>
          <w:p>
            <w:r>
              <w:rPr/>
              <w:t>Estimate</w:t>
            </w:r>
          </w:p>
        </w:tc>
        <w:tc>
          <w:tcPr>
            <w:tcW w:type="dxa" w:w="2340"/>
          </w:tcPr>
          <w:p>
            <w:r>
              <w:rPr/>
              <w:t>Note</w:t>
            </w:r>
          </w:p>
        </w:tc>
      </w:tr>
      <w:tr>
        <w:tc>
          <w:tcPr>
            <w:tcW w:type="dxa" w:w="2340"/>
          </w:tcPr>
          <w:p>
            <w:r>
              <w:rPr/>
              <w:t>Employment proxy vs payroll proxy</w:t>
            </w:r>
          </w:p>
        </w:tc>
        <w:tc>
          <w:tcPr>
            <w:tcW w:type="dxa" w:w="2340"/>
          </w:tcPr>
          <w:p>
            <w:r>
              <w:rPr/>
              <w:t>Full SEM sample (n=573)</w:t>
            </w:r>
          </w:p>
        </w:tc>
        <w:tc>
          <w:tcPr>
            <w:tcW w:type="dxa" w:w="2340"/>
          </w:tcPr>
          <w:p>
            <w:r>
              <w:rPr/>
              <w:t>0.945</w:t>
            </w:r>
          </w:p>
        </w:tc>
        <w:tc>
          <w:tcPr>
            <w:tcW w:type="dxa" w:w="2340"/>
          </w:tcPr>
          <w:p>
            <w:r>
              <w:rPr/>
              <w:t>High co-movement is expected if both capture administrative scale.</w:t>
            </w:r>
          </w:p>
        </w:tc>
      </w:tr>
      <w:tr>
        <w:tc>
          <w:tcPr>
            <w:tcW w:type="dxa" w:w="2340"/>
          </w:tcPr>
          <w:p>
            <w:r>
              <w:rPr/>
              <w:t>Employment proxy vs population</w:t>
            </w:r>
          </w:p>
        </w:tc>
        <w:tc>
          <w:tcPr>
            <w:tcW w:type="dxa" w:w="2340"/>
          </w:tcPr>
          <w:p>
            <w:r>
              <w:rPr/>
              <w:t>Full SEM sample (n=573)</w:t>
            </w:r>
          </w:p>
        </w:tc>
        <w:tc>
          <w:tcPr>
            <w:tcW w:type="dxa" w:w="2340"/>
          </w:tcPr>
          <w:p>
            <w:r>
              <w:rPr/>
              <w:t>0.169</w:t>
            </w:r>
          </w:p>
        </w:tc>
        <w:tc>
          <w:tcPr>
            <w:tcW w:type="dxa" w:w="2340"/>
          </w:tcPr>
          <w:p>
            <w:r>
              <w:rPr/>
              <w:t>Tests whether the staffing proxy mainly reflects jurisdiction size.</w:t>
            </w:r>
          </w:p>
        </w:tc>
      </w:tr>
      <w:tr>
        <w:tc>
          <w:tcPr>
            <w:tcW w:type="dxa" w:w="2340"/>
          </w:tcPr>
          <w:p>
            <w:r>
              <w:rPr/>
              <w:t>Payroll proxy vs population</w:t>
            </w:r>
          </w:p>
        </w:tc>
        <w:tc>
          <w:tcPr>
            <w:tcW w:type="dxa" w:w="2340"/>
          </w:tcPr>
          <w:p>
            <w:r>
              <w:rPr/>
              <w:t>Full SEM sample (n=573)</w:t>
            </w:r>
          </w:p>
        </w:tc>
        <w:tc>
          <w:tcPr>
            <w:tcW w:type="dxa" w:w="2340"/>
          </w:tcPr>
          <w:p>
            <w:r>
              <w:rPr/>
              <w:t>0.255</w:t>
            </w:r>
          </w:p>
        </w:tc>
        <w:tc>
          <w:tcPr>
            <w:tcW w:type="dxa" w:w="2340"/>
          </w:tcPr>
          <w:p>
            <w:r>
              <w:rPr/>
              <w:t>Population-adjusted payroll should not collapse to simple size alone.</w:t>
            </w:r>
          </w:p>
        </w:tc>
      </w:tr>
      <w:tr>
        <w:tc>
          <w:tcPr>
            <w:tcW w:type="dxa" w:w="2340"/>
          </w:tcPr>
          <w:p>
            <w:r>
              <w:rPr/>
              <w:t>Employment proxy vs raw program count</w:t>
            </w:r>
          </w:p>
        </w:tc>
        <w:tc>
          <w:tcPr>
            <w:tcW w:type="dxa" w:w="2340"/>
          </w:tcPr>
          <w:p>
            <w:r>
              <w:rPr/>
              <w:t>Full SEM sample (n=573)</w:t>
            </w:r>
          </w:p>
        </w:tc>
        <w:tc>
          <w:tcPr>
            <w:tcW w:type="dxa" w:w="2340"/>
          </w:tcPr>
          <w:p>
            <w:r>
              <w:rPr/>
              <w:t>0.170</w:t>
            </w:r>
          </w:p>
        </w:tc>
        <w:tc>
          <w:tcPr>
            <w:tcW w:type="dxa" w:w="2340"/>
          </w:tcPr>
          <w:p>
            <w:r>
              <w:rPr/>
              <w:t>Helps separate pure administrative scale from portfolio volume.</w:t>
            </w:r>
          </w:p>
        </w:tc>
      </w:tr>
      <w:tr>
        <w:tc>
          <w:tcPr>
            <w:tcW w:type="dxa" w:w="2340"/>
          </w:tcPr>
          <w:p>
            <w:r>
              <w:rPr/>
              <w:t>Employment proxy vs raw disaster count</w:t>
            </w:r>
          </w:p>
        </w:tc>
        <w:tc>
          <w:tcPr>
            <w:tcW w:type="dxa" w:w="2340"/>
          </w:tcPr>
          <w:p>
            <w:r>
              <w:rPr/>
              <w:t>Full SEM sample (n=573)</w:t>
            </w:r>
          </w:p>
        </w:tc>
        <w:tc>
          <w:tcPr>
            <w:tcW w:type="dxa" w:w="2340"/>
          </w:tcPr>
          <w:p>
            <w:r>
              <w:rPr/>
              <w:t>0.036</w:t>
            </w:r>
          </w:p>
        </w:tc>
        <w:tc>
          <w:tcPr>
            <w:tcW w:type="dxa" w:w="2340"/>
          </w:tcPr>
          <w:p>
            <w:r>
              <w:rPr/>
              <w:t>If this is near 1, staffing may simply proxy exposure intensity.</w:t>
            </w:r>
          </w:p>
        </w:tc>
      </w:tr>
      <w:tr>
        <w:tc>
          <w:tcPr>
            <w:tcW w:type="dxa" w:w="2340"/>
          </w:tcPr>
          <w:p>
            <w:r>
              <w:rPr/>
              <w:t>State-only external employment cross-check</w:t>
            </w:r>
          </w:p>
        </w:tc>
        <w:tc>
          <w:tcPr>
            <w:tcW w:type="dxa" w:w="2340"/>
          </w:tcPr>
          <w:p>
            <w:r>
              <w:rPr/>
              <w:t>States with external government-employment match (n=27)</w:t>
            </w:r>
          </w:p>
        </w:tc>
        <w:tc>
          <w:tcPr>
            <w:tcW w:type="dxa" w:w="2340"/>
          </w:tcPr>
          <w:p>
            <w:r>
              <w:rPr/>
              <w:t>0.225</w:t>
            </w:r>
          </w:p>
        </w:tc>
        <w:tc>
          <w:tcPr>
            <w:tcW w:type="dxa" w:w="2340"/>
          </w:tcPr>
          <w:p>
            <w:r>
              <w:rPr/>
              <w:t>Compares the recovered state staffing proxy to a separate BLS total-government employment series.</w:t>
            </w:r>
          </w:p>
        </w:tc>
      </w:tr>
      <w:tr>
        <w:tc>
          <w:tcPr>
            <w:tcW w:type="dxa" w:w="2340"/>
          </w:tcPr>
          <w:p>
            <w:r>
              <w:rPr/>
              <w:t>State-only external payroll cross-check</w:t>
            </w:r>
          </w:p>
        </w:tc>
        <w:tc>
          <w:tcPr>
            <w:tcW w:type="dxa" w:w="2340"/>
          </w:tcPr>
          <w:p>
            <w:r>
              <w:rPr/>
              <w:t>States with external government-employment match (n=27)</w:t>
            </w:r>
          </w:p>
        </w:tc>
        <w:tc>
          <w:tcPr>
            <w:tcW w:type="dxa" w:w="2340"/>
          </w:tcPr>
          <w:p>
            <w:r>
              <w:rPr/>
              <w:t>0.324</w:t>
            </w:r>
          </w:p>
        </w:tc>
        <w:tc>
          <w:tcPr>
            <w:tcW w:type="dxa" w:w="2340"/>
          </w:tcPr>
          <w:p>
            <w:r>
              <w:rPr/>
              <w:t>A coarse external validity check; stronger direct staffing validation remains desirable.</w:t>
            </w:r>
          </w:p>
        </w:tc>
      </w:tr>
      <w:tr>
        <w:tc>
          <w:tcPr>
            <w:tcW w:type="dxa" w:w="2340"/>
          </w:tcPr>
          <w:p>
            <w:r>
              <w:rPr/>
              <w:t>Residualized burden -&gt; timeliness beta</w:t>
            </w:r>
          </w:p>
        </w:tc>
        <w:tc>
          <w:tcPr>
            <w:tcW w:type="dxa" w:w="2340"/>
          </w:tcPr>
          <w:p>
            <w:r>
              <w:rPr/>
              <w:t>SEM coupling sensitivity</w:t>
            </w:r>
          </w:p>
        </w:tc>
        <w:tc>
          <w:tcPr>
            <w:tcW w:type="dxa" w:w="2340"/>
          </w:tcPr>
          <w:p>
            <w:r>
              <w:rPr/>
              <w:t>0.297</w:t>
            </w:r>
          </w:p>
        </w:tc>
        <w:tc>
          <w:tcPr>
            <w:tcW w:type="dxa" w:w="2340"/>
          </w:tcPr>
          <w:p>
            <w:r>
              <w:rPr/>
              <w:t>If this remains positive, the main burden-timeliness association is not driven only by arithmetic coupling.</w:t>
            </w:r>
          </w:p>
        </w:tc>
      </w:tr>
    </w:tbl>
    <w:p/>
    <w:p>
      <w:r>
        <w:t>Appendix Table A10. Forensic summary of the smaller cleaned N = 169 sensitivity sample.</w:t>
      </w:r>
    </w:p>
    <w:tbl>
      <w:tblPr>
        <w:tblStyle w:val="TableGrid"/>
        <w:tblW w:type="auto" w:w="0"/>
        <w:tblLook w:firstColumn="1" w:firstRow="1" w:lastColumn="0" w:lastRow="0" w:noHBand="0" w:noVBand="1" w:val="04A0"/>
      </w:tblPr>
      <w:tblGrid>
        <w:gridCol w:w="3120"/>
        <w:gridCol w:w="3120"/>
        <w:gridCol w:w="3120"/>
      </w:tblGrid>
      <w:tr>
        <w:tc>
          <w:tcPr>
            <w:tcW w:type="dxa" w:w="3120"/>
          </w:tcPr>
          <w:p>
            <w:r>
              <w:rPr/>
              <w:t>Finding</w:t>
            </w:r>
          </w:p>
        </w:tc>
        <w:tc>
          <w:tcPr>
            <w:tcW w:type="dxa" w:w="3120"/>
          </w:tcPr>
          <w:p>
            <w:r>
              <w:rPr/>
              <w:t>Value</w:t>
            </w:r>
          </w:p>
        </w:tc>
        <w:tc>
          <w:tcPr>
            <w:tcW w:type="dxa" w:w="3120"/>
          </w:tcPr>
          <w:p>
            <w:r>
              <w:rPr/>
              <w:t>Note</w:t>
            </w:r>
          </w:p>
        </w:tc>
      </w:tr>
      <w:tr>
        <w:tc>
          <w:tcPr>
            <w:tcW w:type="dxa" w:w="3120"/>
          </w:tcPr>
          <w:p>
            <w:r>
              <w:rPr/>
              <w:t>Strict subset relation</w:t>
            </w:r>
          </w:p>
        </w:tc>
        <w:tc>
          <w:tcPr>
            <w:tcW w:type="dxa" w:w="3120"/>
          </w:tcPr>
          <w:p>
            <w:r>
              <w:rPr/>
              <w:t>Yes</w:t>
            </w:r>
          </w:p>
        </w:tc>
        <w:tc>
          <w:tcPr>
            <w:tcW w:type="dxa" w:w="3120"/>
          </w:tcPr>
          <w:p>
            <w:r>
              <w:rPr/>
              <w:t>The smaller cleaned sensitivity sample is nested within the 573-jurisdiction SEM sample.</w:t>
            </w:r>
          </w:p>
        </w:tc>
      </w:tr>
      <w:tr>
        <w:tc>
          <w:tcPr>
            <w:tcW w:type="dxa" w:w="3120"/>
          </w:tcPr>
          <w:p>
            <w:r>
              <w:rPr/>
              <w:t>Retained jurisdictions</w:t>
            </w:r>
          </w:p>
        </w:tc>
        <w:tc>
          <w:tcPr>
            <w:tcW w:type="dxa" w:w="3120"/>
          </w:tcPr>
          <w:p>
            <w:r>
              <w:rPr/>
              <w:t>169/573 (29.5%)</w:t>
            </w:r>
          </w:p>
        </w:tc>
        <w:tc>
          <w:tcPr>
            <w:tcW w:type="dxa" w:w="3120"/>
          </w:tcPr>
          <w:p>
            <w:r>
              <w:rPr/>
              <w:t>Share of the 573-jurisdiction reference sample retained in the N=169 subset.</w:t>
            </w:r>
          </w:p>
        </w:tc>
      </w:tr>
      <w:tr>
        <w:tc>
          <w:tcPr>
            <w:tcW w:type="dxa" w:w="3120"/>
          </w:tcPr>
          <w:p>
            <w:r>
              <w:rPr/>
              <w:t>State retention rate</w:t>
            </w:r>
          </w:p>
        </w:tc>
        <w:tc>
          <w:tcPr>
            <w:tcW w:type="dxa" w:w="3120"/>
          </w:tcPr>
          <w:p>
            <w:r>
              <w:rPr/>
              <w:t>28/30 (93.3%)</w:t>
            </w:r>
          </w:p>
        </w:tc>
        <w:tc>
          <w:tcPr>
            <w:tcW w:type="dxa" w:w="3120"/>
          </w:tcPr>
          <w:p>
            <w:r>
              <w:rPr/>
              <w:t>State agencies are retained at a much higher rate than local jurisdictions.</w:t>
            </w:r>
          </w:p>
        </w:tc>
      </w:tr>
      <w:tr>
        <w:tc>
          <w:tcPr>
            <w:tcW w:type="dxa" w:w="3120"/>
          </w:tcPr>
          <w:p>
            <w:r>
              <w:rPr/>
              <w:t>Local retention rate</w:t>
            </w:r>
          </w:p>
        </w:tc>
        <w:tc>
          <w:tcPr>
            <w:tcW w:type="dxa" w:w="3120"/>
          </w:tcPr>
          <w:p>
            <w:r>
              <w:rPr/>
              <w:t>141/543 (26.0%)</w:t>
            </w:r>
          </w:p>
        </w:tc>
        <w:tc>
          <w:tcPr>
            <w:tcW w:type="dxa" w:w="3120"/>
          </w:tcPr>
          <w:p>
            <w:r>
              <w:rPr/>
              <w:t>Local jurisdictions are heavily thinned in the smaller cleaned sample.</w:t>
            </w:r>
          </w:p>
        </w:tc>
      </w:tr>
      <w:tr>
        <w:tc>
          <w:tcPr>
            <w:tcW w:type="dxa" w:w="3120"/>
          </w:tcPr>
          <w:p>
            <w:r>
              <w:rPr/>
              <w:t>Best single-threshold rule</w:t>
            </w:r>
          </w:p>
        </w:tc>
        <w:tc>
          <w:tcPr>
            <w:tcW w:type="dxa" w:w="3120"/>
          </w:tcPr>
          <w:p>
            <w:r>
              <w:rPr/>
              <w:t>|z_E_TOTPOP| &gt; 0.5</w:t>
            </w:r>
          </w:p>
        </w:tc>
        <w:tc>
          <w:tcPr>
            <w:tcW w:type="dxa" w:w="3120"/>
          </w:tcPr>
          <w:p>
            <w:r>
              <w:rPr/>
              <w:t>Best simple threshold accuracy = 0.754</w:t>
            </w:r>
          </w:p>
        </w:tc>
      </w:tr>
      <w:tr>
        <w:tc>
          <w:tcPr>
            <w:tcW w:type="dxa" w:w="3120"/>
          </w:tcPr>
          <w:p>
            <w:r>
              <w:rPr/>
              <w:t>Best common outlier screen</w:t>
            </w:r>
          </w:p>
        </w:tc>
        <w:tc>
          <w:tcPr>
            <w:tcW w:type="dxa" w:w="3120"/>
          </w:tcPr>
          <w:p>
            <w:r>
              <w:rPr/>
              <w:t>all |z| &lt;= 0.5</w:t>
            </w:r>
          </w:p>
        </w:tc>
        <w:tc>
          <w:tcPr>
            <w:tcW w:type="dxa" w:w="3120"/>
          </w:tcPr>
          <w:p>
            <w:r>
              <w:rPr/>
              <w:t>Best common-threshold accuracy = 0.705</w:t>
            </w:r>
          </w:p>
        </w:tc>
      </w:tr>
      <w:tr>
        <w:tc>
          <w:tcPr>
            <w:tcW w:type="dxa" w:w="3120"/>
          </w:tcPr>
          <w:p>
            <w:r>
              <w:rPr/>
              <w:t>Depth-3 tree CV accuracy</w:t>
            </w:r>
          </w:p>
        </w:tc>
        <w:tc>
          <w:tcPr>
            <w:tcW w:type="dxa" w:w="3120"/>
          </w:tcPr>
          <w:p>
            <w:r>
              <w:rPr/>
              <w:t>0.768</w:t>
            </w:r>
          </w:p>
        </w:tc>
        <w:tc>
          <w:tcPr>
            <w:tcW w:type="dxa" w:w="3120"/>
          </w:tcPr>
          <w:p>
            <w:r>
              <w:rPr/>
              <w:t>Leading classifier features: z_E_TOTPOP, z_rev_programs_per_staff, z_Ratio_disbursed_to_obligated</w:t>
            </w:r>
          </w:p>
        </w:tc>
      </w:tr>
      <w:tr>
        <w:tc>
          <w:tcPr>
            <w:tcW w:type="dxa" w:w="3120"/>
          </w:tcPr>
          <w:p>
            <w:r>
              <w:rPr/>
              <w:t>Forensic conclusion</w:t>
            </w:r>
          </w:p>
        </w:tc>
        <w:tc>
          <w:tcPr>
            <w:tcW w:type="dxa" w:w="3120"/>
          </w:tcPr>
          <w:p>
            <w:r>
              <w:rPr/>
              <w:t>Exact rule unrecovered</w:t>
            </w:r>
          </w:p>
        </w:tc>
        <w:tc>
          <w:tcPr>
            <w:tcW w:type="dxa" w:w="3120"/>
          </w:tcPr>
          <w:p>
            <w:r>
              <w:rPr/>
              <w:t>No simple outlier threshold reproduces the N=169 subset; it behaves like a compound or curated filter.</w:t>
            </w:r>
          </w:p>
        </w:tc>
      </w:tr>
    </w:tbl>
    <w:sectPr w:rsidR="00441327">
      <w:pgSz w:w="12240" w:h="15840" w:orient="portrait"/>
      <w:pgMar w:top="1440" w:right="1440" w:bottom="1440" w:left="1440" w:header="720" w:footer="720" w:gutter="0"/>
      <w:cols w:space="720"/>
      <w:docGrid w:linePitch="360"/>
      <w:headerReference w:type="default" r:id="R4a9d047da55c4711"/>
      <w:footerReference w:type="default" r:id="R77bbd5c094634a5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DFBBFF" w:rsidTr="09DFBBFF" w14:paraId="0FD08511">
      <w:trPr>
        <w:trHeight w:val="300"/>
      </w:trPr>
      <w:tc>
        <w:tcPr>
          <w:tcW w:w="3120" w:type="dxa"/>
          <w:tcMar/>
        </w:tcPr>
        <w:p w:rsidR="09DFBBFF" w:rsidP="09DFBBFF" w:rsidRDefault="09DFBBFF" w14:paraId="4EE056CC" w14:textId="2F7007DD">
          <w:pPr>
            <w:pStyle w:val="Header"/>
            <w:bidi w:val="0"/>
            <w:ind w:left="-115"/>
            <w:jc w:val="left"/>
          </w:pPr>
        </w:p>
      </w:tc>
      <w:tc>
        <w:tcPr>
          <w:tcW w:w="3120" w:type="dxa"/>
          <w:tcMar/>
        </w:tcPr>
        <w:p w:rsidR="09DFBBFF" w:rsidP="09DFBBFF" w:rsidRDefault="09DFBBFF" w14:paraId="16FA8868" w14:textId="7EF33D9D">
          <w:pPr>
            <w:pStyle w:val="Header"/>
            <w:bidi w:val="0"/>
            <w:jc w:val="center"/>
          </w:pPr>
          <w:r>
            <w:fldChar w:fldCharType="begin"/>
          </w:r>
          <w:r>
            <w:instrText xml:space="preserve">PAGE</w:instrText>
          </w:r>
          <w:r>
            <w:fldChar w:fldCharType="separate"/>
          </w:r>
          <w:r>
            <w:fldChar w:fldCharType="end"/>
          </w:r>
        </w:p>
      </w:tc>
      <w:tc>
        <w:tcPr>
          <w:tcW w:w="3120" w:type="dxa"/>
          <w:tcMar/>
        </w:tcPr>
        <w:p w:rsidR="09DFBBFF" w:rsidP="09DFBBFF" w:rsidRDefault="09DFBBFF" w14:paraId="0C1D2C47" w14:textId="495E0E24">
          <w:pPr>
            <w:pStyle w:val="Header"/>
            <w:bidi w:val="0"/>
            <w:ind w:right="-115"/>
            <w:jc w:val="right"/>
          </w:pPr>
        </w:p>
      </w:tc>
    </w:tr>
  </w:tbl>
  <w:p w:rsidR="09DFBBFF" w:rsidP="09DFBBFF" w:rsidRDefault="09DFBBFF" w14:paraId="33F794C6" w14:textId="7BAB56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DFBBFF" w:rsidTr="09DFBBFF" w14:paraId="7B07EB99">
      <w:trPr>
        <w:trHeight w:val="300"/>
      </w:trPr>
      <w:tc>
        <w:tcPr>
          <w:tcW w:w="3120" w:type="dxa"/>
          <w:tcMar/>
        </w:tcPr>
        <w:p w:rsidR="09DFBBFF" w:rsidP="09DFBBFF" w:rsidRDefault="09DFBBFF" w14:paraId="7A5B44C9" w14:textId="1640BE2F">
          <w:pPr>
            <w:pStyle w:val="Header"/>
            <w:bidi w:val="0"/>
            <w:ind w:left="-115"/>
            <w:jc w:val="left"/>
          </w:pPr>
        </w:p>
      </w:tc>
      <w:tc>
        <w:tcPr>
          <w:tcW w:w="3120" w:type="dxa"/>
          <w:tcMar/>
        </w:tcPr>
        <w:p w:rsidR="09DFBBFF" w:rsidP="09DFBBFF" w:rsidRDefault="09DFBBFF" w14:paraId="515EDC0D" w14:textId="777953CF">
          <w:pPr>
            <w:pStyle w:val="Header"/>
            <w:bidi w:val="0"/>
            <w:jc w:val="center"/>
          </w:pPr>
        </w:p>
      </w:tc>
      <w:tc>
        <w:tcPr>
          <w:tcW w:w="3120" w:type="dxa"/>
          <w:tcMar/>
        </w:tcPr>
        <w:p w:rsidR="09DFBBFF" w:rsidP="09DFBBFF" w:rsidRDefault="09DFBBFF" w14:paraId="647ADBD4" w14:textId="51F34A8B">
          <w:pPr>
            <w:pStyle w:val="Header"/>
            <w:bidi w:val="0"/>
            <w:ind w:right="-115"/>
            <w:jc w:val="right"/>
          </w:pPr>
        </w:p>
      </w:tc>
    </w:tr>
  </w:tbl>
  <w:p w:rsidR="09DFBBFF" w:rsidP="09DFBBFF" w:rsidRDefault="09DFBBFF" w14:paraId="07E9371F" w14:textId="2097CAFD">
    <w:pPr>
      <w:pStyle w:val="Header"/>
      <w:bidi w:val="0"/>
    </w:pPr>
  </w:p>
</w:hdr>
</file>

<file path=word/intelligence2.xml><?xml version="1.0" encoding="utf-8"?>
<int2:intelligence xmlns:int2="http://schemas.microsoft.com/office/intelligence/2020/intelligence">
  <int2:observations>
    <int2:textHash int2:hashCode="M6X/ef/b3R4Szw" int2:id="qu8K14G8">
      <int2:state int2:type="spell" int2:value="Rejected"/>
    </int2:textHash>
    <int2:textHash int2:hashCode="HRBwRebrATBcJ5" int2:id="DdFdG3CL">
      <int2:state int2:type="spell" int2:value="Rejected"/>
    </int2:textHash>
    <int2:textHash int2:hashCode="tp9ej4QlPYFUgM" int2:id="k94eYExD">
      <int2:state int2:type="spell" int2:value="Rejected"/>
    </int2:textHash>
    <int2:textHash int2:hashCode="M2I/DU6p6VURPX" int2:id="WZjev85g">
      <int2:state int2:type="spell" int2:value="Rejected"/>
    </int2:textHash>
    <int2:textHash int2:hashCode="phIwAgi+NJ3wi4" int2:id="1z49trbZ">
      <int2:state int2:type="spell" int2:value="Rejected"/>
    </int2:textHash>
    <int2:textHash int2:hashCode="E0Xf9f/bnDsCWL" int2:id="91xxSKzX">
      <int2:state int2:type="spell" int2:value="Rejected"/>
    </int2:textHash>
    <int2:textHash int2:hashCode="XNMub+1qW6Q+ul" int2:id="A4Mc2bHW">
      <int2:state int2:type="spell" int2:value="Rejected"/>
    </int2:textHash>
    <int2:textHash int2:hashCode="R+yZg5j5aTH65e" int2:id="xJCz6CeR">
      <int2:state int2:type="spell" int2:value="Rejected"/>
    </int2:textHash>
    <int2:textHash int2:hashCode="Soqfwx3BWkuHux" int2:id="ID3Ggobw">
      <int2:state int2:type="spell" int2:value="Rejected"/>
    </int2:textHash>
    <int2:textHash int2:hashCode="GsGnGQRU/tiaDb" int2:id="aOgwFN80">
      <int2:state int2:type="spell" int2:value="Rejected"/>
    </int2:textHash>
    <int2:textHash int2:hashCode="kglbESgR6OJZ6+" int2:id="7j3YVUqJ">
      <int2:state int2:type="spell" int2:value="Rejected"/>
    </int2:textHash>
    <int2:textHash int2:hashCode="yHqohfm4Wch26E" int2:id="pJJn8cZN">
      <int2:state int2:type="spell" int2:value="Rejected"/>
    </int2:textHash>
    <int2:textHash int2:hashCode="5/bJS9bPAVp48U" int2:id="hf1ivHXP">
      <int2:state int2:type="spell" int2:value="Rejected"/>
    </int2:textHash>
    <int2:textHash int2:hashCode="0ZZPEv8DiMyJfS" int2:id="DfRifA8u">
      <int2:state int2:type="spell" int2:value="Rejected"/>
    </int2:textHash>
    <int2:textHash int2:hashCode="pPvNfRmG8Ea78b" int2:id="DUNMleMX">
      <int2:state int2:type="spell" int2:value="Rejected"/>
    </int2:textHash>
    <int2:textHash int2:hashCode="arzUhDr2z5X7vk" int2:id="9V0LZ3rS">
      <int2:state int2:type="spell" int2:value="Rejected"/>
    </int2:textHash>
    <int2:textHash int2:hashCode="WiQkUTLllm54Rt" int2:id="VvEwK7Ho">
      <int2:state int2:type="spell" int2:value="Rejected"/>
    </int2:textHash>
    <int2:textHash int2:hashCode="3DnKHRmnKTirzk" int2:id="MQS321kb">
      <int2:state int2:type="spell" int2:value="Rejected"/>
    </int2:textHash>
    <int2:bookmark int2:bookmarkName="_Int_If1BoQ0c" int2:invalidationBookmarkName="" int2:hashCode="8L8rEIgb3PCc3R" int2:id="et7JGV4r">
      <int2:state int2:type="gram" int2:value="Rejected"/>
    </int2:bookmark>
    <int2:bookmark int2:bookmarkName="_Int_waG1q66u" int2:invalidationBookmarkName="" int2:hashCode="xXXz44PfXIH7BX" int2:id="GODIv0YS">
      <int2:state int2:type="gram" int2:value="Rejected"/>
    </int2:bookmark>
    <int2:bookmark int2:bookmarkName="_Int_PfrYz7Lj" int2:invalidationBookmarkName="" int2:hashCode="RhSMw7TSs6yAc/" int2:id="vnqwhxEM">
      <int2:state int2:type="gram" int2:value="Rejected"/>
    </int2:bookmark>
    <int2:bookmark int2:bookmarkName="_Int_lEP6XXNm" int2:invalidationBookmarkName="" int2:hashCode="6KwxCWAoDwtvI+" int2:id="K7rRJjHZ">
      <int2:state int2:type="style" int2:value="Rejected"/>
    </int2:bookmark>
    <int2:bookmark int2:bookmarkName="_Int_QX67CJjt" int2:invalidationBookmarkName="" int2:hashCode="fHEeilkTjtcnIz" int2:id="9ldPJ3Or">
      <int2:state int2:type="style" int2:value="Rejected"/>
    </int2:bookmark>
    <int2:bookmark int2:bookmarkName="_Int_sRRgu9kG" int2:invalidationBookmarkName="" int2:hashCode="8L8rEIgb3PCc3R" int2:id="84bza25m">
      <int2:state int2:type="gram" int2:value="Rejected"/>
    </int2:bookmark>
    <int2:bookmark int2:bookmarkName="_Int_Mm076Xl0" int2:invalidationBookmarkName="" int2:hashCode="ip4u0XOc9CAIiN" int2:id="CzCRcLjB">
      <int2:state int2:type="gram" int2:value="Rejected"/>
    </int2:bookmark>
    <int2:bookmark int2:bookmarkName="_Int_TZ4qS4oP" int2:invalidationBookmarkName="" int2:hashCode="gRnS9t5ZL5E+Jp" int2:id="BxX8mToP">
      <int2:state int2:type="style" int2:value="Rejected"/>
    </int2:bookmark>
    <int2:bookmark int2:bookmarkName="_Int_WOJNLVAj" int2:invalidationBookmarkName="" int2:hashCode="rxDvIN2QYLvurQ" int2:id="Xyg0qiat">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4">
    <w:nsid w:val="79381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346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df8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c28e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f6d9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c6f5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9c8f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0733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f628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a36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0645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0d4b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7143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bfcb1e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fa36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c5932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8c48f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ab8c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f8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1bba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8841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06c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837c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190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03fb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3cdf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727e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fffd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0fb5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b47e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40b83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2e13b93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7b4dc98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10dc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537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95f4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fd93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e7dc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99f7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d69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8750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2d73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a96c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2c91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5e80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a58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3aa2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8c4e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7618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efa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e29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ee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ac3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3d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2fbfe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15b77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794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4643a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e8e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317e45"/>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39219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a7d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46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a0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09"/>
    <w:rsid w:val="00043D6B"/>
    <w:rsid w:val="000859A9"/>
    <w:rsid w:val="0009655C"/>
    <w:rsid w:val="00108FF4"/>
    <w:rsid w:val="00146095"/>
    <w:rsid w:val="0016090D"/>
    <w:rsid w:val="00187093"/>
    <w:rsid w:val="00194665"/>
    <w:rsid w:val="001E1FC3"/>
    <w:rsid w:val="001FC547"/>
    <w:rsid w:val="00215911"/>
    <w:rsid w:val="00246015"/>
    <w:rsid w:val="0026FF21"/>
    <w:rsid w:val="002B3407"/>
    <w:rsid w:val="00349615"/>
    <w:rsid w:val="00357AFE"/>
    <w:rsid w:val="0037324A"/>
    <w:rsid w:val="0037B9B4"/>
    <w:rsid w:val="0038118E"/>
    <w:rsid w:val="003CE938"/>
    <w:rsid w:val="003F1620"/>
    <w:rsid w:val="0040E6F2"/>
    <w:rsid w:val="00441327"/>
    <w:rsid w:val="004ED295"/>
    <w:rsid w:val="00671249"/>
    <w:rsid w:val="006949ED"/>
    <w:rsid w:val="0078A55A"/>
    <w:rsid w:val="007F7009"/>
    <w:rsid w:val="00888BBE"/>
    <w:rsid w:val="0089483A"/>
    <w:rsid w:val="0089936D"/>
    <w:rsid w:val="008B741D"/>
    <w:rsid w:val="008BA192"/>
    <w:rsid w:val="008EE05D"/>
    <w:rsid w:val="00926A52"/>
    <w:rsid w:val="00956CA5"/>
    <w:rsid w:val="00962554"/>
    <w:rsid w:val="009E2122"/>
    <w:rsid w:val="009FA277"/>
    <w:rsid w:val="00A16F48"/>
    <w:rsid w:val="00A54882"/>
    <w:rsid w:val="00A95EE1"/>
    <w:rsid w:val="00AA140C"/>
    <w:rsid w:val="00AAE6F9"/>
    <w:rsid w:val="00AC2FC0"/>
    <w:rsid w:val="00B0DA01"/>
    <w:rsid w:val="00B2C694"/>
    <w:rsid w:val="00B37AFD"/>
    <w:rsid w:val="00B57B37"/>
    <w:rsid w:val="00B629A1"/>
    <w:rsid w:val="00BA5EFA"/>
    <w:rsid w:val="00BA7BFD"/>
    <w:rsid w:val="00BEA515"/>
    <w:rsid w:val="00C9B944"/>
    <w:rsid w:val="00D386EE"/>
    <w:rsid w:val="00D41B4A"/>
    <w:rsid w:val="00D4AEA3"/>
    <w:rsid w:val="00D7C5FA"/>
    <w:rsid w:val="00DC3505"/>
    <w:rsid w:val="00E0019E"/>
    <w:rsid w:val="00E3B2EF"/>
    <w:rsid w:val="00E5154F"/>
    <w:rsid w:val="00E6A128"/>
    <w:rsid w:val="00E9F2FC"/>
    <w:rsid w:val="00EDEEA6"/>
    <w:rsid w:val="00EFB7FE"/>
    <w:rsid w:val="00F06419"/>
    <w:rsid w:val="00F21047"/>
    <w:rsid w:val="00F9224D"/>
    <w:rsid w:val="010083F0"/>
    <w:rsid w:val="010B511B"/>
    <w:rsid w:val="010C86CD"/>
    <w:rsid w:val="010CFE8F"/>
    <w:rsid w:val="01138EC5"/>
    <w:rsid w:val="01169C56"/>
    <w:rsid w:val="011CB43E"/>
    <w:rsid w:val="011EF61D"/>
    <w:rsid w:val="011F820D"/>
    <w:rsid w:val="012776DE"/>
    <w:rsid w:val="013599CC"/>
    <w:rsid w:val="0144450E"/>
    <w:rsid w:val="015BAF67"/>
    <w:rsid w:val="01691101"/>
    <w:rsid w:val="016FF7E5"/>
    <w:rsid w:val="0176981A"/>
    <w:rsid w:val="0177F6F2"/>
    <w:rsid w:val="0178D50E"/>
    <w:rsid w:val="017AC905"/>
    <w:rsid w:val="0183EF89"/>
    <w:rsid w:val="0186B117"/>
    <w:rsid w:val="018D0F00"/>
    <w:rsid w:val="019767F1"/>
    <w:rsid w:val="01ABD982"/>
    <w:rsid w:val="01AD6B6D"/>
    <w:rsid w:val="01BC3C4D"/>
    <w:rsid w:val="01C25B33"/>
    <w:rsid w:val="01C26BC6"/>
    <w:rsid w:val="01C47F55"/>
    <w:rsid w:val="01C47F55"/>
    <w:rsid w:val="01C8C461"/>
    <w:rsid w:val="01CD2790"/>
    <w:rsid w:val="01CDE5B3"/>
    <w:rsid w:val="01D0B7D9"/>
    <w:rsid w:val="01D41C45"/>
    <w:rsid w:val="01D769A1"/>
    <w:rsid w:val="01DF45A3"/>
    <w:rsid w:val="01E0F307"/>
    <w:rsid w:val="01EB3F01"/>
    <w:rsid w:val="01EF5654"/>
    <w:rsid w:val="01FDF741"/>
    <w:rsid w:val="0203D7BA"/>
    <w:rsid w:val="0203E8F4"/>
    <w:rsid w:val="02046670"/>
    <w:rsid w:val="020746A2"/>
    <w:rsid w:val="02114564"/>
    <w:rsid w:val="0211BB94"/>
    <w:rsid w:val="0211D899"/>
    <w:rsid w:val="02155D4A"/>
    <w:rsid w:val="0215C294"/>
    <w:rsid w:val="02161949"/>
    <w:rsid w:val="0217B674"/>
    <w:rsid w:val="0219A9B0"/>
    <w:rsid w:val="021EABF5"/>
    <w:rsid w:val="0228D2AD"/>
    <w:rsid w:val="022F46F9"/>
    <w:rsid w:val="0239C437"/>
    <w:rsid w:val="023F1B15"/>
    <w:rsid w:val="024165A1"/>
    <w:rsid w:val="0242354E"/>
    <w:rsid w:val="02508276"/>
    <w:rsid w:val="0256DC2E"/>
    <w:rsid w:val="02647C0F"/>
    <w:rsid w:val="02660849"/>
    <w:rsid w:val="02871834"/>
    <w:rsid w:val="0287DCD9"/>
    <w:rsid w:val="0293F4EF"/>
    <w:rsid w:val="0294F6EB"/>
    <w:rsid w:val="02A5C0B4"/>
    <w:rsid w:val="02B033F1"/>
    <w:rsid w:val="02B5895E"/>
    <w:rsid w:val="02B594F8"/>
    <w:rsid w:val="02B8BA81"/>
    <w:rsid w:val="02BC8FCA"/>
    <w:rsid w:val="02C146F5"/>
    <w:rsid w:val="02C7F5D6"/>
    <w:rsid w:val="02CDE782"/>
    <w:rsid w:val="02D328C1"/>
    <w:rsid w:val="02D44A8E"/>
    <w:rsid w:val="02DE7CFC"/>
    <w:rsid w:val="02EED1CC"/>
    <w:rsid w:val="02EF747A"/>
    <w:rsid w:val="02FFDCE1"/>
    <w:rsid w:val="0306D661"/>
    <w:rsid w:val="03096281"/>
    <w:rsid w:val="0313D7B6"/>
    <w:rsid w:val="03194A62"/>
    <w:rsid w:val="031BBAAB"/>
    <w:rsid w:val="032412A7"/>
    <w:rsid w:val="032E46F6"/>
    <w:rsid w:val="032F5629"/>
    <w:rsid w:val="033A1E45"/>
    <w:rsid w:val="03428131"/>
    <w:rsid w:val="034DEBF2"/>
    <w:rsid w:val="03500A48"/>
    <w:rsid w:val="035416F7"/>
    <w:rsid w:val="035BAE9D"/>
    <w:rsid w:val="035BD239"/>
    <w:rsid w:val="035C373C"/>
    <w:rsid w:val="036E6E8C"/>
    <w:rsid w:val="03746F50"/>
    <w:rsid w:val="037CA361"/>
    <w:rsid w:val="03817899"/>
    <w:rsid w:val="0385FCA2"/>
    <w:rsid w:val="03869E2C"/>
    <w:rsid w:val="038F6AFC"/>
    <w:rsid w:val="038FA95B"/>
    <w:rsid w:val="0399DFC0"/>
    <w:rsid w:val="039AF83A"/>
    <w:rsid w:val="039E57C6"/>
    <w:rsid w:val="03B59AAA"/>
    <w:rsid w:val="03BB9FBE"/>
    <w:rsid w:val="03C93A65"/>
    <w:rsid w:val="03D04880"/>
    <w:rsid w:val="03D11285"/>
    <w:rsid w:val="03D21B6C"/>
    <w:rsid w:val="03D4A05B"/>
    <w:rsid w:val="03D73B85"/>
    <w:rsid w:val="03D7B793"/>
    <w:rsid w:val="03DA0E7B"/>
    <w:rsid w:val="03E4D02C"/>
    <w:rsid w:val="03E4D7C0"/>
    <w:rsid w:val="03E56159"/>
    <w:rsid w:val="03F05929"/>
    <w:rsid w:val="03FA347C"/>
    <w:rsid w:val="04047921"/>
    <w:rsid w:val="0406E916"/>
    <w:rsid w:val="0410AEC1"/>
    <w:rsid w:val="041751D4"/>
    <w:rsid w:val="0417B5EF"/>
    <w:rsid w:val="0418AF6E"/>
    <w:rsid w:val="041BF010"/>
    <w:rsid w:val="041DDAFE"/>
    <w:rsid w:val="041F4442"/>
    <w:rsid w:val="0426C2DB"/>
    <w:rsid w:val="04290A39"/>
    <w:rsid w:val="042E4020"/>
    <w:rsid w:val="0436DDE3"/>
    <w:rsid w:val="0442C3AB"/>
    <w:rsid w:val="0460A7E1"/>
    <w:rsid w:val="04667A49"/>
    <w:rsid w:val="04717D26"/>
    <w:rsid w:val="0475025C"/>
    <w:rsid w:val="047D5CF7"/>
    <w:rsid w:val="04940A2F"/>
    <w:rsid w:val="04971AB2"/>
    <w:rsid w:val="0497717C"/>
    <w:rsid w:val="049ED57D"/>
    <w:rsid w:val="04AA6E10"/>
    <w:rsid w:val="04AFDC72"/>
    <w:rsid w:val="04BD88F5"/>
    <w:rsid w:val="04C05014"/>
    <w:rsid w:val="04C50E8C"/>
    <w:rsid w:val="04CB3BD1"/>
    <w:rsid w:val="04D8DCE0"/>
    <w:rsid w:val="04D92A69"/>
    <w:rsid w:val="04E1C9B5"/>
    <w:rsid w:val="04F4211E"/>
    <w:rsid w:val="04F4D073"/>
    <w:rsid w:val="04F55F3B"/>
    <w:rsid w:val="04F8FE54"/>
    <w:rsid w:val="04FB342E"/>
    <w:rsid w:val="04FF3C95"/>
    <w:rsid w:val="0503C211"/>
    <w:rsid w:val="0506A790"/>
    <w:rsid w:val="05076533"/>
    <w:rsid w:val="050DEA92"/>
    <w:rsid w:val="051AE8BD"/>
    <w:rsid w:val="0520DED1"/>
    <w:rsid w:val="05240FE1"/>
    <w:rsid w:val="052884E4"/>
    <w:rsid w:val="053D6450"/>
    <w:rsid w:val="054BAE45"/>
    <w:rsid w:val="054D5602"/>
    <w:rsid w:val="054F05E6"/>
    <w:rsid w:val="055AFD61"/>
    <w:rsid w:val="055BD426"/>
    <w:rsid w:val="05654E49"/>
    <w:rsid w:val="05665C59"/>
    <w:rsid w:val="05766D16"/>
    <w:rsid w:val="057E5954"/>
    <w:rsid w:val="05833A3D"/>
    <w:rsid w:val="05857A29"/>
    <w:rsid w:val="05895609"/>
    <w:rsid w:val="05986A73"/>
    <w:rsid w:val="05A1B6BD"/>
    <w:rsid w:val="05B32B80"/>
    <w:rsid w:val="05B6BD16"/>
    <w:rsid w:val="05B9F0D6"/>
    <w:rsid w:val="05BAF1D9"/>
    <w:rsid w:val="05BBB8AD"/>
    <w:rsid w:val="05BFA133"/>
    <w:rsid w:val="05D31833"/>
    <w:rsid w:val="05D485D9"/>
    <w:rsid w:val="05DD3090"/>
    <w:rsid w:val="05E31216"/>
    <w:rsid w:val="05E8BA73"/>
    <w:rsid w:val="05ECF866"/>
    <w:rsid w:val="05F6C3E9"/>
    <w:rsid w:val="05F7DF81"/>
    <w:rsid w:val="05F7FD89"/>
    <w:rsid w:val="05FEABE1"/>
    <w:rsid w:val="0609CFDD"/>
    <w:rsid w:val="0611E3BB"/>
    <w:rsid w:val="06197AB4"/>
    <w:rsid w:val="06200E9E"/>
    <w:rsid w:val="0628A475"/>
    <w:rsid w:val="062DF2B4"/>
    <w:rsid w:val="062EEBEA"/>
    <w:rsid w:val="063028DB"/>
    <w:rsid w:val="0630873A"/>
    <w:rsid w:val="06341186"/>
    <w:rsid w:val="0644E559"/>
    <w:rsid w:val="0649DEBF"/>
    <w:rsid w:val="0650C015"/>
    <w:rsid w:val="0653AFA0"/>
    <w:rsid w:val="06558418"/>
    <w:rsid w:val="065BA7AF"/>
    <w:rsid w:val="06672BBE"/>
    <w:rsid w:val="066EAD11"/>
    <w:rsid w:val="06702F5F"/>
    <w:rsid w:val="067562D4"/>
    <w:rsid w:val="06769189"/>
    <w:rsid w:val="067F72CC"/>
    <w:rsid w:val="0681307F"/>
    <w:rsid w:val="0685724F"/>
    <w:rsid w:val="0688212F"/>
    <w:rsid w:val="068A7C44"/>
    <w:rsid w:val="069E745B"/>
    <w:rsid w:val="06A1E8FC"/>
    <w:rsid w:val="06A77027"/>
    <w:rsid w:val="06AAD6FF"/>
    <w:rsid w:val="06BF31DD"/>
    <w:rsid w:val="06C35C21"/>
    <w:rsid w:val="06C5DA23"/>
    <w:rsid w:val="06C82998"/>
    <w:rsid w:val="06CA1CD1"/>
    <w:rsid w:val="06CB464B"/>
    <w:rsid w:val="06CC03CB"/>
    <w:rsid w:val="06D8B45A"/>
    <w:rsid w:val="06E15E9E"/>
    <w:rsid w:val="06E2AB8C"/>
    <w:rsid w:val="06E5BF2B"/>
    <w:rsid w:val="06EC25B3"/>
    <w:rsid w:val="06EE8E01"/>
    <w:rsid w:val="06F44468"/>
    <w:rsid w:val="06F44800"/>
    <w:rsid w:val="06F81FD9"/>
    <w:rsid w:val="0701275D"/>
    <w:rsid w:val="0709D02F"/>
    <w:rsid w:val="070FE2F2"/>
    <w:rsid w:val="071E0CEB"/>
    <w:rsid w:val="071E4035"/>
    <w:rsid w:val="072BD194"/>
    <w:rsid w:val="07313746"/>
    <w:rsid w:val="0732AB73"/>
    <w:rsid w:val="07352E9D"/>
    <w:rsid w:val="074C0253"/>
    <w:rsid w:val="074DD5C7"/>
    <w:rsid w:val="075415DB"/>
    <w:rsid w:val="07556E46"/>
    <w:rsid w:val="075BBAB8"/>
    <w:rsid w:val="07620F22"/>
    <w:rsid w:val="0769D68D"/>
    <w:rsid w:val="076ADEAD"/>
    <w:rsid w:val="076E7816"/>
    <w:rsid w:val="076FBC17"/>
    <w:rsid w:val="0777FA45"/>
    <w:rsid w:val="077B27C6"/>
    <w:rsid w:val="077E66A5"/>
    <w:rsid w:val="07823383"/>
    <w:rsid w:val="078CFE7C"/>
    <w:rsid w:val="078EB38C"/>
    <w:rsid w:val="07929CD9"/>
    <w:rsid w:val="079342E5"/>
    <w:rsid w:val="0794A9C0"/>
    <w:rsid w:val="0799F309"/>
    <w:rsid w:val="079DE352"/>
    <w:rsid w:val="07AB618F"/>
    <w:rsid w:val="07B47BA8"/>
    <w:rsid w:val="07B7F127"/>
    <w:rsid w:val="07C933EE"/>
    <w:rsid w:val="07C98E54"/>
    <w:rsid w:val="07CC77D2"/>
    <w:rsid w:val="07D0D2E7"/>
    <w:rsid w:val="07D2D217"/>
    <w:rsid w:val="07D4B6D0"/>
    <w:rsid w:val="07D6B1D6"/>
    <w:rsid w:val="07D6CFF4"/>
    <w:rsid w:val="07E71BD6"/>
    <w:rsid w:val="07EA8E5B"/>
    <w:rsid w:val="07EDC2F9"/>
    <w:rsid w:val="07F40FAA"/>
    <w:rsid w:val="08019090"/>
    <w:rsid w:val="0806468D"/>
    <w:rsid w:val="08076471"/>
    <w:rsid w:val="08127315"/>
    <w:rsid w:val="081BF742"/>
    <w:rsid w:val="081E410B"/>
    <w:rsid w:val="08231613"/>
    <w:rsid w:val="0825C6D2"/>
    <w:rsid w:val="083758D7"/>
    <w:rsid w:val="083AC070"/>
    <w:rsid w:val="084EB23F"/>
    <w:rsid w:val="08519280"/>
    <w:rsid w:val="0855B4F5"/>
    <w:rsid w:val="0857B489"/>
    <w:rsid w:val="0857B489"/>
    <w:rsid w:val="085D2E9F"/>
    <w:rsid w:val="086282EF"/>
    <w:rsid w:val="08638E40"/>
    <w:rsid w:val="086509DE"/>
    <w:rsid w:val="087061C1"/>
    <w:rsid w:val="087AAD05"/>
    <w:rsid w:val="08813478"/>
    <w:rsid w:val="088D4DB8"/>
    <w:rsid w:val="088E05BD"/>
    <w:rsid w:val="08925430"/>
    <w:rsid w:val="0894E1EB"/>
    <w:rsid w:val="089599F7"/>
    <w:rsid w:val="08973FE4"/>
    <w:rsid w:val="089815A9"/>
    <w:rsid w:val="089B70A0"/>
    <w:rsid w:val="089F86F0"/>
    <w:rsid w:val="08A33D03"/>
    <w:rsid w:val="08AD99DA"/>
    <w:rsid w:val="08C09590"/>
    <w:rsid w:val="08C6FD21"/>
    <w:rsid w:val="08CEA971"/>
    <w:rsid w:val="08D50A6D"/>
    <w:rsid w:val="08D6085D"/>
    <w:rsid w:val="08DC7607"/>
    <w:rsid w:val="08EB140E"/>
    <w:rsid w:val="08F078FF"/>
    <w:rsid w:val="08F11A0B"/>
    <w:rsid w:val="08F14486"/>
    <w:rsid w:val="08F6BB7F"/>
    <w:rsid w:val="08FD313F"/>
    <w:rsid w:val="08FE7034"/>
    <w:rsid w:val="0906865F"/>
    <w:rsid w:val="0909BCE8"/>
    <w:rsid w:val="090C9974"/>
    <w:rsid w:val="0910B0ED"/>
    <w:rsid w:val="091348BC"/>
    <w:rsid w:val="092C0039"/>
    <w:rsid w:val="092E55F9"/>
    <w:rsid w:val="093D2B39"/>
    <w:rsid w:val="093E4337"/>
    <w:rsid w:val="094909FF"/>
    <w:rsid w:val="094E8503"/>
    <w:rsid w:val="09672E72"/>
    <w:rsid w:val="09780E5D"/>
    <w:rsid w:val="097DF34E"/>
    <w:rsid w:val="097FD1A4"/>
    <w:rsid w:val="0989D873"/>
    <w:rsid w:val="099B7310"/>
    <w:rsid w:val="099E6F22"/>
    <w:rsid w:val="099EE04C"/>
    <w:rsid w:val="09A87781"/>
    <w:rsid w:val="09B8E4F3"/>
    <w:rsid w:val="09BC1EB3"/>
    <w:rsid w:val="09BF0984"/>
    <w:rsid w:val="09C8B275"/>
    <w:rsid w:val="09C8B275"/>
    <w:rsid w:val="09DD3579"/>
    <w:rsid w:val="09DFBBFF"/>
    <w:rsid w:val="09E2DF85"/>
    <w:rsid w:val="09E60E5D"/>
    <w:rsid w:val="09ED6473"/>
    <w:rsid w:val="09F47542"/>
    <w:rsid w:val="09F7A5F8"/>
    <w:rsid w:val="09FC92E4"/>
    <w:rsid w:val="09FF29EB"/>
    <w:rsid w:val="0A0602ED"/>
    <w:rsid w:val="0A16E870"/>
    <w:rsid w:val="0A1C5B2C"/>
    <w:rsid w:val="0A1E1156"/>
    <w:rsid w:val="0A2D5B6B"/>
    <w:rsid w:val="0A336F43"/>
    <w:rsid w:val="0A480564"/>
    <w:rsid w:val="0A49605B"/>
    <w:rsid w:val="0A4D562A"/>
    <w:rsid w:val="0A4E86C9"/>
    <w:rsid w:val="0A522277"/>
    <w:rsid w:val="0A5233B2"/>
    <w:rsid w:val="0A551F50"/>
    <w:rsid w:val="0A561E98"/>
    <w:rsid w:val="0A5E408C"/>
    <w:rsid w:val="0A5EBBEA"/>
    <w:rsid w:val="0A601C54"/>
    <w:rsid w:val="0A62D07C"/>
    <w:rsid w:val="0A72B5CE"/>
    <w:rsid w:val="0A7735B9"/>
    <w:rsid w:val="0A7DCE8F"/>
    <w:rsid w:val="0A8898CB"/>
    <w:rsid w:val="0A88A157"/>
    <w:rsid w:val="0A8B1005"/>
    <w:rsid w:val="0A9F7C12"/>
    <w:rsid w:val="0AB6DC9D"/>
    <w:rsid w:val="0ABA46DA"/>
    <w:rsid w:val="0ABABAE1"/>
    <w:rsid w:val="0AC3C95C"/>
    <w:rsid w:val="0ACBC6E8"/>
    <w:rsid w:val="0ACE5CC3"/>
    <w:rsid w:val="0AD66823"/>
    <w:rsid w:val="0AE2785E"/>
    <w:rsid w:val="0AE8B62E"/>
    <w:rsid w:val="0AEBFAD6"/>
    <w:rsid w:val="0AEFE3D4"/>
    <w:rsid w:val="0AF322CE"/>
    <w:rsid w:val="0AFA6341"/>
    <w:rsid w:val="0B0F71E4"/>
    <w:rsid w:val="0B11BF0D"/>
    <w:rsid w:val="0B1E71BF"/>
    <w:rsid w:val="0B2A2A03"/>
    <w:rsid w:val="0B2A889F"/>
    <w:rsid w:val="0B2C7A56"/>
    <w:rsid w:val="0B334C7D"/>
    <w:rsid w:val="0B45C713"/>
    <w:rsid w:val="0B4B949D"/>
    <w:rsid w:val="0B4CE13C"/>
    <w:rsid w:val="0B66110F"/>
    <w:rsid w:val="0B6B09FA"/>
    <w:rsid w:val="0B6B77DE"/>
    <w:rsid w:val="0B95DC30"/>
    <w:rsid w:val="0BA57B48"/>
    <w:rsid w:val="0BAC54EA"/>
    <w:rsid w:val="0BACFD30"/>
    <w:rsid w:val="0BB67157"/>
    <w:rsid w:val="0BC174CA"/>
    <w:rsid w:val="0BC9A173"/>
    <w:rsid w:val="0BCE8C80"/>
    <w:rsid w:val="0BD94852"/>
    <w:rsid w:val="0BE2D5FA"/>
    <w:rsid w:val="0BE31B21"/>
    <w:rsid w:val="0BE3DFB1"/>
    <w:rsid w:val="0BE8E4D6"/>
    <w:rsid w:val="0BF3BE5F"/>
    <w:rsid w:val="0BF614A9"/>
    <w:rsid w:val="0BFD9180"/>
    <w:rsid w:val="0BFFDF66"/>
    <w:rsid w:val="0C03C90E"/>
    <w:rsid w:val="0C084DF8"/>
    <w:rsid w:val="0C08CB3C"/>
    <w:rsid w:val="0C0E1640"/>
    <w:rsid w:val="0C111673"/>
    <w:rsid w:val="0C322708"/>
    <w:rsid w:val="0C3533B6"/>
    <w:rsid w:val="0C3A74A9"/>
    <w:rsid w:val="0C3B5A88"/>
    <w:rsid w:val="0C3EDD87"/>
    <w:rsid w:val="0C454DA0"/>
    <w:rsid w:val="0C52FBE3"/>
    <w:rsid w:val="0C57346D"/>
    <w:rsid w:val="0C61F233"/>
    <w:rsid w:val="0C68C66C"/>
    <w:rsid w:val="0C6E072F"/>
    <w:rsid w:val="0C6FE846"/>
    <w:rsid w:val="0C783F8D"/>
    <w:rsid w:val="0C79D53E"/>
    <w:rsid w:val="0C7BE347"/>
    <w:rsid w:val="0C88E492"/>
    <w:rsid w:val="0C88E492"/>
    <w:rsid w:val="0C8DF6E1"/>
    <w:rsid w:val="0C8EC46B"/>
    <w:rsid w:val="0C91419E"/>
    <w:rsid w:val="0C94A91F"/>
    <w:rsid w:val="0CA29B62"/>
    <w:rsid w:val="0CA5B2E8"/>
    <w:rsid w:val="0CC50401"/>
    <w:rsid w:val="0CC86C93"/>
    <w:rsid w:val="0CDE8B1E"/>
    <w:rsid w:val="0CECEE93"/>
    <w:rsid w:val="0CEF159C"/>
    <w:rsid w:val="0CF05F48"/>
    <w:rsid w:val="0D0048ED"/>
    <w:rsid w:val="0D04853C"/>
    <w:rsid w:val="0D0CF58E"/>
    <w:rsid w:val="0D1215B6"/>
    <w:rsid w:val="0D161B1F"/>
    <w:rsid w:val="0D1FCE15"/>
    <w:rsid w:val="0D20DF3D"/>
    <w:rsid w:val="0D22FE23"/>
    <w:rsid w:val="0D2DD2BB"/>
    <w:rsid w:val="0D2F6692"/>
    <w:rsid w:val="0D325599"/>
    <w:rsid w:val="0D34E75E"/>
    <w:rsid w:val="0D39114B"/>
    <w:rsid w:val="0D3BA536"/>
    <w:rsid w:val="0D3DD7BC"/>
    <w:rsid w:val="0D4440D6"/>
    <w:rsid w:val="0D4D03CE"/>
    <w:rsid w:val="0D53D5FD"/>
    <w:rsid w:val="0D560DC0"/>
    <w:rsid w:val="0D5648D6"/>
    <w:rsid w:val="0D601937"/>
    <w:rsid w:val="0D639603"/>
    <w:rsid w:val="0D693E00"/>
    <w:rsid w:val="0D6B2757"/>
    <w:rsid w:val="0D6E0963"/>
    <w:rsid w:val="0D70E6F2"/>
    <w:rsid w:val="0D732F6A"/>
    <w:rsid w:val="0D743299"/>
    <w:rsid w:val="0D7642B6"/>
    <w:rsid w:val="0D78C898"/>
    <w:rsid w:val="0D7EC8FC"/>
    <w:rsid w:val="0D7EF752"/>
    <w:rsid w:val="0D889311"/>
    <w:rsid w:val="0D8B6BBA"/>
    <w:rsid w:val="0D942ADB"/>
    <w:rsid w:val="0D9840D3"/>
    <w:rsid w:val="0DA3742C"/>
    <w:rsid w:val="0DB03D8D"/>
    <w:rsid w:val="0DC98331"/>
    <w:rsid w:val="0DD7DAEB"/>
    <w:rsid w:val="0DD81956"/>
    <w:rsid w:val="0DE03708"/>
    <w:rsid w:val="0DE07AEC"/>
    <w:rsid w:val="0DE27176"/>
    <w:rsid w:val="0DE4ADAB"/>
    <w:rsid w:val="0DF14881"/>
    <w:rsid w:val="0DF6FD0D"/>
    <w:rsid w:val="0E016345"/>
    <w:rsid w:val="0E02A0EE"/>
    <w:rsid w:val="0E08D4FC"/>
    <w:rsid w:val="0E0E9AD1"/>
    <w:rsid w:val="0E132A10"/>
    <w:rsid w:val="0E181F85"/>
    <w:rsid w:val="0E189A52"/>
    <w:rsid w:val="0E23122F"/>
    <w:rsid w:val="0E2A6501"/>
    <w:rsid w:val="0E32494A"/>
    <w:rsid w:val="0E3B4587"/>
    <w:rsid w:val="0E3E8DD8"/>
    <w:rsid w:val="0E43F451"/>
    <w:rsid w:val="0E4D2F37"/>
    <w:rsid w:val="0E5052A5"/>
    <w:rsid w:val="0E6047F5"/>
    <w:rsid w:val="0E605556"/>
    <w:rsid w:val="0E629095"/>
    <w:rsid w:val="0E62B565"/>
    <w:rsid w:val="0E6B4D66"/>
    <w:rsid w:val="0E6C0640"/>
    <w:rsid w:val="0E712F4A"/>
    <w:rsid w:val="0E718C00"/>
    <w:rsid w:val="0E750012"/>
    <w:rsid w:val="0E7BE2EA"/>
    <w:rsid w:val="0E7BFAAA"/>
    <w:rsid w:val="0E80A677"/>
    <w:rsid w:val="0E811045"/>
    <w:rsid w:val="0E99BA77"/>
    <w:rsid w:val="0EA31F8E"/>
    <w:rsid w:val="0EA3838B"/>
    <w:rsid w:val="0EB5A31E"/>
    <w:rsid w:val="0EBB9149"/>
    <w:rsid w:val="0EBCBFBA"/>
    <w:rsid w:val="0ED6ED7A"/>
    <w:rsid w:val="0ED774AD"/>
    <w:rsid w:val="0EEB10A2"/>
    <w:rsid w:val="0F093FC8"/>
    <w:rsid w:val="0F0AB510"/>
    <w:rsid w:val="0F19857E"/>
    <w:rsid w:val="0F2605C3"/>
    <w:rsid w:val="0F2C13B9"/>
    <w:rsid w:val="0F359FED"/>
    <w:rsid w:val="0F35F2BB"/>
    <w:rsid w:val="0F42B4BA"/>
    <w:rsid w:val="0F50048E"/>
    <w:rsid w:val="0F5132D3"/>
    <w:rsid w:val="0F55F9F0"/>
    <w:rsid w:val="0F55F9F0"/>
    <w:rsid w:val="0F576CE8"/>
    <w:rsid w:val="0F5C3CCC"/>
    <w:rsid w:val="0F5DC809"/>
    <w:rsid w:val="0F61C166"/>
    <w:rsid w:val="0F61F34F"/>
    <w:rsid w:val="0F64CE31"/>
    <w:rsid w:val="0F64E9E1"/>
    <w:rsid w:val="0F728E7A"/>
    <w:rsid w:val="0F76833A"/>
    <w:rsid w:val="0F7E8DCD"/>
    <w:rsid w:val="0F8947A7"/>
    <w:rsid w:val="0F91EA43"/>
    <w:rsid w:val="0F92EAED"/>
    <w:rsid w:val="0F95C3DD"/>
    <w:rsid w:val="0F9BA71E"/>
    <w:rsid w:val="0FA03DDB"/>
    <w:rsid w:val="0FA9DDF5"/>
    <w:rsid w:val="0FC5006B"/>
    <w:rsid w:val="0FCA2375"/>
    <w:rsid w:val="0FCB1FA5"/>
    <w:rsid w:val="0FD0F193"/>
    <w:rsid w:val="0FEDE5DC"/>
    <w:rsid w:val="0FFD38F9"/>
    <w:rsid w:val="0FFE7A95"/>
    <w:rsid w:val="100265DE"/>
    <w:rsid w:val="1003449F"/>
    <w:rsid w:val="100E698A"/>
    <w:rsid w:val="101673DF"/>
    <w:rsid w:val="101DD699"/>
    <w:rsid w:val="10203F5D"/>
    <w:rsid w:val="10254EDB"/>
    <w:rsid w:val="102B2844"/>
    <w:rsid w:val="1030CE7D"/>
    <w:rsid w:val="10314590"/>
    <w:rsid w:val="1038D506"/>
    <w:rsid w:val="103D74B6"/>
    <w:rsid w:val="1042CB8D"/>
    <w:rsid w:val="1049BF38"/>
    <w:rsid w:val="10522BA5"/>
    <w:rsid w:val="1059494E"/>
    <w:rsid w:val="10596FF3"/>
    <w:rsid w:val="105A57DE"/>
    <w:rsid w:val="105BD4FD"/>
    <w:rsid w:val="105C18B8"/>
    <w:rsid w:val="105FE13C"/>
    <w:rsid w:val="1061A92C"/>
    <w:rsid w:val="10695B03"/>
    <w:rsid w:val="1069A3D5"/>
    <w:rsid w:val="106CAFB6"/>
    <w:rsid w:val="1091697F"/>
    <w:rsid w:val="10A687D4"/>
    <w:rsid w:val="10A687D4"/>
    <w:rsid w:val="10B7466C"/>
    <w:rsid w:val="10BE8A04"/>
    <w:rsid w:val="10C13FA2"/>
    <w:rsid w:val="10C6B7A9"/>
    <w:rsid w:val="10C804EB"/>
    <w:rsid w:val="10CA03E1"/>
    <w:rsid w:val="10CE530F"/>
    <w:rsid w:val="10D461C4"/>
    <w:rsid w:val="10DBB460"/>
    <w:rsid w:val="10DC5FDF"/>
    <w:rsid w:val="10DFFA21"/>
    <w:rsid w:val="10E2F1F0"/>
    <w:rsid w:val="10EB37D5"/>
    <w:rsid w:val="10EE4B77"/>
    <w:rsid w:val="10EF96AA"/>
    <w:rsid w:val="10F24576"/>
    <w:rsid w:val="10F5EB6E"/>
    <w:rsid w:val="10FAB24A"/>
    <w:rsid w:val="11022335"/>
    <w:rsid w:val="11032F89"/>
    <w:rsid w:val="11081DEB"/>
    <w:rsid w:val="110F8EDA"/>
    <w:rsid w:val="111169C6"/>
    <w:rsid w:val="111960B3"/>
    <w:rsid w:val="113E759F"/>
    <w:rsid w:val="1140B52F"/>
    <w:rsid w:val="114E7721"/>
    <w:rsid w:val="1155DAF6"/>
    <w:rsid w:val="1158AAA2"/>
    <w:rsid w:val="11595A02"/>
    <w:rsid w:val="115D7767"/>
    <w:rsid w:val="115D7767"/>
    <w:rsid w:val="115E709E"/>
    <w:rsid w:val="11625ED6"/>
    <w:rsid w:val="1164B2B6"/>
    <w:rsid w:val="117C5B3E"/>
    <w:rsid w:val="117DDF51"/>
    <w:rsid w:val="117E7EE8"/>
    <w:rsid w:val="1182487F"/>
    <w:rsid w:val="1184AF56"/>
    <w:rsid w:val="118993B4"/>
    <w:rsid w:val="118F1D87"/>
    <w:rsid w:val="1192CA3D"/>
    <w:rsid w:val="119537B3"/>
    <w:rsid w:val="1195556B"/>
    <w:rsid w:val="11957035"/>
    <w:rsid w:val="119EDA75"/>
    <w:rsid w:val="119EF245"/>
    <w:rsid w:val="11A4E1FC"/>
    <w:rsid w:val="11A6EF8F"/>
    <w:rsid w:val="11A74A05"/>
    <w:rsid w:val="11B029BD"/>
    <w:rsid w:val="11B2B6B7"/>
    <w:rsid w:val="11B95B60"/>
    <w:rsid w:val="11BC7A7A"/>
    <w:rsid w:val="11BCF746"/>
    <w:rsid w:val="11BE9A7D"/>
    <w:rsid w:val="11C0863F"/>
    <w:rsid w:val="11C20C62"/>
    <w:rsid w:val="11C4167B"/>
    <w:rsid w:val="11C437DD"/>
    <w:rsid w:val="11C7FF45"/>
    <w:rsid w:val="11D1B130"/>
    <w:rsid w:val="11DA6374"/>
    <w:rsid w:val="11DC9D5B"/>
    <w:rsid w:val="11E00048"/>
    <w:rsid w:val="11E0C7F5"/>
    <w:rsid w:val="11E2F990"/>
    <w:rsid w:val="11E420FE"/>
    <w:rsid w:val="11E4BD19"/>
    <w:rsid w:val="11E866F2"/>
    <w:rsid w:val="11EA5CF4"/>
    <w:rsid w:val="11EC3F97"/>
    <w:rsid w:val="11F7DF8A"/>
    <w:rsid w:val="11FBA068"/>
    <w:rsid w:val="11FE34A5"/>
    <w:rsid w:val="1206E7C0"/>
    <w:rsid w:val="1216DEC4"/>
    <w:rsid w:val="121A5CE1"/>
    <w:rsid w:val="1223F0EB"/>
    <w:rsid w:val="12253112"/>
    <w:rsid w:val="12263CAC"/>
    <w:rsid w:val="122D8852"/>
    <w:rsid w:val="122DFC24"/>
    <w:rsid w:val="12308921"/>
    <w:rsid w:val="12308EDE"/>
    <w:rsid w:val="123605E9"/>
    <w:rsid w:val="123B05E9"/>
    <w:rsid w:val="123B5FB5"/>
    <w:rsid w:val="1243FF14"/>
    <w:rsid w:val="12460385"/>
    <w:rsid w:val="12487076"/>
    <w:rsid w:val="124A546E"/>
    <w:rsid w:val="12527987"/>
    <w:rsid w:val="12557C1A"/>
    <w:rsid w:val="1257E367"/>
    <w:rsid w:val="125D54E0"/>
    <w:rsid w:val="1268D806"/>
    <w:rsid w:val="127D9410"/>
    <w:rsid w:val="1286EE9B"/>
    <w:rsid w:val="1289E83B"/>
    <w:rsid w:val="128B75CB"/>
    <w:rsid w:val="128E6CA1"/>
    <w:rsid w:val="129395DC"/>
    <w:rsid w:val="129409C4"/>
    <w:rsid w:val="129C8782"/>
    <w:rsid w:val="12AD030D"/>
    <w:rsid w:val="12B77EA6"/>
    <w:rsid w:val="12BA51A4"/>
    <w:rsid w:val="12BD4D74"/>
    <w:rsid w:val="12C1E727"/>
    <w:rsid w:val="12C938ED"/>
    <w:rsid w:val="12E2C8E3"/>
    <w:rsid w:val="12E38066"/>
    <w:rsid w:val="12E70A11"/>
    <w:rsid w:val="12E91E07"/>
    <w:rsid w:val="12ED08D3"/>
    <w:rsid w:val="12F2D10D"/>
    <w:rsid w:val="12FEECF3"/>
    <w:rsid w:val="130165E9"/>
    <w:rsid w:val="13035275"/>
    <w:rsid w:val="130AEBC7"/>
    <w:rsid w:val="130D9C0F"/>
    <w:rsid w:val="13177354"/>
    <w:rsid w:val="131967D6"/>
    <w:rsid w:val="131E8F3E"/>
    <w:rsid w:val="1322194C"/>
    <w:rsid w:val="132C5310"/>
    <w:rsid w:val="132C8345"/>
    <w:rsid w:val="13325B4A"/>
    <w:rsid w:val="134AC205"/>
    <w:rsid w:val="134B3707"/>
    <w:rsid w:val="134E4BAD"/>
    <w:rsid w:val="1352F867"/>
    <w:rsid w:val="13586BF1"/>
    <w:rsid w:val="135B117A"/>
    <w:rsid w:val="135B2E1B"/>
    <w:rsid w:val="13653D2F"/>
    <w:rsid w:val="1365A630"/>
    <w:rsid w:val="136B26F8"/>
    <w:rsid w:val="136BA0B3"/>
    <w:rsid w:val="136E41E1"/>
    <w:rsid w:val="13726039"/>
    <w:rsid w:val="1376F24A"/>
    <w:rsid w:val="137AA9EF"/>
    <w:rsid w:val="1384D933"/>
    <w:rsid w:val="1386CAD3"/>
    <w:rsid w:val="1388E065"/>
    <w:rsid w:val="139C504C"/>
    <w:rsid w:val="13A3DCB2"/>
    <w:rsid w:val="13A5AF97"/>
    <w:rsid w:val="13A8FFFA"/>
    <w:rsid w:val="13B28CC9"/>
    <w:rsid w:val="13BE36D9"/>
    <w:rsid w:val="13BFF1D3"/>
    <w:rsid w:val="13C06B73"/>
    <w:rsid w:val="13C38DAB"/>
    <w:rsid w:val="13CB8E59"/>
    <w:rsid w:val="13D14DC0"/>
    <w:rsid w:val="13D4A7E6"/>
    <w:rsid w:val="13E108F8"/>
    <w:rsid w:val="13EE1A42"/>
    <w:rsid w:val="13F33245"/>
    <w:rsid w:val="13F69E9D"/>
    <w:rsid w:val="13FC6333"/>
    <w:rsid w:val="140135B6"/>
    <w:rsid w:val="140559B2"/>
    <w:rsid w:val="141006E4"/>
    <w:rsid w:val="1413B658"/>
    <w:rsid w:val="1413B771"/>
    <w:rsid w:val="141A825B"/>
    <w:rsid w:val="1420774E"/>
    <w:rsid w:val="14277B68"/>
    <w:rsid w:val="1428C515"/>
    <w:rsid w:val="142B1752"/>
    <w:rsid w:val="142E9622"/>
    <w:rsid w:val="1430CCEF"/>
    <w:rsid w:val="1430D1C4"/>
    <w:rsid w:val="1434E4D2"/>
    <w:rsid w:val="1438D2FD"/>
    <w:rsid w:val="143F8957"/>
    <w:rsid w:val="14421C8A"/>
    <w:rsid w:val="144CED6E"/>
    <w:rsid w:val="145184F9"/>
    <w:rsid w:val="14532A99"/>
    <w:rsid w:val="14563B6C"/>
    <w:rsid w:val="145663C7"/>
    <w:rsid w:val="145DD312"/>
    <w:rsid w:val="146340D4"/>
    <w:rsid w:val="1466CD40"/>
    <w:rsid w:val="14714414"/>
    <w:rsid w:val="1474975F"/>
    <w:rsid w:val="147574C9"/>
    <w:rsid w:val="1475CE3F"/>
    <w:rsid w:val="148948C6"/>
    <w:rsid w:val="148A91FC"/>
    <w:rsid w:val="1490A87D"/>
    <w:rsid w:val="149DC5FF"/>
    <w:rsid w:val="14A26EE3"/>
    <w:rsid w:val="14A53EAF"/>
    <w:rsid w:val="14A53EAF"/>
    <w:rsid w:val="14A5B19C"/>
    <w:rsid w:val="14B050CC"/>
    <w:rsid w:val="14B056F2"/>
    <w:rsid w:val="14B3989C"/>
    <w:rsid w:val="14B530DC"/>
    <w:rsid w:val="14C19C18"/>
    <w:rsid w:val="14CC0C08"/>
    <w:rsid w:val="14D70D66"/>
    <w:rsid w:val="14DCC830"/>
    <w:rsid w:val="14E188A8"/>
    <w:rsid w:val="14E6FDE1"/>
    <w:rsid w:val="14EA2CF9"/>
    <w:rsid w:val="14EF1715"/>
    <w:rsid w:val="14FDF977"/>
    <w:rsid w:val="150F46DD"/>
    <w:rsid w:val="15159F2C"/>
    <w:rsid w:val="151AE36D"/>
    <w:rsid w:val="151ECB04"/>
    <w:rsid w:val="1521F5D0"/>
    <w:rsid w:val="152BA1F6"/>
    <w:rsid w:val="1539E78D"/>
    <w:rsid w:val="154210EF"/>
    <w:rsid w:val="154C01E3"/>
    <w:rsid w:val="154D8F64"/>
    <w:rsid w:val="155B0F6B"/>
    <w:rsid w:val="15662F84"/>
    <w:rsid w:val="156B47CA"/>
    <w:rsid w:val="156B5E56"/>
    <w:rsid w:val="15739E6D"/>
    <w:rsid w:val="1578E449"/>
    <w:rsid w:val="158C7CF0"/>
    <w:rsid w:val="15A10CAB"/>
    <w:rsid w:val="15A9DAE6"/>
    <w:rsid w:val="15B0213B"/>
    <w:rsid w:val="15B52140"/>
    <w:rsid w:val="15BDBF82"/>
    <w:rsid w:val="15BEDE00"/>
    <w:rsid w:val="15CA5D04"/>
    <w:rsid w:val="15CD48C4"/>
    <w:rsid w:val="15CEEC5A"/>
    <w:rsid w:val="15D0B0A8"/>
    <w:rsid w:val="15DA20A7"/>
    <w:rsid w:val="15EB3DC4"/>
    <w:rsid w:val="15F63D21"/>
    <w:rsid w:val="15F7EED3"/>
    <w:rsid w:val="15FD5444"/>
    <w:rsid w:val="16082713"/>
    <w:rsid w:val="160868DF"/>
    <w:rsid w:val="1616F3C9"/>
    <w:rsid w:val="16193AF4"/>
    <w:rsid w:val="1632FB29"/>
    <w:rsid w:val="163561EE"/>
    <w:rsid w:val="163B9D25"/>
    <w:rsid w:val="163EA083"/>
    <w:rsid w:val="163EB28D"/>
    <w:rsid w:val="163FE359"/>
    <w:rsid w:val="1642E004"/>
    <w:rsid w:val="1656704D"/>
    <w:rsid w:val="166978E4"/>
    <w:rsid w:val="166E96E8"/>
    <w:rsid w:val="167597C3"/>
    <w:rsid w:val="167A001A"/>
    <w:rsid w:val="167AE942"/>
    <w:rsid w:val="167FFAD4"/>
    <w:rsid w:val="1687DAE2"/>
    <w:rsid w:val="168D7159"/>
    <w:rsid w:val="1691907F"/>
    <w:rsid w:val="1691CDB3"/>
    <w:rsid w:val="169277F9"/>
    <w:rsid w:val="16968622"/>
    <w:rsid w:val="169BC540"/>
    <w:rsid w:val="16A49F1A"/>
    <w:rsid w:val="16AADF10"/>
    <w:rsid w:val="16BDC85C"/>
    <w:rsid w:val="16C84879"/>
    <w:rsid w:val="16D28B65"/>
    <w:rsid w:val="16D60614"/>
    <w:rsid w:val="16E11346"/>
    <w:rsid w:val="16F2519A"/>
    <w:rsid w:val="16F6F533"/>
    <w:rsid w:val="16F6F647"/>
    <w:rsid w:val="16FD8F61"/>
    <w:rsid w:val="16FFDDC4"/>
    <w:rsid w:val="1705016A"/>
    <w:rsid w:val="1711D9DE"/>
    <w:rsid w:val="1712DB62"/>
    <w:rsid w:val="171645EC"/>
    <w:rsid w:val="171C2E56"/>
    <w:rsid w:val="17250CC5"/>
    <w:rsid w:val="1725D8CD"/>
    <w:rsid w:val="172B6AE7"/>
    <w:rsid w:val="172FF46F"/>
    <w:rsid w:val="1731D6EB"/>
    <w:rsid w:val="173C246E"/>
    <w:rsid w:val="173DBD0C"/>
    <w:rsid w:val="1743C08A"/>
    <w:rsid w:val="1744AAA0"/>
    <w:rsid w:val="1749792F"/>
    <w:rsid w:val="175269F6"/>
    <w:rsid w:val="1757BAA5"/>
    <w:rsid w:val="175AD310"/>
    <w:rsid w:val="175EA3DD"/>
    <w:rsid w:val="1765D25B"/>
    <w:rsid w:val="17693E79"/>
    <w:rsid w:val="17693E79"/>
    <w:rsid w:val="17698673"/>
    <w:rsid w:val="176FCE82"/>
    <w:rsid w:val="1778F9A5"/>
    <w:rsid w:val="17836F22"/>
    <w:rsid w:val="1783EE7D"/>
    <w:rsid w:val="17866787"/>
    <w:rsid w:val="178BB48D"/>
    <w:rsid w:val="178E877E"/>
    <w:rsid w:val="17925DF4"/>
    <w:rsid w:val="1793B8FA"/>
    <w:rsid w:val="1794B39B"/>
    <w:rsid w:val="1794B8A1"/>
    <w:rsid w:val="179868C2"/>
    <w:rsid w:val="17A7B21D"/>
    <w:rsid w:val="17AA4AE2"/>
    <w:rsid w:val="17AF3849"/>
    <w:rsid w:val="17B27364"/>
    <w:rsid w:val="17B744BD"/>
    <w:rsid w:val="17B96CB0"/>
    <w:rsid w:val="17BD7064"/>
    <w:rsid w:val="17BE28ED"/>
    <w:rsid w:val="17C06915"/>
    <w:rsid w:val="17C7B98E"/>
    <w:rsid w:val="17CEF3F6"/>
    <w:rsid w:val="17D2C035"/>
    <w:rsid w:val="17D69934"/>
    <w:rsid w:val="17DC3245"/>
    <w:rsid w:val="17DC835B"/>
    <w:rsid w:val="17E314C2"/>
    <w:rsid w:val="17E5AFAB"/>
    <w:rsid w:val="17F8251B"/>
    <w:rsid w:val="180FBEDF"/>
    <w:rsid w:val="1810E9B5"/>
    <w:rsid w:val="1815416C"/>
    <w:rsid w:val="181F67D1"/>
    <w:rsid w:val="1829B4E5"/>
    <w:rsid w:val="182CB494"/>
    <w:rsid w:val="182EFB81"/>
    <w:rsid w:val="1830B9F8"/>
    <w:rsid w:val="1835032B"/>
    <w:rsid w:val="1835BBF9"/>
    <w:rsid w:val="183C6DEA"/>
    <w:rsid w:val="18401354"/>
    <w:rsid w:val="184076B2"/>
    <w:rsid w:val="184C1FD9"/>
    <w:rsid w:val="18537C76"/>
    <w:rsid w:val="18572B78"/>
    <w:rsid w:val="185BB541"/>
    <w:rsid w:val="185EFCA7"/>
    <w:rsid w:val="18622B69"/>
    <w:rsid w:val="186CFFA1"/>
    <w:rsid w:val="18721D6D"/>
    <w:rsid w:val="187C3029"/>
    <w:rsid w:val="1893A0AE"/>
    <w:rsid w:val="189717C5"/>
    <w:rsid w:val="189A22AC"/>
    <w:rsid w:val="189D0AB6"/>
    <w:rsid w:val="18A2DF47"/>
    <w:rsid w:val="18A3D7BD"/>
    <w:rsid w:val="18A7B569"/>
    <w:rsid w:val="18AD6806"/>
    <w:rsid w:val="18AE701F"/>
    <w:rsid w:val="18B4FD92"/>
    <w:rsid w:val="18B8AB0B"/>
    <w:rsid w:val="18BE4A1C"/>
    <w:rsid w:val="18BF7968"/>
    <w:rsid w:val="18CA499B"/>
    <w:rsid w:val="18D5BC3A"/>
    <w:rsid w:val="18E74605"/>
    <w:rsid w:val="18EAA65B"/>
    <w:rsid w:val="18ED7125"/>
    <w:rsid w:val="18FB1FD6"/>
    <w:rsid w:val="18FC30A5"/>
    <w:rsid w:val="18FF0455"/>
    <w:rsid w:val="19048982"/>
    <w:rsid w:val="1907C436"/>
    <w:rsid w:val="190FDB03"/>
    <w:rsid w:val="19159FE6"/>
    <w:rsid w:val="1917E4D3"/>
    <w:rsid w:val="192D137F"/>
    <w:rsid w:val="192E8114"/>
    <w:rsid w:val="1931575E"/>
    <w:rsid w:val="19339A10"/>
    <w:rsid w:val="194EFA47"/>
    <w:rsid w:val="195CB1EC"/>
    <w:rsid w:val="1960B825"/>
    <w:rsid w:val="196A29BB"/>
    <w:rsid w:val="196AF07E"/>
    <w:rsid w:val="196BD890"/>
    <w:rsid w:val="19808B43"/>
    <w:rsid w:val="1983D22A"/>
    <w:rsid w:val="19850002"/>
    <w:rsid w:val="19868751"/>
    <w:rsid w:val="198AEA39"/>
    <w:rsid w:val="198AEA39"/>
    <w:rsid w:val="198B01F7"/>
    <w:rsid w:val="1994215B"/>
    <w:rsid w:val="199484B5"/>
    <w:rsid w:val="19973636"/>
    <w:rsid w:val="199894D5"/>
    <w:rsid w:val="19A039E0"/>
    <w:rsid w:val="19A35D50"/>
    <w:rsid w:val="19A5275B"/>
    <w:rsid w:val="19A9AA36"/>
    <w:rsid w:val="19ABC65E"/>
    <w:rsid w:val="19B164DC"/>
    <w:rsid w:val="19B25E79"/>
    <w:rsid w:val="19B75F9A"/>
    <w:rsid w:val="19B964C6"/>
    <w:rsid w:val="19B97012"/>
    <w:rsid w:val="19BDD108"/>
    <w:rsid w:val="19BE7374"/>
    <w:rsid w:val="19C27A97"/>
    <w:rsid w:val="19CB3D7E"/>
    <w:rsid w:val="19CF1BF9"/>
    <w:rsid w:val="19DA3927"/>
    <w:rsid w:val="19E08BD9"/>
    <w:rsid w:val="19E74608"/>
    <w:rsid w:val="19F30266"/>
    <w:rsid w:val="19F76D75"/>
    <w:rsid w:val="19F80BD2"/>
    <w:rsid w:val="19F8F0EE"/>
    <w:rsid w:val="19F9FFFF"/>
    <w:rsid w:val="1A12F215"/>
    <w:rsid w:val="1A148F7B"/>
    <w:rsid w:val="1A171F19"/>
    <w:rsid w:val="1A171F19"/>
    <w:rsid w:val="1A18E86B"/>
    <w:rsid w:val="1A1A6779"/>
    <w:rsid w:val="1A1CBE24"/>
    <w:rsid w:val="1A2DBD27"/>
    <w:rsid w:val="1A2E459C"/>
    <w:rsid w:val="1A34CCAA"/>
    <w:rsid w:val="1A3B8009"/>
    <w:rsid w:val="1A3DDF8E"/>
    <w:rsid w:val="1A3F6BDB"/>
    <w:rsid w:val="1A410EB9"/>
    <w:rsid w:val="1A4AEB85"/>
    <w:rsid w:val="1A4B8E12"/>
    <w:rsid w:val="1A4BCD5E"/>
    <w:rsid w:val="1A501FBC"/>
    <w:rsid w:val="1A53ED44"/>
    <w:rsid w:val="1A57FA60"/>
    <w:rsid w:val="1A6051E2"/>
    <w:rsid w:val="1A6BED01"/>
    <w:rsid w:val="1A6CAD5D"/>
    <w:rsid w:val="1A74BA76"/>
    <w:rsid w:val="1A78EF8E"/>
    <w:rsid w:val="1A7DAF2F"/>
    <w:rsid w:val="1A841102"/>
    <w:rsid w:val="1A866E72"/>
    <w:rsid w:val="1A8C4B89"/>
    <w:rsid w:val="1A8DA47E"/>
    <w:rsid w:val="1A9A6715"/>
    <w:rsid w:val="1A9E2C94"/>
    <w:rsid w:val="1AA4E82D"/>
    <w:rsid w:val="1AA61151"/>
    <w:rsid w:val="1AA72A9D"/>
    <w:rsid w:val="1AA7A8B6"/>
    <w:rsid w:val="1ABE6F8B"/>
    <w:rsid w:val="1ABEF71E"/>
    <w:rsid w:val="1ABF9F65"/>
    <w:rsid w:val="1AC6DA91"/>
    <w:rsid w:val="1AC9FA04"/>
    <w:rsid w:val="1AD017FB"/>
    <w:rsid w:val="1AD3C8B8"/>
    <w:rsid w:val="1AD48487"/>
    <w:rsid w:val="1AD6F968"/>
    <w:rsid w:val="1AD7B9CA"/>
    <w:rsid w:val="1ADBF5C3"/>
    <w:rsid w:val="1AEBA5FC"/>
    <w:rsid w:val="1AED94A0"/>
    <w:rsid w:val="1AF6B71A"/>
    <w:rsid w:val="1AF7B026"/>
    <w:rsid w:val="1AFB6160"/>
    <w:rsid w:val="1AFDAC12"/>
    <w:rsid w:val="1AFFD51C"/>
    <w:rsid w:val="1B0480A8"/>
    <w:rsid w:val="1B0EC3F0"/>
    <w:rsid w:val="1B141F42"/>
    <w:rsid w:val="1B1B03C6"/>
    <w:rsid w:val="1B24F1FC"/>
    <w:rsid w:val="1B263CA4"/>
    <w:rsid w:val="1B284754"/>
    <w:rsid w:val="1B2C2446"/>
    <w:rsid w:val="1B3B7930"/>
    <w:rsid w:val="1B435EC9"/>
    <w:rsid w:val="1B440CE3"/>
    <w:rsid w:val="1B44A074"/>
    <w:rsid w:val="1B4B7209"/>
    <w:rsid w:val="1B4D9C6E"/>
    <w:rsid w:val="1B57332A"/>
    <w:rsid w:val="1B677A2A"/>
    <w:rsid w:val="1B69B93A"/>
    <w:rsid w:val="1B74BFB6"/>
    <w:rsid w:val="1B77A81D"/>
    <w:rsid w:val="1B79EB37"/>
    <w:rsid w:val="1B7D73EB"/>
    <w:rsid w:val="1B80B078"/>
    <w:rsid w:val="1B856534"/>
    <w:rsid w:val="1B864106"/>
    <w:rsid w:val="1B8AF2F6"/>
    <w:rsid w:val="1B901D10"/>
    <w:rsid w:val="1B98EFB1"/>
    <w:rsid w:val="1B9BC4A7"/>
    <w:rsid w:val="1BA17725"/>
    <w:rsid w:val="1BA2F20F"/>
    <w:rsid w:val="1BA527F2"/>
    <w:rsid w:val="1BA8BE45"/>
    <w:rsid w:val="1BAE1145"/>
    <w:rsid w:val="1BB3BBA8"/>
    <w:rsid w:val="1BC06E80"/>
    <w:rsid w:val="1BD4A8EB"/>
    <w:rsid w:val="1BD6A006"/>
    <w:rsid w:val="1BD9AD36"/>
    <w:rsid w:val="1BE1668F"/>
    <w:rsid w:val="1BEFC4E3"/>
    <w:rsid w:val="1BF2A2E6"/>
    <w:rsid w:val="1BFC0BEA"/>
    <w:rsid w:val="1C07E079"/>
    <w:rsid w:val="1C0C2DFF"/>
    <w:rsid w:val="1C0F3C06"/>
    <w:rsid w:val="1C0F50BA"/>
    <w:rsid w:val="1C13CC51"/>
    <w:rsid w:val="1C18E4B3"/>
    <w:rsid w:val="1C2203F3"/>
    <w:rsid w:val="1C259DF9"/>
    <w:rsid w:val="1C2B5C54"/>
    <w:rsid w:val="1C2D9041"/>
    <w:rsid w:val="1C34544B"/>
    <w:rsid w:val="1C56C814"/>
    <w:rsid w:val="1C59047E"/>
    <w:rsid w:val="1C684160"/>
    <w:rsid w:val="1C6C8188"/>
    <w:rsid w:val="1C6D008C"/>
    <w:rsid w:val="1C744ADE"/>
    <w:rsid w:val="1C7535E3"/>
    <w:rsid w:val="1C77311D"/>
    <w:rsid w:val="1C7F032D"/>
    <w:rsid w:val="1C83C969"/>
    <w:rsid w:val="1C851E4A"/>
    <w:rsid w:val="1C8A0C36"/>
    <w:rsid w:val="1C8A412B"/>
    <w:rsid w:val="1C8D7A2E"/>
    <w:rsid w:val="1C956A48"/>
    <w:rsid w:val="1C9DDEF6"/>
    <w:rsid w:val="1CA1A1E1"/>
    <w:rsid w:val="1CA795AD"/>
    <w:rsid w:val="1CCC972F"/>
    <w:rsid w:val="1CCC972F"/>
    <w:rsid w:val="1CCF77E4"/>
    <w:rsid w:val="1CCF9403"/>
    <w:rsid w:val="1CD84B23"/>
    <w:rsid w:val="1CE5E839"/>
    <w:rsid w:val="1CE6D55C"/>
    <w:rsid w:val="1CE9778C"/>
    <w:rsid w:val="1CECCC63"/>
    <w:rsid w:val="1CED6B6A"/>
    <w:rsid w:val="1CF6C602"/>
    <w:rsid w:val="1CFB85DB"/>
    <w:rsid w:val="1D01904A"/>
    <w:rsid w:val="1D05AC45"/>
    <w:rsid w:val="1D05AC45"/>
    <w:rsid w:val="1D197D30"/>
    <w:rsid w:val="1D1BF026"/>
    <w:rsid w:val="1D39B25E"/>
    <w:rsid w:val="1D39F4D5"/>
    <w:rsid w:val="1D3A6597"/>
    <w:rsid w:val="1D3A6597"/>
    <w:rsid w:val="1D3ACA8D"/>
    <w:rsid w:val="1D461BFC"/>
    <w:rsid w:val="1D472781"/>
    <w:rsid w:val="1D4F2C04"/>
    <w:rsid w:val="1D5B4837"/>
    <w:rsid w:val="1D619CF8"/>
    <w:rsid w:val="1D62FE6B"/>
    <w:rsid w:val="1D66C3DD"/>
    <w:rsid w:val="1D6AC906"/>
    <w:rsid w:val="1D71F652"/>
    <w:rsid w:val="1D763F4A"/>
    <w:rsid w:val="1D7AB3C5"/>
    <w:rsid w:val="1D7E116B"/>
    <w:rsid w:val="1D809041"/>
    <w:rsid w:val="1D8D8D59"/>
    <w:rsid w:val="1D96179B"/>
    <w:rsid w:val="1D98A995"/>
    <w:rsid w:val="1D99484E"/>
    <w:rsid w:val="1DA4C3D9"/>
    <w:rsid w:val="1DA94442"/>
    <w:rsid w:val="1DB42F58"/>
    <w:rsid w:val="1DBB2D33"/>
    <w:rsid w:val="1DE55EBD"/>
    <w:rsid w:val="1DE610EB"/>
    <w:rsid w:val="1DECB5DB"/>
    <w:rsid w:val="1DF846B1"/>
    <w:rsid w:val="1E03B409"/>
    <w:rsid w:val="1E0706A8"/>
    <w:rsid w:val="1E08C04C"/>
    <w:rsid w:val="1E0A8D12"/>
    <w:rsid w:val="1E0B6B91"/>
    <w:rsid w:val="1E0BA8FD"/>
    <w:rsid w:val="1E10AC50"/>
    <w:rsid w:val="1E1ABCCE"/>
    <w:rsid w:val="1E1ED91B"/>
    <w:rsid w:val="1E237C66"/>
    <w:rsid w:val="1E2D2082"/>
    <w:rsid w:val="1E33C97C"/>
    <w:rsid w:val="1E356E54"/>
    <w:rsid w:val="1E4910F0"/>
    <w:rsid w:val="1E4DADF6"/>
    <w:rsid w:val="1E5D116E"/>
    <w:rsid w:val="1E621993"/>
    <w:rsid w:val="1E629156"/>
    <w:rsid w:val="1E66130A"/>
    <w:rsid w:val="1E665DC2"/>
    <w:rsid w:val="1E714918"/>
    <w:rsid w:val="1E7DABB8"/>
    <w:rsid w:val="1E8162F7"/>
    <w:rsid w:val="1E821827"/>
    <w:rsid w:val="1E8563C5"/>
    <w:rsid w:val="1E8C3AE2"/>
    <w:rsid w:val="1E8EFA12"/>
    <w:rsid w:val="1E93120B"/>
    <w:rsid w:val="1E9DDC4C"/>
    <w:rsid w:val="1E9F9A50"/>
    <w:rsid w:val="1EA66188"/>
    <w:rsid w:val="1EAA9597"/>
    <w:rsid w:val="1EB3C83C"/>
    <w:rsid w:val="1EB50DB5"/>
    <w:rsid w:val="1EBE2A28"/>
    <w:rsid w:val="1EC08342"/>
    <w:rsid w:val="1EC3B7CD"/>
    <w:rsid w:val="1EC52B41"/>
    <w:rsid w:val="1ECC39F7"/>
    <w:rsid w:val="1ED3B92E"/>
    <w:rsid w:val="1ED47C00"/>
    <w:rsid w:val="1ED61627"/>
    <w:rsid w:val="1ED81B68"/>
    <w:rsid w:val="1EE2D7D2"/>
    <w:rsid w:val="1EE9F411"/>
    <w:rsid w:val="1F0988C8"/>
    <w:rsid w:val="1F0B434D"/>
    <w:rsid w:val="1F0B7522"/>
    <w:rsid w:val="1F0DA7F0"/>
    <w:rsid w:val="1F1DFB55"/>
    <w:rsid w:val="1F22BA81"/>
    <w:rsid w:val="1F272C8F"/>
    <w:rsid w:val="1F27B697"/>
    <w:rsid w:val="1F3413C9"/>
    <w:rsid w:val="1F47B32B"/>
    <w:rsid w:val="1F58004B"/>
    <w:rsid w:val="1F5B5511"/>
    <w:rsid w:val="1F622C68"/>
    <w:rsid w:val="1F63BBF8"/>
    <w:rsid w:val="1F72704C"/>
    <w:rsid w:val="1F76A7C2"/>
    <w:rsid w:val="1F79B8EC"/>
    <w:rsid w:val="1F8D54DA"/>
    <w:rsid w:val="1F95C22B"/>
    <w:rsid w:val="1F97DCD2"/>
    <w:rsid w:val="1F9C0266"/>
    <w:rsid w:val="1FA10FE0"/>
    <w:rsid w:val="1FA52E1D"/>
    <w:rsid w:val="1FA9B155"/>
    <w:rsid w:val="1FB0645F"/>
    <w:rsid w:val="1FB8F9D6"/>
    <w:rsid w:val="1FBFD34C"/>
    <w:rsid w:val="1FBFD34C"/>
    <w:rsid w:val="1FC3824F"/>
    <w:rsid w:val="1FD25230"/>
    <w:rsid w:val="1FD660EE"/>
    <w:rsid w:val="1FDE7970"/>
    <w:rsid w:val="1FE63D7F"/>
    <w:rsid w:val="1FE63D7F"/>
    <w:rsid w:val="1FEE3153"/>
    <w:rsid w:val="1FEF228B"/>
    <w:rsid w:val="1FEFC786"/>
    <w:rsid w:val="1FF52930"/>
    <w:rsid w:val="2012C0D8"/>
    <w:rsid w:val="2018F148"/>
    <w:rsid w:val="201E67AD"/>
    <w:rsid w:val="202015AA"/>
    <w:rsid w:val="202119ED"/>
    <w:rsid w:val="20236DD9"/>
    <w:rsid w:val="2027B2C8"/>
    <w:rsid w:val="20364CBC"/>
    <w:rsid w:val="203794EA"/>
    <w:rsid w:val="203B0033"/>
    <w:rsid w:val="204874DF"/>
    <w:rsid w:val="2048CC92"/>
    <w:rsid w:val="204F3387"/>
    <w:rsid w:val="205AAAFC"/>
    <w:rsid w:val="205C88E1"/>
    <w:rsid w:val="205EED46"/>
    <w:rsid w:val="20606D40"/>
    <w:rsid w:val="20607333"/>
    <w:rsid w:val="20737C41"/>
    <w:rsid w:val="2078E8DF"/>
    <w:rsid w:val="207D0605"/>
    <w:rsid w:val="208282B3"/>
    <w:rsid w:val="20840E8F"/>
    <w:rsid w:val="20844E33"/>
    <w:rsid w:val="20850D54"/>
    <w:rsid w:val="2088AD11"/>
    <w:rsid w:val="209681F8"/>
    <w:rsid w:val="2098EA96"/>
    <w:rsid w:val="2099244C"/>
    <w:rsid w:val="209985C7"/>
    <w:rsid w:val="20A246BA"/>
    <w:rsid w:val="20A6FF46"/>
    <w:rsid w:val="20BAE854"/>
    <w:rsid w:val="20C366F2"/>
    <w:rsid w:val="20CB1495"/>
    <w:rsid w:val="20D94F3F"/>
    <w:rsid w:val="20E37431"/>
    <w:rsid w:val="20EBE482"/>
    <w:rsid w:val="20F04647"/>
    <w:rsid w:val="20F2107C"/>
    <w:rsid w:val="20FA1A13"/>
    <w:rsid w:val="20FDB53E"/>
    <w:rsid w:val="2102E99E"/>
    <w:rsid w:val="210C5496"/>
    <w:rsid w:val="2112276B"/>
    <w:rsid w:val="21190782"/>
    <w:rsid w:val="21197461"/>
    <w:rsid w:val="2122009D"/>
    <w:rsid w:val="2123F160"/>
    <w:rsid w:val="21260B03"/>
    <w:rsid w:val="212C0D84"/>
    <w:rsid w:val="212DF4CF"/>
    <w:rsid w:val="2135C29E"/>
    <w:rsid w:val="21375791"/>
    <w:rsid w:val="213B34C9"/>
    <w:rsid w:val="213EBD90"/>
    <w:rsid w:val="21438F33"/>
    <w:rsid w:val="21492823"/>
    <w:rsid w:val="214D0D2A"/>
    <w:rsid w:val="21564C48"/>
    <w:rsid w:val="2167C3D6"/>
    <w:rsid w:val="2167C946"/>
    <w:rsid w:val="21684C9B"/>
    <w:rsid w:val="21855969"/>
    <w:rsid w:val="2187B857"/>
    <w:rsid w:val="219154A1"/>
    <w:rsid w:val="21AB11F9"/>
    <w:rsid w:val="21B0C116"/>
    <w:rsid w:val="21B4B337"/>
    <w:rsid w:val="21B65231"/>
    <w:rsid w:val="21BCF88A"/>
    <w:rsid w:val="21C02E4F"/>
    <w:rsid w:val="21C58687"/>
    <w:rsid w:val="21CE4036"/>
    <w:rsid w:val="21CF5B33"/>
    <w:rsid w:val="21D3C17F"/>
    <w:rsid w:val="21D98DCC"/>
    <w:rsid w:val="21DCAA0C"/>
    <w:rsid w:val="21E21314"/>
    <w:rsid w:val="21E59E06"/>
    <w:rsid w:val="21E59E06"/>
    <w:rsid w:val="21E87920"/>
    <w:rsid w:val="220076D7"/>
    <w:rsid w:val="220CCEFB"/>
    <w:rsid w:val="2219B51C"/>
    <w:rsid w:val="22236FEA"/>
    <w:rsid w:val="22288000"/>
    <w:rsid w:val="222A1A97"/>
    <w:rsid w:val="222B6746"/>
    <w:rsid w:val="22342593"/>
    <w:rsid w:val="2236484C"/>
    <w:rsid w:val="2239FABC"/>
    <w:rsid w:val="223B2F11"/>
    <w:rsid w:val="224B6CC5"/>
    <w:rsid w:val="224CC51A"/>
    <w:rsid w:val="225418F6"/>
    <w:rsid w:val="2254D2B5"/>
    <w:rsid w:val="225C7DDA"/>
    <w:rsid w:val="225F59EE"/>
    <w:rsid w:val="226146D5"/>
    <w:rsid w:val="226302A1"/>
    <w:rsid w:val="2267A5DB"/>
    <w:rsid w:val="22692464"/>
    <w:rsid w:val="226C0EFA"/>
    <w:rsid w:val="2278555F"/>
    <w:rsid w:val="22819466"/>
    <w:rsid w:val="2282B35C"/>
    <w:rsid w:val="2282C2D3"/>
    <w:rsid w:val="22856CDB"/>
    <w:rsid w:val="229A064A"/>
    <w:rsid w:val="22A2472A"/>
    <w:rsid w:val="22A99DE3"/>
    <w:rsid w:val="22AD3D25"/>
    <w:rsid w:val="22BFB2C8"/>
    <w:rsid w:val="22BFECE6"/>
    <w:rsid w:val="22C43F7A"/>
    <w:rsid w:val="22CDC271"/>
    <w:rsid w:val="22E3A191"/>
    <w:rsid w:val="22E8F88D"/>
    <w:rsid w:val="22E98B67"/>
    <w:rsid w:val="22E9ECF5"/>
    <w:rsid w:val="22EC231C"/>
    <w:rsid w:val="22FA5EF5"/>
    <w:rsid w:val="22FE7FA8"/>
    <w:rsid w:val="23091AB0"/>
    <w:rsid w:val="230B0A5F"/>
    <w:rsid w:val="2310972C"/>
    <w:rsid w:val="232FE773"/>
    <w:rsid w:val="233015C9"/>
    <w:rsid w:val="2333950D"/>
    <w:rsid w:val="2335CE55"/>
    <w:rsid w:val="233D0998"/>
    <w:rsid w:val="233DAE8C"/>
    <w:rsid w:val="234203AA"/>
    <w:rsid w:val="2344D8F9"/>
    <w:rsid w:val="23450163"/>
    <w:rsid w:val="234636BB"/>
    <w:rsid w:val="234916E7"/>
    <w:rsid w:val="234A5D08"/>
    <w:rsid w:val="234EB8AD"/>
    <w:rsid w:val="235092B6"/>
    <w:rsid w:val="235249C0"/>
    <w:rsid w:val="23548E80"/>
    <w:rsid w:val="23714B09"/>
    <w:rsid w:val="2376912C"/>
    <w:rsid w:val="237E7466"/>
    <w:rsid w:val="237FFED3"/>
    <w:rsid w:val="238906EB"/>
    <w:rsid w:val="238DEAC8"/>
    <w:rsid w:val="23A5D669"/>
    <w:rsid w:val="23A6EE7F"/>
    <w:rsid w:val="23ACE232"/>
    <w:rsid w:val="23ADBA48"/>
    <w:rsid w:val="23B5C14E"/>
    <w:rsid w:val="23C8B660"/>
    <w:rsid w:val="23C9307B"/>
    <w:rsid w:val="23C95930"/>
    <w:rsid w:val="23D69F2C"/>
    <w:rsid w:val="23D6D604"/>
    <w:rsid w:val="23D8EFA6"/>
    <w:rsid w:val="23D94C8E"/>
    <w:rsid w:val="23DC0FCD"/>
    <w:rsid w:val="23DC9B40"/>
    <w:rsid w:val="23FC9766"/>
    <w:rsid w:val="240DC939"/>
    <w:rsid w:val="2413D69D"/>
    <w:rsid w:val="24156B11"/>
    <w:rsid w:val="241695F2"/>
    <w:rsid w:val="2419D767"/>
    <w:rsid w:val="241F553F"/>
    <w:rsid w:val="24218AA8"/>
    <w:rsid w:val="2429359F"/>
    <w:rsid w:val="242A5FEC"/>
    <w:rsid w:val="242D5AE5"/>
    <w:rsid w:val="242E5219"/>
    <w:rsid w:val="243FC0A1"/>
    <w:rsid w:val="24490C2D"/>
    <w:rsid w:val="24568CCB"/>
    <w:rsid w:val="24639E34"/>
    <w:rsid w:val="2464D659"/>
    <w:rsid w:val="2469E9C6"/>
    <w:rsid w:val="24703C9F"/>
    <w:rsid w:val="247E4EA9"/>
    <w:rsid w:val="2485FC5D"/>
    <w:rsid w:val="248C0BE5"/>
    <w:rsid w:val="2491AABA"/>
    <w:rsid w:val="249A94FE"/>
    <w:rsid w:val="249F7809"/>
    <w:rsid w:val="249FC09E"/>
    <w:rsid w:val="24A112BD"/>
    <w:rsid w:val="24A7215E"/>
    <w:rsid w:val="24AEFBAA"/>
    <w:rsid w:val="24C241DE"/>
    <w:rsid w:val="24C6777C"/>
    <w:rsid w:val="24CAD477"/>
    <w:rsid w:val="24DA69D4"/>
    <w:rsid w:val="24DD737E"/>
    <w:rsid w:val="24DEFEA5"/>
    <w:rsid w:val="24E0F6F6"/>
    <w:rsid w:val="24E54BF4"/>
    <w:rsid w:val="24EB230B"/>
    <w:rsid w:val="24ED2DBA"/>
    <w:rsid w:val="24F4F782"/>
    <w:rsid w:val="25031FFE"/>
    <w:rsid w:val="252165DF"/>
    <w:rsid w:val="2526ADE7"/>
    <w:rsid w:val="252F0893"/>
    <w:rsid w:val="2531F5D4"/>
    <w:rsid w:val="253CB91A"/>
    <w:rsid w:val="253D5B03"/>
    <w:rsid w:val="25427559"/>
    <w:rsid w:val="254F1034"/>
    <w:rsid w:val="25537571"/>
    <w:rsid w:val="2556FCAC"/>
    <w:rsid w:val="25661740"/>
    <w:rsid w:val="256991A4"/>
    <w:rsid w:val="256D078E"/>
    <w:rsid w:val="2579D780"/>
    <w:rsid w:val="257BBDEF"/>
    <w:rsid w:val="257D40B4"/>
    <w:rsid w:val="258045F2"/>
    <w:rsid w:val="2582F677"/>
    <w:rsid w:val="25844983"/>
    <w:rsid w:val="25895151"/>
    <w:rsid w:val="2589AD56"/>
    <w:rsid w:val="25A07E3D"/>
    <w:rsid w:val="25B1BE7F"/>
    <w:rsid w:val="25B3D2B3"/>
    <w:rsid w:val="25BC170D"/>
    <w:rsid w:val="25BDAB3E"/>
    <w:rsid w:val="25BDD554"/>
    <w:rsid w:val="25C2497A"/>
    <w:rsid w:val="25C87478"/>
    <w:rsid w:val="25E0F40C"/>
    <w:rsid w:val="25E51F99"/>
    <w:rsid w:val="25EF5C4E"/>
    <w:rsid w:val="260572AA"/>
    <w:rsid w:val="260B224C"/>
    <w:rsid w:val="260DF1C8"/>
    <w:rsid w:val="26193741"/>
    <w:rsid w:val="261BD911"/>
    <w:rsid w:val="26200B31"/>
    <w:rsid w:val="262F853D"/>
    <w:rsid w:val="2634CE9E"/>
    <w:rsid w:val="26394267"/>
    <w:rsid w:val="263B9447"/>
    <w:rsid w:val="264B5499"/>
    <w:rsid w:val="2652FF12"/>
    <w:rsid w:val="265AE876"/>
    <w:rsid w:val="265B91D3"/>
    <w:rsid w:val="265CCAFA"/>
    <w:rsid w:val="2672F241"/>
    <w:rsid w:val="2673D7B0"/>
    <w:rsid w:val="267FB40C"/>
    <w:rsid w:val="2683551C"/>
    <w:rsid w:val="268E1F49"/>
    <w:rsid w:val="269B1307"/>
    <w:rsid w:val="26A21B73"/>
    <w:rsid w:val="26B010C9"/>
    <w:rsid w:val="26B371EA"/>
    <w:rsid w:val="26BCEC25"/>
    <w:rsid w:val="26BF44C0"/>
    <w:rsid w:val="26C00A7B"/>
    <w:rsid w:val="26C00DB4"/>
    <w:rsid w:val="26C86559"/>
    <w:rsid w:val="26D73D1D"/>
    <w:rsid w:val="26D957C2"/>
    <w:rsid w:val="26DFF9BC"/>
    <w:rsid w:val="26E9A045"/>
    <w:rsid w:val="26EC7AFD"/>
    <w:rsid w:val="26F2C607"/>
    <w:rsid w:val="2702F488"/>
    <w:rsid w:val="270434C0"/>
    <w:rsid w:val="2709347E"/>
    <w:rsid w:val="270CE1BD"/>
    <w:rsid w:val="2716B9D6"/>
    <w:rsid w:val="271E8C2F"/>
    <w:rsid w:val="272BD954"/>
    <w:rsid w:val="27340B1A"/>
    <w:rsid w:val="273ED44C"/>
    <w:rsid w:val="27480AA4"/>
    <w:rsid w:val="2769E54F"/>
    <w:rsid w:val="276E0312"/>
    <w:rsid w:val="277C7511"/>
    <w:rsid w:val="277E9D05"/>
    <w:rsid w:val="27864B1E"/>
    <w:rsid w:val="278D8073"/>
    <w:rsid w:val="278E9944"/>
    <w:rsid w:val="278EE005"/>
    <w:rsid w:val="278F5C81"/>
    <w:rsid w:val="2798803C"/>
    <w:rsid w:val="27A4DD27"/>
    <w:rsid w:val="27A6E67E"/>
    <w:rsid w:val="27AB38E3"/>
    <w:rsid w:val="27AB38E3"/>
    <w:rsid w:val="27B564FF"/>
    <w:rsid w:val="27BAA788"/>
    <w:rsid w:val="27BD9556"/>
    <w:rsid w:val="27C40005"/>
    <w:rsid w:val="27D82753"/>
    <w:rsid w:val="27E736BD"/>
    <w:rsid w:val="27EBF40D"/>
    <w:rsid w:val="27EC2AAA"/>
    <w:rsid w:val="27F2335C"/>
    <w:rsid w:val="28094848"/>
    <w:rsid w:val="2816E5A2"/>
    <w:rsid w:val="28172B1D"/>
    <w:rsid w:val="281A6485"/>
    <w:rsid w:val="2820B265"/>
    <w:rsid w:val="2825D7C4"/>
    <w:rsid w:val="28285267"/>
    <w:rsid w:val="282AE4E3"/>
    <w:rsid w:val="282D2CC7"/>
    <w:rsid w:val="28445516"/>
    <w:rsid w:val="28446198"/>
    <w:rsid w:val="28467B68"/>
    <w:rsid w:val="284789B0"/>
    <w:rsid w:val="284CBB00"/>
    <w:rsid w:val="285261B7"/>
    <w:rsid w:val="28529693"/>
    <w:rsid w:val="28610C98"/>
    <w:rsid w:val="28656819"/>
    <w:rsid w:val="286F0B94"/>
    <w:rsid w:val="2886A38E"/>
    <w:rsid w:val="2895C6F2"/>
    <w:rsid w:val="2895CCDF"/>
    <w:rsid w:val="289B931B"/>
    <w:rsid w:val="289CF245"/>
    <w:rsid w:val="289EFE03"/>
    <w:rsid w:val="28A4A59B"/>
    <w:rsid w:val="28A968C0"/>
    <w:rsid w:val="28B1DC46"/>
    <w:rsid w:val="28B29DF1"/>
    <w:rsid w:val="28B2D39C"/>
    <w:rsid w:val="28BC351B"/>
    <w:rsid w:val="28C409FB"/>
    <w:rsid w:val="28C665E2"/>
    <w:rsid w:val="28CDD865"/>
    <w:rsid w:val="28CFAF45"/>
    <w:rsid w:val="28E1746C"/>
    <w:rsid w:val="28E9D0CB"/>
    <w:rsid w:val="28FA5833"/>
    <w:rsid w:val="28FA5833"/>
    <w:rsid w:val="28FEB1C7"/>
    <w:rsid w:val="290672A1"/>
    <w:rsid w:val="2923940B"/>
    <w:rsid w:val="2924666D"/>
    <w:rsid w:val="2925555C"/>
    <w:rsid w:val="2937CD8C"/>
    <w:rsid w:val="293EA07D"/>
    <w:rsid w:val="293F099A"/>
    <w:rsid w:val="2942DC05"/>
    <w:rsid w:val="2945C93C"/>
    <w:rsid w:val="294F0517"/>
    <w:rsid w:val="29578472"/>
    <w:rsid w:val="295D88B6"/>
    <w:rsid w:val="296600D8"/>
    <w:rsid w:val="296840B2"/>
    <w:rsid w:val="296E0B0F"/>
    <w:rsid w:val="296E24B5"/>
    <w:rsid w:val="296E3425"/>
    <w:rsid w:val="2971180B"/>
    <w:rsid w:val="2972F6BA"/>
    <w:rsid w:val="2975018C"/>
    <w:rsid w:val="297839BE"/>
    <w:rsid w:val="297FF411"/>
    <w:rsid w:val="29821964"/>
    <w:rsid w:val="2984AF12"/>
    <w:rsid w:val="299292B1"/>
    <w:rsid w:val="2992BEB7"/>
    <w:rsid w:val="29935672"/>
    <w:rsid w:val="29946566"/>
    <w:rsid w:val="299466F1"/>
    <w:rsid w:val="29974BF6"/>
    <w:rsid w:val="299C5A37"/>
    <w:rsid w:val="299C5AD7"/>
    <w:rsid w:val="299D7E03"/>
    <w:rsid w:val="29A63582"/>
    <w:rsid w:val="29A82BD1"/>
    <w:rsid w:val="29B023EC"/>
    <w:rsid w:val="29B8F712"/>
    <w:rsid w:val="29BC6425"/>
    <w:rsid w:val="29C60532"/>
    <w:rsid w:val="29D8D4AD"/>
    <w:rsid w:val="29D9C144"/>
    <w:rsid w:val="29DDABD6"/>
    <w:rsid w:val="29ECFE66"/>
    <w:rsid w:val="29F08A14"/>
    <w:rsid w:val="29F55B20"/>
    <w:rsid w:val="29F95496"/>
    <w:rsid w:val="2A029931"/>
    <w:rsid w:val="2A120385"/>
    <w:rsid w:val="2A1D29D5"/>
    <w:rsid w:val="2A220D42"/>
    <w:rsid w:val="2A26B41A"/>
    <w:rsid w:val="2A27EAD3"/>
    <w:rsid w:val="2A2D9E71"/>
    <w:rsid w:val="2A3314A0"/>
    <w:rsid w:val="2A351500"/>
    <w:rsid w:val="2A39E913"/>
    <w:rsid w:val="2A3CE593"/>
    <w:rsid w:val="2A4B9E12"/>
    <w:rsid w:val="2A509329"/>
    <w:rsid w:val="2A5094AB"/>
    <w:rsid w:val="2A53A065"/>
    <w:rsid w:val="2A565203"/>
    <w:rsid w:val="2A611A28"/>
    <w:rsid w:val="2A63BB1D"/>
    <w:rsid w:val="2A66ED42"/>
    <w:rsid w:val="2A6C4098"/>
    <w:rsid w:val="2A6E3729"/>
    <w:rsid w:val="2A6FF4D0"/>
    <w:rsid w:val="2A79935E"/>
    <w:rsid w:val="2A7AB229"/>
    <w:rsid w:val="2A909AEA"/>
    <w:rsid w:val="2A94C9F7"/>
    <w:rsid w:val="2A95DD0D"/>
    <w:rsid w:val="2AA0E3B1"/>
    <w:rsid w:val="2AA2FF61"/>
    <w:rsid w:val="2AAA0F87"/>
    <w:rsid w:val="2AAABE66"/>
    <w:rsid w:val="2AB341F6"/>
    <w:rsid w:val="2AC34A9F"/>
    <w:rsid w:val="2AC9C36E"/>
    <w:rsid w:val="2ACAAF00"/>
    <w:rsid w:val="2ACEDBC3"/>
    <w:rsid w:val="2AD1F344"/>
    <w:rsid w:val="2AD6A4C7"/>
    <w:rsid w:val="2AEF0CD7"/>
    <w:rsid w:val="2AF873E1"/>
    <w:rsid w:val="2AFE6480"/>
    <w:rsid w:val="2B0C3818"/>
    <w:rsid w:val="2B10B8E6"/>
    <w:rsid w:val="2B1772FC"/>
    <w:rsid w:val="2B1E2A2D"/>
    <w:rsid w:val="2B20CD78"/>
    <w:rsid w:val="2B378D0B"/>
    <w:rsid w:val="2B3E1E03"/>
    <w:rsid w:val="2B4923CA"/>
    <w:rsid w:val="2B49BC8F"/>
    <w:rsid w:val="2B5D0FB4"/>
    <w:rsid w:val="2B69D1AF"/>
    <w:rsid w:val="2B6F4A65"/>
    <w:rsid w:val="2B839DCF"/>
    <w:rsid w:val="2B8571A3"/>
    <w:rsid w:val="2B893406"/>
    <w:rsid w:val="2B8B42A0"/>
    <w:rsid w:val="2B989952"/>
    <w:rsid w:val="2BA00E4D"/>
    <w:rsid w:val="2BAA8A76"/>
    <w:rsid w:val="2BAE592D"/>
    <w:rsid w:val="2BC4162E"/>
    <w:rsid w:val="2BC586EC"/>
    <w:rsid w:val="2BC76224"/>
    <w:rsid w:val="2BD67363"/>
    <w:rsid w:val="2BDBA298"/>
    <w:rsid w:val="2BDE0D1F"/>
    <w:rsid w:val="2BE3B100"/>
    <w:rsid w:val="2BE9A315"/>
    <w:rsid w:val="2BE9A315"/>
    <w:rsid w:val="2BECAD27"/>
    <w:rsid w:val="2BF02E6B"/>
    <w:rsid w:val="2BF89068"/>
    <w:rsid w:val="2BF9C785"/>
    <w:rsid w:val="2C02ED99"/>
    <w:rsid w:val="2C034B4D"/>
    <w:rsid w:val="2C04DE1B"/>
    <w:rsid w:val="2C141663"/>
    <w:rsid w:val="2C1496B5"/>
    <w:rsid w:val="2C15B6D3"/>
    <w:rsid w:val="2C199559"/>
    <w:rsid w:val="2C1A8F73"/>
    <w:rsid w:val="2C1BD68D"/>
    <w:rsid w:val="2C1DEE97"/>
    <w:rsid w:val="2C1EA897"/>
    <w:rsid w:val="2C234496"/>
    <w:rsid w:val="2C2FCB94"/>
    <w:rsid w:val="2C3ADF33"/>
    <w:rsid w:val="2C3C5072"/>
    <w:rsid w:val="2C3FCE39"/>
    <w:rsid w:val="2C429C93"/>
    <w:rsid w:val="2C5013FB"/>
    <w:rsid w:val="2C514277"/>
    <w:rsid w:val="2C55A075"/>
    <w:rsid w:val="2C56EC0A"/>
    <w:rsid w:val="2C5E00EC"/>
    <w:rsid w:val="2C60E2A6"/>
    <w:rsid w:val="2C677FCE"/>
    <w:rsid w:val="2C682D4E"/>
    <w:rsid w:val="2C684CEE"/>
    <w:rsid w:val="2C6CF073"/>
    <w:rsid w:val="2C78434F"/>
    <w:rsid w:val="2C7D939A"/>
    <w:rsid w:val="2C8140ED"/>
    <w:rsid w:val="2C8B3FBC"/>
    <w:rsid w:val="2C99D63E"/>
    <w:rsid w:val="2CA01682"/>
    <w:rsid w:val="2CA0F52E"/>
    <w:rsid w:val="2CA335D7"/>
    <w:rsid w:val="2CAA2765"/>
    <w:rsid w:val="2CB10FCB"/>
    <w:rsid w:val="2CBA1EB5"/>
    <w:rsid w:val="2CBBD071"/>
    <w:rsid w:val="2CC6EF30"/>
    <w:rsid w:val="2CC70A3E"/>
    <w:rsid w:val="2CCA2E6D"/>
    <w:rsid w:val="2CCA2E6D"/>
    <w:rsid w:val="2CCEE79B"/>
    <w:rsid w:val="2CD50DB6"/>
    <w:rsid w:val="2CD99602"/>
    <w:rsid w:val="2CDEA9C8"/>
    <w:rsid w:val="2CE832B3"/>
    <w:rsid w:val="2CE9A136"/>
    <w:rsid w:val="2CED1A8A"/>
    <w:rsid w:val="2CEF42C8"/>
    <w:rsid w:val="2CF37413"/>
    <w:rsid w:val="2D00F61E"/>
    <w:rsid w:val="2D07E60E"/>
    <w:rsid w:val="2D0E72A1"/>
    <w:rsid w:val="2D0E72A1"/>
    <w:rsid w:val="2D102C47"/>
    <w:rsid w:val="2D152406"/>
    <w:rsid w:val="2D1673F2"/>
    <w:rsid w:val="2D175DEA"/>
    <w:rsid w:val="2D182241"/>
    <w:rsid w:val="2D18C1A5"/>
    <w:rsid w:val="2D1952AD"/>
    <w:rsid w:val="2D2AF6A6"/>
    <w:rsid w:val="2D2BCEE1"/>
    <w:rsid w:val="2D2C7840"/>
    <w:rsid w:val="2D354291"/>
    <w:rsid w:val="2D3CBBDC"/>
    <w:rsid w:val="2D3EB61F"/>
    <w:rsid w:val="2D43C83A"/>
    <w:rsid w:val="2D480AB3"/>
    <w:rsid w:val="2D4C9842"/>
    <w:rsid w:val="2D58610D"/>
    <w:rsid w:val="2D67C34B"/>
    <w:rsid w:val="2D6B74D2"/>
    <w:rsid w:val="2D6C4387"/>
    <w:rsid w:val="2D748A14"/>
    <w:rsid w:val="2D7A1E7A"/>
    <w:rsid w:val="2D7ABA17"/>
    <w:rsid w:val="2D7BBCF0"/>
    <w:rsid w:val="2D7E649B"/>
    <w:rsid w:val="2D832510"/>
    <w:rsid w:val="2D840CDC"/>
    <w:rsid w:val="2D8C9FAD"/>
    <w:rsid w:val="2D8F31A1"/>
    <w:rsid w:val="2D9D7927"/>
    <w:rsid w:val="2DA3A633"/>
    <w:rsid w:val="2DA5D1AF"/>
    <w:rsid w:val="2DC38EDE"/>
    <w:rsid w:val="2DC70F9A"/>
    <w:rsid w:val="2DC71C98"/>
    <w:rsid w:val="2DCC2407"/>
    <w:rsid w:val="2DD74C25"/>
    <w:rsid w:val="2DE43B2B"/>
    <w:rsid w:val="2DE80990"/>
    <w:rsid w:val="2DF32149"/>
    <w:rsid w:val="2DF3B9E4"/>
    <w:rsid w:val="2DF3D2DC"/>
    <w:rsid w:val="2DF59AF6"/>
    <w:rsid w:val="2E00413A"/>
    <w:rsid w:val="2E03BC86"/>
    <w:rsid w:val="2E05F172"/>
    <w:rsid w:val="2E060088"/>
    <w:rsid w:val="2E098F56"/>
    <w:rsid w:val="2E0E68F9"/>
    <w:rsid w:val="2E0EA2FD"/>
    <w:rsid w:val="2E0EC821"/>
    <w:rsid w:val="2E19730F"/>
    <w:rsid w:val="2E1E588A"/>
    <w:rsid w:val="2E1E588A"/>
    <w:rsid w:val="2E2AD739"/>
    <w:rsid w:val="2E2DF1CE"/>
    <w:rsid w:val="2E402BBD"/>
    <w:rsid w:val="2E414803"/>
    <w:rsid w:val="2E58A4B2"/>
    <w:rsid w:val="2E59AA23"/>
    <w:rsid w:val="2E635D50"/>
    <w:rsid w:val="2E698533"/>
    <w:rsid w:val="2E6E8C33"/>
    <w:rsid w:val="2E7E41D1"/>
    <w:rsid w:val="2E90A2C9"/>
    <w:rsid w:val="2E92818A"/>
    <w:rsid w:val="2EA2D0C2"/>
    <w:rsid w:val="2EA63D3D"/>
    <w:rsid w:val="2EAB5A07"/>
    <w:rsid w:val="2EB76F64"/>
    <w:rsid w:val="2EB8FAEA"/>
    <w:rsid w:val="2EBA75E8"/>
    <w:rsid w:val="2EBCB2DC"/>
    <w:rsid w:val="2EBCEDAF"/>
    <w:rsid w:val="2EC6355B"/>
    <w:rsid w:val="2ECBC713"/>
    <w:rsid w:val="2ED4BFEC"/>
    <w:rsid w:val="2EDAF7CD"/>
    <w:rsid w:val="2EE09DE5"/>
    <w:rsid w:val="2EE27E76"/>
    <w:rsid w:val="2EEB36EE"/>
    <w:rsid w:val="2EF11397"/>
    <w:rsid w:val="2EF3C5DC"/>
    <w:rsid w:val="2EF5ABA0"/>
    <w:rsid w:val="2EFA4B62"/>
    <w:rsid w:val="2EFDF343"/>
    <w:rsid w:val="2F026CCF"/>
    <w:rsid w:val="2F07808D"/>
    <w:rsid w:val="2F08F20C"/>
    <w:rsid w:val="2F144B13"/>
    <w:rsid w:val="2F14BD1C"/>
    <w:rsid w:val="2F14D1D6"/>
    <w:rsid w:val="2F159D27"/>
    <w:rsid w:val="2F1E63F8"/>
    <w:rsid w:val="2F1F5569"/>
    <w:rsid w:val="2F20446C"/>
    <w:rsid w:val="2F218267"/>
    <w:rsid w:val="2F296797"/>
    <w:rsid w:val="2F29E7C4"/>
    <w:rsid w:val="2F2F0EFA"/>
    <w:rsid w:val="2F313D4F"/>
    <w:rsid w:val="2F33FB99"/>
    <w:rsid w:val="2F372534"/>
    <w:rsid w:val="2F37AEB4"/>
    <w:rsid w:val="2F4B6339"/>
    <w:rsid w:val="2F4F1717"/>
    <w:rsid w:val="2F4F62D5"/>
    <w:rsid w:val="2F5C4D0F"/>
    <w:rsid w:val="2F5C4D0F"/>
    <w:rsid w:val="2F696AAD"/>
    <w:rsid w:val="2F6D5C35"/>
    <w:rsid w:val="2F6D7C99"/>
    <w:rsid w:val="2F6DA5F1"/>
    <w:rsid w:val="2F79D2E3"/>
    <w:rsid w:val="2F83EF91"/>
    <w:rsid w:val="2F9BE6E0"/>
    <w:rsid w:val="2F9D3CAC"/>
    <w:rsid w:val="2F9D4617"/>
    <w:rsid w:val="2F9D5B33"/>
    <w:rsid w:val="2FA05A37"/>
    <w:rsid w:val="2FA40933"/>
    <w:rsid w:val="2FA59FFA"/>
    <w:rsid w:val="2FA8F90A"/>
    <w:rsid w:val="2FAD7591"/>
    <w:rsid w:val="2FAE1C4C"/>
    <w:rsid w:val="2FB33B66"/>
    <w:rsid w:val="2FCB2971"/>
    <w:rsid w:val="2FDF1AF9"/>
    <w:rsid w:val="2FE6AEDD"/>
    <w:rsid w:val="2FF0ED16"/>
    <w:rsid w:val="2FF7857D"/>
    <w:rsid w:val="2FFED5C9"/>
    <w:rsid w:val="301C637A"/>
    <w:rsid w:val="303160AB"/>
    <w:rsid w:val="303165A9"/>
    <w:rsid w:val="3032B2BA"/>
    <w:rsid w:val="30362B8A"/>
    <w:rsid w:val="3049B820"/>
    <w:rsid w:val="304B17A1"/>
    <w:rsid w:val="30556909"/>
    <w:rsid w:val="305F43BB"/>
    <w:rsid w:val="30610394"/>
    <w:rsid w:val="3063C9B8"/>
    <w:rsid w:val="30644564"/>
    <w:rsid w:val="3064E73E"/>
    <w:rsid w:val="30751A0B"/>
    <w:rsid w:val="30787562"/>
    <w:rsid w:val="308713A4"/>
    <w:rsid w:val="30914085"/>
    <w:rsid w:val="3095BBAF"/>
    <w:rsid w:val="3097E396"/>
    <w:rsid w:val="3098F3A7"/>
    <w:rsid w:val="309FC3F5"/>
    <w:rsid w:val="30A17953"/>
    <w:rsid w:val="30A1F7E2"/>
    <w:rsid w:val="30A8372C"/>
    <w:rsid w:val="30B17EB1"/>
    <w:rsid w:val="30B18793"/>
    <w:rsid w:val="30B57B15"/>
    <w:rsid w:val="30B653F3"/>
    <w:rsid w:val="30C65B2D"/>
    <w:rsid w:val="30C65B2D"/>
    <w:rsid w:val="30C89AA8"/>
    <w:rsid w:val="30CB52A1"/>
    <w:rsid w:val="30D3DFAC"/>
    <w:rsid w:val="30DE0293"/>
    <w:rsid w:val="30E2D4C6"/>
    <w:rsid w:val="30F154B1"/>
    <w:rsid w:val="30F410E2"/>
    <w:rsid w:val="310351C4"/>
    <w:rsid w:val="3106080D"/>
    <w:rsid w:val="31116484"/>
    <w:rsid w:val="311E384F"/>
    <w:rsid w:val="311F4D10"/>
    <w:rsid w:val="3120E983"/>
    <w:rsid w:val="312813A4"/>
    <w:rsid w:val="3134BDAC"/>
    <w:rsid w:val="313D0A95"/>
    <w:rsid w:val="3141BA74"/>
    <w:rsid w:val="314582F9"/>
    <w:rsid w:val="314DA0C7"/>
    <w:rsid w:val="31570675"/>
    <w:rsid w:val="3160C3D1"/>
    <w:rsid w:val="3167D75E"/>
    <w:rsid w:val="316A3C25"/>
    <w:rsid w:val="316A3C25"/>
    <w:rsid w:val="3172A049"/>
    <w:rsid w:val="317A4673"/>
    <w:rsid w:val="3180BFA2"/>
    <w:rsid w:val="318157C2"/>
    <w:rsid w:val="31828F50"/>
    <w:rsid w:val="318518B7"/>
    <w:rsid w:val="318971A6"/>
    <w:rsid w:val="31995DC1"/>
    <w:rsid w:val="319D8341"/>
    <w:rsid w:val="319FFC97"/>
    <w:rsid w:val="31AD8CC4"/>
    <w:rsid w:val="31AD8CC4"/>
    <w:rsid w:val="31AF6260"/>
    <w:rsid w:val="31BC839B"/>
    <w:rsid w:val="31C34E96"/>
    <w:rsid w:val="31C3D3C9"/>
    <w:rsid w:val="31C8EF58"/>
    <w:rsid w:val="31D1EB51"/>
    <w:rsid w:val="31D4B1F4"/>
    <w:rsid w:val="31D9525A"/>
    <w:rsid w:val="31DA2BCA"/>
    <w:rsid w:val="31E170FC"/>
    <w:rsid w:val="31E3985E"/>
    <w:rsid w:val="31E68C70"/>
    <w:rsid w:val="31EFD997"/>
    <w:rsid w:val="31F10040"/>
    <w:rsid w:val="31F16493"/>
    <w:rsid w:val="31F23C6A"/>
    <w:rsid w:val="3203508E"/>
    <w:rsid w:val="32053AAF"/>
    <w:rsid w:val="32058778"/>
    <w:rsid w:val="32123F15"/>
    <w:rsid w:val="32134180"/>
    <w:rsid w:val="3218378B"/>
    <w:rsid w:val="3220E719"/>
    <w:rsid w:val="3221CD47"/>
    <w:rsid w:val="322242EE"/>
    <w:rsid w:val="3222B3AC"/>
    <w:rsid w:val="32252CBA"/>
    <w:rsid w:val="322543CA"/>
    <w:rsid w:val="32260180"/>
    <w:rsid w:val="3226910C"/>
    <w:rsid w:val="322C53A5"/>
    <w:rsid w:val="322EB03F"/>
    <w:rsid w:val="3237CA33"/>
    <w:rsid w:val="3239F28B"/>
    <w:rsid w:val="323DB7F0"/>
    <w:rsid w:val="3244FD9A"/>
    <w:rsid w:val="325359AB"/>
    <w:rsid w:val="325F8835"/>
    <w:rsid w:val="3266A15D"/>
    <w:rsid w:val="327231BC"/>
    <w:rsid w:val="32738CC5"/>
    <w:rsid w:val="32758946"/>
    <w:rsid w:val="32771E02"/>
    <w:rsid w:val="32829475"/>
    <w:rsid w:val="3283A586"/>
    <w:rsid w:val="3286074A"/>
    <w:rsid w:val="328FD075"/>
    <w:rsid w:val="32A83833"/>
    <w:rsid w:val="32A94BBF"/>
    <w:rsid w:val="32AE0936"/>
    <w:rsid w:val="32B37ABF"/>
    <w:rsid w:val="32C06EEE"/>
    <w:rsid w:val="32C06EEE"/>
    <w:rsid w:val="32E3EA07"/>
    <w:rsid w:val="32E4CA75"/>
    <w:rsid w:val="32E58E28"/>
    <w:rsid w:val="32E68149"/>
    <w:rsid w:val="32EA9CDC"/>
    <w:rsid w:val="32EBEACA"/>
    <w:rsid w:val="32F50F67"/>
    <w:rsid w:val="32FF33C7"/>
    <w:rsid w:val="33265DF8"/>
    <w:rsid w:val="333286AC"/>
    <w:rsid w:val="333C8B31"/>
    <w:rsid w:val="334320B6"/>
    <w:rsid w:val="3347C3D3"/>
    <w:rsid w:val="334D6743"/>
    <w:rsid w:val="33552CE4"/>
    <w:rsid w:val="335531EE"/>
    <w:rsid w:val="3355602C"/>
    <w:rsid w:val="3355EF70"/>
    <w:rsid w:val="3356E135"/>
    <w:rsid w:val="335736CC"/>
    <w:rsid w:val="335F7040"/>
    <w:rsid w:val="33687757"/>
    <w:rsid w:val="33699889"/>
    <w:rsid w:val="336BC922"/>
    <w:rsid w:val="336FA097"/>
    <w:rsid w:val="33762439"/>
    <w:rsid w:val="337B7E24"/>
    <w:rsid w:val="337F2E6F"/>
    <w:rsid w:val="339751F7"/>
    <w:rsid w:val="3397DB4B"/>
    <w:rsid w:val="339FF3EB"/>
    <w:rsid w:val="33A7A985"/>
    <w:rsid w:val="33B9282F"/>
    <w:rsid w:val="33BC30D8"/>
    <w:rsid w:val="33BE0C24"/>
    <w:rsid w:val="33BE0C24"/>
    <w:rsid w:val="33C28426"/>
    <w:rsid w:val="33C287EE"/>
    <w:rsid w:val="33C8B9B1"/>
    <w:rsid w:val="33CA6168"/>
    <w:rsid w:val="33CC01C8"/>
    <w:rsid w:val="33CCE996"/>
    <w:rsid w:val="33CF6975"/>
    <w:rsid w:val="33D2A31B"/>
    <w:rsid w:val="33D61DF4"/>
    <w:rsid w:val="33E3F8C5"/>
    <w:rsid w:val="33E517E3"/>
    <w:rsid w:val="33E517E3"/>
    <w:rsid w:val="33E5667B"/>
    <w:rsid w:val="33EBA790"/>
    <w:rsid w:val="33F0F121"/>
    <w:rsid w:val="33F7D44A"/>
    <w:rsid w:val="3406092E"/>
    <w:rsid w:val="340B57EB"/>
    <w:rsid w:val="3411B46D"/>
    <w:rsid w:val="341417F7"/>
    <w:rsid w:val="34176AB5"/>
    <w:rsid w:val="341ABA87"/>
    <w:rsid w:val="341CDDAA"/>
    <w:rsid w:val="3425D77D"/>
    <w:rsid w:val="34320BBA"/>
    <w:rsid w:val="34397126"/>
    <w:rsid w:val="343FA030"/>
    <w:rsid w:val="3444E781"/>
    <w:rsid w:val="3446DE28"/>
    <w:rsid w:val="344CF814"/>
    <w:rsid w:val="345902A1"/>
    <w:rsid w:val="345FB1AA"/>
    <w:rsid w:val="34618E06"/>
    <w:rsid w:val="346974A2"/>
    <w:rsid w:val="34830C0D"/>
    <w:rsid w:val="34844C17"/>
    <w:rsid w:val="348761AA"/>
    <w:rsid w:val="3489A9F8"/>
    <w:rsid w:val="348A17E7"/>
    <w:rsid w:val="348C2F18"/>
    <w:rsid w:val="3495FF70"/>
    <w:rsid w:val="349DE46A"/>
    <w:rsid w:val="34A382F4"/>
    <w:rsid w:val="34ABABAD"/>
    <w:rsid w:val="34ACE2FB"/>
    <w:rsid w:val="34B8A4E0"/>
    <w:rsid w:val="34C30221"/>
    <w:rsid w:val="34C6371B"/>
    <w:rsid w:val="34C96F20"/>
    <w:rsid w:val="34D3ACBC"/>
    <w:rsid w:val="34D7B4A0"/>
    <w:rsid w:val="34DCFF74"/>
    <w:rsid w:val="34EABF85"/>
    <w:rsid w:val="34EC78DE"/>
    <w:rsid w:val="34EEE5E7"/>
    <w:rsid w:val="34F8BEEF"/>
    <w:rsid w:val="34F91023"/>
    <w:rsid w:val="351F707E"/>
    <w:rsid w:val="352B35DE"/>
    <w:rsid w:val="352EEFF8"/>
    <w:rsid w:val="3530A8ED"/>
    <w:rsid w:val="3533897C"/>
    <w:rsid w:val="353F891F"/>
    <w:rsid w:val="35405693"/>
    <w:rsid w:val="3540CE0B"/>
    <w:rsid w:val="354D60A1"/>
    <w:rsid w:val="35526DE1"/>
    <w:rsid w:val="35591CE4"/>
    <w:rsid w:val="355B5497"/>
    <w:rsid w:val="3563A8EC"/>
    <w:rsid w:val="3570599E"/>
    <w:rsid w:val="35724A87"/>
    <w:rsid w:val="358AD990"/>
    <w:rsid w:val="3590D0AB"/>
    <w:rsid w:val="3593F04E"/>
    <w:rsid w:val="359A95BF"/>
    <w:rsid w:val="35AA7148"/>
    <w:rsid w:val="35B9E7DA"/>
    <w:rsid w:val="35C0BD8F"/>
    <w:rsid w:val="35CDE8A5"/>
    <w:rsid w:val="35D5F115"/>
    <w:rsid w:val="35DE108E"/>
    <w:rsid w:val="35E16729"/>
    <w:rsid w:val="35E85CCC"/>
    <w:rsid w:val="35FAF158"/>
    <w:rsid w:val="35FC803E"/>
    <w:rsid w:val="35FE1E6E"/>
    <w:rsid w:val="3600740E"/>
    <w:rsid w:val="36095DC4"/>
    <w:rsid w:val="36096DDA"/>
    <w:rsid w:val="360BDCE4"/>
    <w:rsid w:val="361C7EBF"/>
    <w:rsid w:val="362796D7"/>
    <w:rsid w:val="362DF274"/>
    <w:rsid w:val="362DF274"/>
    <w:rsid w:val="3630D9E6"/>
    <w:rsid w:val="36317FCD"/>
    <w:rsid w:val="3637A4FC"/>
    <w:rsid w:val="363A8834"/>
    <w:rsid w:val="363B39A3"/>
    <w:rsid w:val="363BDBDE"/>
    <w:rsid w:val="363CA447"/>
    <w:rsid w:val="364B4521"/>
    <w:rsid w:val="364C9213"/>
    <w:rsid w:val="364D98D2"/>
    <w:rsid w:val="364DF534"/>
    <w:rsid w:val="365EB13C"/>
    <w:rsid w:val="36665EB4"/>
    <w:rsid w:val="366F4A7C"/>
    <w:rsid w:val="366FDC69"/>
    <w:rsid w:val="3674DDC5"/>
    <w:rsid w:val="36792B8E"/>
    <w:rsid w:val="367A97B6"/>
    <w:rsid w:val="367E3B5D"/>
    <w:rsid w:val="3681FFDE"/>
    <w:rsid w:val="3699133F"/>
    <w:rsid w:val="369BB92B"/>
    <w:rsid w:val="36A119C4"/>
    <w:rsid w:val="36A17485"/>
    <w:rsid w:val="36A2D08F"/>
    <w:rsid w:val="36A9F6E7"/>
    <w:rsid w:val="36AB2D6A"/>
    <w:rsid w:val="36B76A7B"/>
    <w:rsid w:val="36C043E3"/>
    <w:rsid w:val="36C8418D"/>
    <w:rsid w:val="36CC0CC3"/>
    <w:rsid w:val="36CC52D5"/>
    <w:rsid w:val="36CC52D5"/>
    <w:rsid w:val="36D6BF5A"/>
    <w:rsid w:val="36DA072A"/>
    <w:rsid w:val="36DE92D7"/>
    <w:rsid w:val="36ECF692"/>
    <w:rsid w:val="36EEF29B"/>
    <w:rsid w:val="36F7B0CF"/>
    <w:rsid w:val="36FCEC6F"/>
    <w:rsid w:val="370567AC"/>
    <w:rsid w:val="3707FEE7"/>
    <w:rsid w:val="370FFBC8"/>
    <w:rsid w:val="3713D214"/>
    <w:rsid w:val="3717422B"/>
    <w:rsid w:val="371D2DEA"/>
    <w:rsid w:val="371E2574"/>
    <w:rsid w:val="37230AB1"/>
    <w:rsid w:val="37231FBD"/>
    <w:rsid w:val="37235452"/>
    <w:rsid w:val="372604D9"/>
    <w:rsid w:val="373CBC05"/>
    <w:rsid w:val="373D0C15"/>
    <w:rsid w:val="373F3726"/>
    <w:rsid w:val="37478E3C"/>
    <w:rsid w:val="374864D0"/>
    <w:rsid w:val="374BA0E1"/>
    <w:rsid w:val="374DAC79"/>
    <w:rsid w:val="375BB6B8"/>
    <w:rsid w:val="375C155A"/>
    <w:rsid w:val="376AA618"/>
    <w:rsid w:val="376BF456"/>
    <w:rsid w:val="376D3BF1"/>
    <w:rsid w:val="376EB421"/>
    <w:rsid w:val="377DC720"/>
    <w:rsid w:val="3789E3BB"/>
    <w:rsid w:val="3791C720"/>
    <w:rsid w:val="3797D358"/>
    <w:rsid w:val="37A0052D"/>
    <w:rsid w:val="37AE0B0E"/>
    <w:rsid w:val="37B83135"/>
    <w:rsid w:val="37B8ED0F"/>
    <w:rsid w:val="37B944C6"/>
    <w:rsid w:val="37BA11F0"/>
    <w:rsid w:val="37BB715C"/>
    <w:rsid w:val="37BD77A7"/>
    <w:rsid w:val="37C79630"/>
    <w:rsid w:val="37C9CE57"/>
    <w:rsid w:val="37CE938D"/>
    <w:rsid w:val="37D5D3E5"/>
    <w:rsid w:val="37DA414C"/>
    <w:rsid w:val="37F09B24"/>
    <w:rsid w:val="37F37B34"/>
    <w:rsid w:val="38075BE5"/>
    <w:rsid w:val="38094415"/>
    <w:rsid w:val="380A7970"/>
    <w:rsid w:val="380EFC13"/>
    <w:rsid w:val="3818513D"/>
    <w:rsid w:val="381CA6E2"/>
    <w:rsid w:val="38238D01"/>
    <w:rsid w:val="3824F8D5"/>
    <w:rsid w:val="3827659B"/>
    <w:rsid w:val="3829AC5E"/>
    <w:rsid w:val="38315F3F"/>
    <w:rsid w:val="383C7342"/>
    <w:rsid w:val="384133DE"/>
    <w:rsid w:val="3864F351"/>
    <w:rsid w:val="38677C92"/>
    <w:rsid w:val="38727183"/>
    <w:rsid w:val="387ACF64"/>
    <w:rsid w:val="3887797C"/>
    <w:rsid w:val="38888EC9"/>
    <w:rsid w:val="388AC30F"/>
    <w:rsid w:val="3893F521"/>
    <w:rsid w:val="3899325D"/>
    <w:rsid w:val="389BAD4B"/>
    <w:rsid w:val="389D75BA"/>
    <w:rsid w:val="38A3D848"/>
    <w:rsid w:val="38AC21A6"/>
    <w:rsid w:val="38AE25AD"/>
    <w:rsid w:val="38B0E331"/>
    <w:rsid w:val="38BE681B"/>
    <w:rsid w:val="38C5C2A2"/>
    <w:rsid w:val="38C5C86A"/>
    <w:rsid w:val="38D148EA"/>
    <w:rsid w:val="38D273A4"/>
    <w:rsid w:val="38D693EA"/>
    <w:rsid w:val="38D8C6DF"/>
    <w:rsid w:val="38DAB685"/>
    <w:rsid w:val="38F1C28A"/>
    <w:rsid w:val="38F2C898"/>
    <w:rsid w:val="38F6C746"/>
    <w:rsid w:val="38F6F399"/>
    <w:rsid w:val="38FED17F"/>
    <w:rsid w:val="39037A74"/>
    <w:rsid w:val="39044346"/>
    <w:rsid w:val="39044346"/>
    <w:rsid w:val="390628D1"/>
    <w:rsid w:val="3914B933"/>
    <w:rsid w:val="39187548"/>
    <w:rsid w:val="391DD0B1"/>
    <w:rsid w:val="3929EFAB"/>
    <w:rsid w:val="392D7823"/>
    <w:rsid w:val="392EE011"/>
    <w:rsid w:val="39305697"/>
    <w:rsid w:val="3939AEBD"/>
    <w:rsid w:val="39666C6C"/>
    <w:rsid w:val="39666C6C"/>
    <w:rsid w:val="39723382"/>
    <w:rsid w:val="3974BA0C"/>
    <w:rsid w:val="39751908"/>
    <w:rsid w:val="3978155D"/>
    <w:rsid w:val="3988854E"/>
    <w:rsid w:val="39888C50"/>
    <w:rsid w:val="39912BBF"/>
    <w:rsid w:val="39978D41"/>
    <w:rsid w:val="399B6703"/>
    <w:rsid w:val="399D8836"/>
    <w:rsid w:val="39A329A2"/>
    <w:rsid w:val="39AAE617"/>
    <w:rsid w:val="39ADABA8"/>
    <w:rsid w:val="39B02FC6"/>
    <w:rsid w:val="39B5DA93"/>
    <w:rsid w:val="39B86F61"/>
    <w:rsid w:val="39C14483"/>
    <w:rsid w:val="39C68535"/>
    <w:rsid w:val="39C81A04"/>
    <w:rsid w:val="39C87AFA"/>
    <w:rsid w:val="39C93825"/>
    <w:rsid w:val="39DCB84F"/>
    <w:rsid w:val="39E4D555"/>
    <w:rsid w:val="39EB3FBA"/>
    <w:rsid w:val="39EB4199"/>
    <w:rsid w:val="39EB4F05"/>
    <w:rsid w:val="39EBAE23"/>
    <w:rsid w:val="3A009534"/>
    <w:rsid w:val="3A089623"/>
    <w:rsid w:val="3A0B9CE0"/>
    <w:rsid w:val="3A0DAFCB"/>
    <w:rsid w:val="3A1178C4"/>
    <w:rsid w:val="3A122A39"/>
    <w:rsid w:val="3A1AFCE7"/>
    <w:rsid w:val="3A20B692"/>
    <w:rsid w:val="3A2E038C"/>
    <w:rsid w:val="3A2F7CB3"/>
    <w:rsid w:val="3A4581D2"/>
    <w:rsid w:val="3A46EDCA"/>
    <w:rsid w:val="3A4A4532"/>
    <w:rsid w:val="3A558476"/>
    <w:rsid w:val="3A55D635"/>
    <w:rsid w:val="3A5DBCE2"/>
    <w:rsid w:val="3A640BD3"/>
    <w:rsid w:val="3A653694"/>
    <w:rsid w:val="3A803394"/>
    <w:rsid w:val="3A8DB1F5"/>
    <w:rsid w:val="3A8FFD5B"/>
    <w:rsid w:val="3A90AAFB"/>
    <w:rsid w:val="3A928C0D"/>
    <w:rsid w:val="3A954447"/>
    <w:rsid w:val="3A9911F6"/>
    <w:rsid w:val="3A9A3F6E"/>
    <w:rsid w:val="3A9C1D2D"/>
    <w:rsid w:val="3A9F8C8A"/>
    <w:rsid w:val="3AAE07E1"/>
    <w:rsid w:val="3AAEE4AC"/>
    <w:rsid w:val="3AB4CD06"/>
    <w:rsid w:val="3AB76C42"/>
    <w:rsid w:val="3ABC8F03"/>
    <w:rsid w:val="3ABF88A8"/>
    <w:rsid w:val="3AC11BCA"/>
    <w:rsid w:val="3AC2D394"/>
    <w:rsid w:val="3AD93DB6"/>
    <w:rsid w:val="3AD93DB6"/>
    <w:rsid w:val="3ADA9D3A"/>
    <w:rsid w:val="3ADEE25C"/>
    <w:rsid w:val="3ADF8D30"/>
    <w:rsid w:val="3AEE4289"/>
    <w:rsid w:val="3AF35A44"/>
    <w:rsid w:val="3AFABEB4"/>
    <w:rsid w:val="3AFFDD54"/>
    <w:rsid w:val="3B001C10"/>
    <w:rsid w:val="3B0EA03A"/>
    <w:rsid w:val="3B13559C"/>
    <w:rsid w:val="3B16C509"/>
    <w:rsid w:val="3B183551"/>
    <w:rsid w:val="3B18DFA3"/>
    <w:rsid w:val="3B1B266B"/>
    <w:rsid w:val="3B1B4CE8"/>
    <w:rsid w:val="3B2366FA"/>
    <w:rsid w:val="3B2E04F0"/>
    <w:rsid w:val="3B2E63DF"/>
    <w:rsid w:val="3B2F21C2"/>
    <w:rsid w:val="3B39EDD1"/>
    <w:rsid w:val="3B3AF1B8"/>
    <w:rsid w:val="3B410775"/>
    <w:rsid w:val="3B45559E"/>
    <w:rsid w:val="3B4E35FF"/>
    <w:rsid w:val="3B530684"/>
    <w:rsid w:val="3B56A8E3"/>
    <w:rsid w:val="3B6453CD"/>
    <w:rsid w:val="3B700C41"/>
    <w:rsid w:val="3B7AA6DC"/>
    <w:rsid w:val="3B82DA8F"/>
    <w:rsid w:val="3B9B0633"/>
    <w:rsid w:val="3BA1D01D"/>
    <w:rsid w:val="3BA6D19E"/>
    <w:rsid w:val="3BAA5057"/>
    <w:rsid w:val="3BAF3D20"/>
    <w:rsid w:val="3BBE6C02"/>
    <w:rsid w:val="3BC4F18C"/>
    <w:rsid w:val="3BC52F21"/>
    <w:rsid w:val="3BC5EB7F"/>
    <w:rsid w:val="3BC86E89"/>
    <w:rsid w:val="3BD23571"/>
    <w:rsid w:val="3BD830EF"/>
    <w:rsid w:val="3BD8AECF"/>
    <w:rsid w:val="3BDA78A5"/>
    <w:rsid w:val="3BEDA3F0"/>
    <w:rsid w:val="3C042C7A"/>
    <w:rsid w:val="3C0C6C10"/>
    <w:rsid w:val="3C0F13B9"/>
    <w:rsid w:val="3C1C99A6"/>
    <w:rsid w:val="3C1FA404"/>
    <w:rsid w:val="3C2A27F5"/>
    <w:rsid w:val="3C3CCEFF"/>
    <w:rsid w:val="3C3F500F"/>
    <w:rsid w:val="3C407A59"/>
    <w:rsid w:val="3C4FC5EB"/>
    <w:rsid w:val="3C518514"/>
    <w:rsid w:val="3C60AEA8"/>
    <w:rsid w:val="3C68AC5A"/>
    <w:rsid w:val="3C6BA8DF"/>
    <w:rsid w:val="3C6BB8CC"/>
    <w:rsid w:val="3C80D55A"/>
    <w:rsid w:val="3C84FF40"/>
    <w:rsid w:val="3C91D4D5"/>
    <w:rsid w:val="3C9302FE"/>
    <w:rsid w:val="3C971907"/>
    <w:rsid w:val="3C9C71C1"/>
    <w:rsid w:val="3CA5E345"/>
    <w:rsid w:val="3CA67500"/>
    <w:rsid w:val="3CA7E952"/>
    <w:rsid w:val="3CB1FE2C"/>
    <w:rsid w:val="3CB515E1"/>
    <w:rsid w:val="3CB745D2"/>
    <w:rsid w:val="3CBB7BF7"/>
    <w:rsid w:val="3CC1EA25"/>
    <w:rsid w:val="3CC616CD"/>
    <w:rsid w:val="3CC75773"/>
    <w:rsid w:val="3CC77405"/>
    <w:rsid w:val="3CCE64F6"/>
    <w:rsid w:val="3CD6FFF8"/>
    <w:rsid w:val="3CD752A3"/>
    <w:rsid w:val="3CE26E56"/>
    <w:rsid w:val="3CE56283"/>
    <w:rsid w:val="3CEB75A7"/>
    <w:rsid w:val="3CF0EE98"/>
    <w:rsid w:val="3CF85473"/>
    <w:rsid w:val="3CF85860"/>
    <w:rsid w:val="3D01534D"/>
    <w:rsid w:val="3D050E58"/>
    <w:rsid w:val="3D0DEACE"/>
    <w:rsid w:val="3D137A12"/>
    <w:rsid w:val="3D166AAD"/>
    <w:rsid w:val="3D179A63"/>
    <w:rsid w:val="3D1F1B91"/>
    <w:rsid w:val="3D22ABF9"/>
    <w:rsid w:val="3D243BB5"/>
    <w:rsid w:val="3D342996"/>
    <w:rsid w:val="3D3AE588"/>
    <w:rsid w:val="3D410E0E"/>
    <w:rsid w:val="3D4818FF"/>
    <w:rsid w:val="3D517DF0"/>
    <w:rsid w:val="3D6CD0F7"/>
    <w:rsid w:val="3D6E899A"/>
    <w:rsid w:val="3D6E9F53"/>
    <w:rsid w:val="3D6F12DE"/>
    <w:rsid w:val="3D725E53"/>
    <w:rsid w:val="3D74AE01"/>
    <w:rsid w:val="3D7A26B0"/>
    <w:rsid w:val="3D95DE8B"/>
    <w:rsid w:val="3D98795B"/>
    <w:rsid w:val="3DB15553"/>
    <w:rsid w:val="3DB6F852"/>
    <w:rsid w:val="3DB837F1"/>
    <w:rsid w:val="3DBC8CE2"/>
    <w:rsid w:val="3DBC8CE2"/>
    <w:rsid w:val="3DBD87C5"/>
    <w:rsid w:val="3DC57F4D"/>
    <w:rsid w:val="3DCD90EF"/>
    <w:rsid w:val="3DD0557D"/>
    <w:rsid w:val="3DD1B8C6"/>
    <w:rsid w:val="3DD85580"/>
    <w:rsid w:val="3DDA669D"/>
    <w:rsid w:val="3DE455E1"/>
    <w:rsid w:val="3DE823E5"/>
    <w:rsid w:val="3DFD33F6"/>
    <w:rsid w:val="3E00B693"/>
    <w:rsid w:val="3E00EAFB"/>
    <w:rsid w:val="3E04A574"/>
    <w:rsid w:val="3E1AF446"/>
    <w:rsid w:val="3E1ED6B0"/>
    <w:rsid w:val="3E376760"/>
    <w:rsid w:val="3E37CFBD"/>
    <w:rsid w:val="3E3F4BC2"/>
    <w:rsid w:val="3E420894"/>
    <w:rsid w:val="3E466FF4"/>
    <w:rsid w:val="3E4EAFD1"/>
    <w:rsid w:val="3E51B1E6"/>
    <w:rsid w:val="3E57992F"/>
    <w:rsid w:val="3E6007BE"/>
    <w:rsid w:val="3E620A89"/>
    <w:rsid w:val="3E62FB3E"/>
    <w:rsid w:val="3E65D33A"/>
    <w:rsid w:val="3E6A0F0B"/>
    <w:rsid w:val="3E6D448A"/>
    <w:rsid w:val="3E73B1B5"/>
    <w:rsid w:val="3E7F448C"/>
    <w:rsid w:val="3E80B466"/>
    <w:rsid w:val="3E86BF8F"/>
    <w:rsid w:val="3E944BA8"/>
    <w:rsid w:val="3E95CD66"/>
    <w:rsid w:val="3E9D02E5"/>
    <w:rsid w:val="3EB92EC1"/>
    <w:rsid w:val="3EBE1944"/>
    <w:rsid w:val="3ECB9DB1"/>
    <w:rsid w:val="3ED34707"/>
    <w:rsid w:val="3ED9ABAD"/>
    <w:rsid w:val="3EDA542A"/>
    <w:rsid w:val="3EE1CA45"/>
    <w:rsid w:val="3EE374EC"/>
    <w:rsid w:val="3EE5C76A"/>
    <w:rsid w:val="3EE87927"/>
    <w:rsid w:val="3EE881E9"/>
    <w:rsid w:val="3EEDBBCA"/>
    <w:rsid w:val="3EF139F3"/>
    <w:rsid w:val="3EFCFD53"/>
    <w:rsid w:val="3F100CE8"/>
    <w:rsid w:val="3F1331B6"/>
    <w:rsid w:val="3F16A948"/>
    <w:rsid w:val="3F19041E"/>
    <w:rsid w:val="3F1B0BFA"/>
    <w:rsid w:val="3F294990"/>
    <w:rsid w:val="3F3D9E15"/>
    <w:rsid w:val="3F3DE18D"/>
    <w:rsid w:val="3F3EABFB"/>
    <w:rsid w:val="3F43543D"/>
    <w:rsid w:val="3F4D1657"/>
    <w:rsid w:val="3F4D353D"/>
    <w:rsid w:val="3F4DA286"/>
    <w:rsid w:val="3F4EAF7D"/>
    <w:rsid w:val="3F509BEB"/>
    <w:rsid w:val="3F50F2A2"/>
    <w:rsid w:val="3F59757D"/>
    <w:rsid w:val="3F5BE076"/>
    <w:rsid w:val="3F656C71"/>
    <w:rsid w:val="3F664748"/>
    <w:rsid w:val="3F66A6F7"/>
    <w:rsid w:val="3F6864D1"/>
    <w:rsid w:val="3F6E03B1"/>
    <w:rsid w:val="3F6EC460"/>
    <w:rsid w:val="3F76018B"/>
    <w:rsid w:val="3F76EFC2"/>
    <w:rsid w:val="3F792EF4"/>
    <w:rsid w:val="3F7DDF9D"/>
    <w:rsid w:val="3F83F0D3"/>
    <w:rsid w:val="3F85EB57"/>
    <w:rsid w:val="3F879966"/>
    <w:rsid w:val="3F8B5DE3"/>
    <w:rsid w:val="3F8E846B"/>
    <w:rsid w:val="3F8FD630"/>
    <w:rsid w:val="3F98419C"/>
    <w:rsid w:val="3F9F46D2"/>
    <w:rsid w:val="3FA3EBC6"/>
    <w:rsid w:val="3FA952A9"/>
    <w:rsid w:val="3FAE4C2B"/>
    <w:rsid w:val="3FAE7397"/>
    <w:rsid w:val="3FAF3EB6"/>
    <w:rsid w:val="3FB04378"/>
    <w:rsid w:val="3FB1F6C7"/>
    <w:rsid w:val="3FB412C4"/>
    <w:rsid w:val="3FD8D25B"/>
    <w:rsid w:val="3FDD4BA0"/>
    <w:rsid w:val="3FDD903E"/>
    <w:rsid w:val="3FE167AF"/>
    <w:rsid w:val="3FE90ACB"/>
    <w:rsid w:val="3FEE1B51"/>
    <w:rsid w:val="3FF63AA2"/>
    <w:rsid w:val="3FFFDC55"/>
    <w:rsid w:val="4002F3E2"/>
    <w:rsid w:val="400CAF64"/>
    <w:rsid w:val="40108DD1"/>
    <w:rsid w:val="40113548"/>
    <w:rsid w:val="401D2990"/>
    <w:rsid w:val="401E8537"/>
    <w:rsid w:val="402661D0"/>
    <w:rsid w:val="402DA97F"/>
    <w:rsid w:val="4049792A"/>
    <w:rsid w:val="404D18CE"/>
    <w:rsid w:val="404D322A"/>
    <w:rsid w:val="4059FDFB"/>
    <w:rsid w:val="4065FC36"/>
    <w:rsid w:val="406F3824"/>
    <w:rsid w:val="407CF96A"/>
    <w:rsid w:val="40806A77"/>
    <w:rsid w:val="4083D008"/>
    <w:rsid w:val="4087E455"/>
    <w:rsid w:val="408B6F09"/>
    <w:rsid w:val="408C3529"/>
    <w:rsid w:val="40913710"/>
    <w:rsid w:val="409AA265"/>
    <w:rsid w:val="409BCC79"/>
    <w:rsid w:val="40A5B13A"/>
    <w:rsid w:val="40A6F93B"/>
    <w:rsid w:val="40ADD0E9"/>
    <w:rsid w:val="40B3585B"/>
    <w:rsid w:val="40B4653F"/>
    <w:rsid w:val="40B82C77"/>
    <w:rsid w:val="40BFC257"/>
    <w:rsid w:val="40C179EC"/>
    <w:rsid w:val="40CA8602"/>
    <w:rsid w:val="40D2DC96"/>
    <w:rsid w:val="40DBCB1C"/>
    <w:rsid w:val="40DF7414"/>
    <w:rsid w:val="40E47FFC"/>
    <w:rsid w:val="40EEC41D"/>
    <w:rsid w:val="40EF9F3F"/>
    <w:rsid w:val="40F04A29"/>
    <w:rsid w:val="40F7C778"/>
    <w:rsid w:val="40F7C778"/>
    <w:rsid w:val="40FDB38C"/>
    <w:rsid w:val="4113669D"/>
    <w:rsid w:val="4115343E"/>
    <w:rsid w:val="4115FF4F"/>
    <w:rsid w:val="411EF73C"/>
    <w:rsid w:val="4122913D"/>
    <w:rsid w:val="4124DC50"/>
    <w:rsid w:val="41272E79"/>
    <w:rsid w:val="41277E7C"/>
    <w:rsid w:val="4127EC85"/>
    <w:rsid w:val="41317F54"/>
    <w:rsid w:val="41383D14"/>
    <w:rsid w:val="413A1D7A"/>
    <w:rsid w:val="413C45F4"/>
    <w:rsid w:val="414754A0"/>
    <w:rsid w:val="4148F8D4"/>
    <w:rsid w:val="414CD680"/>
    <w:rsid w:val="414FF79C"/>
    <w:rsid w:val="4154FB75"/>
    <w:rsid w:val="415A4FA4"/>
    <w:rsid w:val="415AD0EB"/>
    <w:rsid w:val="415C3DFB"/>
    <w:rsid w:val="415DBAF7"/>
    <w:rsid w:val="416B4AC9"/>
    <w:rsid w:val="416D1C0C"/>
    <w:rsid w:val="417083AF"/>
    <w:rsid w:val="41895520"/>
    <w:rsid w:val="418E8106"/>
    <w:rsid w:val="41A9ACBB"/>
    <w:rsid w:val="41AEDB59"/>
    <w:rsid w:val="41B64B0B"/>
    <w:rsid w:val="41D4167A"/>
    <w:rsid w:val="41D88AA9"/>
    <w:rsid w:val="41D8B321"/>
    <w:rsid w:val="41D8F452"/>
    <w:rsid w:val="41E98A27"/>
    <w:rsid w:val="41EB25EF"/>
    <w:rsid w:val="41EB5AE2"/>
    <w:rsid w:val="41EC09E7"/>
    <w:rsid w:val="41EC9FC4"/>
    <w:rsid w:val="41F34F04"/>
    <w:rsid w:val="41F69FEF"/>
    <w:rsid w:val="41FFABEC"/>
    <w:rsid w:val="421ECEAB"/>
    <w:rsid w:val="42270B58"/>
    <w:rsid w:val="422C1154"/>
    <w:rsid w:val="422C41D9"/>
    <w:rsid w:val="4231C0A7"/>
    <w:rsid w:val="4235D417"/>
    <w:rsid w:val="42402DE7"/>
    <w:rsid w:val="42408E69"/>
    <w:rsid w:val="42419CAC"/>
    <w:rsid w:val="424247F6"/>
    <w:rsid w:val="4243651E"/>
    <w:rsid w:val="4257AFD5"/>
    <w:rsid w:val="4262BC48"/>
    <w:rsid w:val="4262F323"/>
    <w:rsid w:val="426A28F5"/>
    <w:rsid w:val="4270B79E"/>
    <w:rsid w:val="4274F5FA"/>
    <w:rsid w:val="427C12AD"/>
    <w:rsid w:val="4281FAAE"/>
    <w:rsid w:val="4286568D"/>
    <w:rsid w:val="42915C3F"/>
    <w:rsid w:val="429C7D68"/>
    <w:rsid w:val="42AAD014"/>
    <w:rsid w:val="42AD30C1"/>
    <w:rsid w:val="42B112CF"/>
    <w:rsid w:val="42B48B4F"/>
    <w:rsid w:val="42B5FC36"/>
    <w:rsid w:val="42B9CF65"/>
    <w:rsid w:val="42B9CF65"/>
    <w:rsid w:val="42BE2A76"/>
    <w:rsid w:val="42C0BA58"/>
    <w:rsid w:val="42D038FF"/>
    <w:rsid w:val="42D71685"/>
    <w:rsid w:val="42D9BE9A"/>
    <w:rsid w:val="42E4A69E"/>
    <w:rsid w:val="42E6E6C9"/>
    <w:rsid w:val="42F5DE9D"/>
    <w:rsid w:val="42FB2E2F"/>
    <w:rsid w:val="4304F4C9"/>
    <w:rsid w:val="431661A5"/>
    <w:rsid w:val="431BBDCC"/>
    <w:rsid w:val="432E45E3"/>
    <w:rsid w:val="4337E2E4"/>
    <w:rsid w:val="43471678"/>
    <w:rsid w:val="43483B74"/>
    <w:rsid w:val="43487C6D"/>
    <w:rsid w:val="43487C6D"/>
    <w:rsid w:val="434F684B"/>
    <w:rsid w:val="435FEB58"/>
    <w:rsid w:val="435FEB58"/>
    <w:rsid w:val="43603824"/>
    <w:rsid w:val="436D311C"/>
    <w:rsid w:val="436D694E"/>
    <w:rsid w:val="4371E221"/>
    <w:rsid w:val="4375DCB2"/>
    <w:rsid w:val="4379DADC"/>
    <w:rsid w:val="437B94D7"/>
    <w:rsid w:val="438BB19A"/>
    <w:rsid w:val="438BED22"/>
    <w:rsid w:val="438C5A60"/>
    <w:rsid w:val="438EC437"/>
    <w:rsid w:val="439A7C0A"/>
    <w:rsid w:val="43A13760"/>
    <w:rsid w:val="43A57B7D"/>
    <w:rsid w:val="43AB7119"/>
    <w:rsid w:val="43AC64BA"/>
    <w:rsid w:val="43B00A05"/>
    <w:rsid w:val="43B23A9B"/>
    <w:rsid w:val="43B52E45"/>
    <w:rsid w:val="43B713BA"/>
    <w:rsid w:val="43BCF58C"/>
    <w:rsid w:val="43C0C909"/>
    <w:rsid w:val="43C5D6B7"/>
    <w:rsid w:val="43C7C1B5"/>
    <w:rsid w:val="43D34C7D"/>
    <w:rsid w:val="43D6C48F"/>
    <w:rsid w:val="43DC34C1"/>
    <w:rsid w:val="43DCBEAC"/>
    <w:rsid w:val="43F34FE9"/>
    <w:rsid w:val="44006DF0"/>
    <w:rsid w:val="44016278"/>
    <w:rsid w:val="4411374A"/>
    <w:rsid w:val="4412222B"/>
    <w:rsid w:val="44129575"/>
    <w:rsid w:val="44233DEE"/>
    <w:rsid w:val="442C137A"/>
    <w:rsid w:val="44322222"/>
    <w:rsid w:val="4436CCF9"/>
    <w:rsid w:val="443BB873"/>
    <w:rsid w:val="4440DA4F"/>
    <w:rsid w:val="4452609A"/>
    <w:rsid w:val="4454EEDD"/>
    <w:rsid w:val="4457EB31"/>
    <w:rsid w:val="445888B6"/>
    <w:rsid w:val="445C91C4"/>
    <w:rsid w:val="445E5562"/>
    <w:rsid w:val="446EF3D7"/>
    <w:rsid w:val="44716BA0"/>
    <w:rsid w:val="44771051"/>
    <w:rsid w:val="4479E8CA"/>
    <w:rsid w:val="448202E6"/>
    <w:rsid w:val="44951E4D"/>
    <w:rsid w:val="449C5BBE"/>
    <w:rsid w:val="449FBF65"/>
    <w:rsid w:val="449FDB5B"/>
    <w:rsid w:val="44A2975C"/>
    <w:rsid w:val="44A2975C"/>
    <w:rsid w:val="44A626B0"/>
    <w:rsid w:val="44A717EC"/>
    <w:rsid w:val="44ABC7D3"/>
    <w:rsid w:val="44AC0E6B"/>
    <w:rsid w:val="44B30D97"/>
    <w:rsid w:val="44B48609"/>
    <w:rsid w:val="44B49C20"/>
    <w:rsid w:val="44BCE670"/>
    <w:rsid w:val="44BE2A8F"/>
    <w:rsid w:val="44CA5BDF"/>
    <w:rsid w:val="44D39972"/>
    <w:rsid w:val="44D48CD6"/>
    <w:rsid w:val="44D667F7"/>
    <w:rsid w:val="44D96ED4"/>
    <w:rsid w:val="44DE0A7E"/>
    <w:rsid w:val="44E56135"/>
    <w:rsid w:val="44E640B9"/>
    <w:rsid w:val="44E67164"/>
    <w:rsid w:val="44EF9214"/>
    <w:rsid w:val="44FAB40F"/>
    <w:rsid w:val="45037778"/>
    <w:rsid w:val="450B50F1"/>
    <w:rsid w:val="450CA784"/>
    <w:rsid w:val="45158943"/>
    <w:rsid w:val="4519FC3C"/>
    <w:rsid w:val="451AF618"/>
    <w:rsid w:val="451B9DAC"/>
    <w:rsid w:val="451C58A0"/>
    <w:rsid w:val="453507D7"/>
    <w:rsid w:val="45362533"/>
    <w:rsid w:val="4542D8C1"/>
    <w:rsid w:val="4547FB7B"/>
    <w:rsid w:val="4554CD2C"/>
    <w:rsid w:val="456227EB"/>
    <w:rsid w:val="4563BE08"/>
    <w:rsid w:val="45660053"/>
    <w:rsid w:val="4567FF88"/>
    <w:rsid w:val="45704E95"/>
    <w:rsid w:val="457CB350"/>
    <w:rsid w:val="45908F84"/>
    <w:rsid w:val="459381FD"/>
    <w:rsid w:val="4599AE2E"/>
    <w:rsid w:val="45A745D7"/>
    <w:rsid w:val="45B0F727"/>
    <w:rsid w:val="45B31E41"/>
    <w:rsid w:val="45B6F97D"/>
    <w:rsid w:val="45B870AA"/>
    <w:rsid w:val="45BE497A"/>
    <w:rsid w:val="45C59423"/>
    <w:rsid w:val="45C6A866"/>
    <w:rsid w:val="45CDC3D7"/>
    <w:rsid w:val="45DBE5F0"/>
    <w:rsid w:val="45DE8FF0"/>
    <w:rsid w:val="45E246E1"/>
    <w:rsid w:val="45EAF6CD"/>
    <w:rsid w:val="45F2DA47"/>
    <w:rsid w:val="45F33D56"/>
    <w:rsid w:val="45F925FC"/>
    <w:rsid w:val="45F961E2"/>
    <w:rsid w:val="45F9C9FF"/>
    <w:rsid w:val="46000A1E"/>
    <w:rsid w:val="460D5355"/>
    <w:rsid w:val="460D77C2"/>
    <w:rsid w:val="46144503"/>
    <w:rsid w:val="461586B3"/>
    <w:rsid w:val="4620300D"/>
    <w:rsid w:val="4622056E"/>
    <w:rsid w:val="462818BF"/>
    <w:rsid w:val="46374507"/>
    <w:rsid w:val="463C033B"/>
    <w:rsid w:val="464112E9"/>
    <w:rsid w:val="4649A726"/>
    <w:rsid w:val="4652A9CA"/>
    <w:rsid w:val="4658A579"/>
    <w:rsid w:val="465B8CF3"/>
    <w:rsid w:val="465DF2B2"/>
    <w:rsid w:val="4663CB95"/>
    <w:rsid w:val="46672C1A"/>
    <w:rsid w:val="4667CE6F"/>
    <w:rsid w:val="466E32F5"/>
    <w:rsid w:val="466F6526"/>
    <w:rsid w:val="46700234"/>
    <w:rsid w:val="4674B8A9"/>
    <w:rsid w:val="468A932F"/>
    <w:rsid w:val="4696E2DF"/>
    <w:rsid w:val="469DD54F"/>
    <w:rsid w:val="46A062E0"/>
    <w:rsid w:val="46A0CADB"/>
    <w:rsid w:val="46A4244E"/>
    <w:rsid w:val="46A69A97"/>
    <w:rsid w:val="46B0DD9D"/>
    <w:rsid w:val="46B362E9"/>
    <w:rsid w:val="46BCA559"/>
    <w:rsid w:val="46C7F82C"/>
    <w:rsid w:val="46CC1E01"/>
    <w:rsid w:val="46D59503"/>
    <w:rsid w:val="46D86E87"/>
    <w:rsid w:val="46E4E0CA"/>
    <w:rsid w:val="46EAEE95"/>
    <w:rsid w:val="46EB0BB1"/>
    <w:rsid w:val="46F5E3B0"/>
    <w:rsid w:val="46F9375C"/>
    <w:rsid w:val="47062CED"/>
    <w:rsid w:val="47099530"/>
    <w:rsid w:val="4719917F"/>
    <w:rsid w:val="471E9774"/>
    <w:rsid w:val="4721070A"/>
    <w:rsid w:val="4721B76E"/>
    <w:rsid w:val="4723E1AC"/>
    <w:rsid w:val="472838BC"/>
    <w:rsid w:val="472B2037"/>
    <w:rsid w:val="472F09B4"/>
    <w:rsid w:val="472F79D1"/>
    <w:rsid w:val="473259C8"/>
    <w:rsid w:val="4732F196"/>
    <w:rsid w:val="473F491A"/>
    <w:rsid w:val="474306A5"/>
    <w:rsid w:val="474B35D5"/>
    <w:rsid w:val="474C3092"/>
    <w:rsid w:val="474F1B43"/>
    <w:rsid w:val="475D2884"/>
    <w:rsid w:val="475FFD35"/>
    <w:rsid w:val="4760A7DC"/>
    <w:rsid w:val="47611A94"/>
    <w:rsid w:val="476EACC9"/>
    <w:rsid w:val="4779C1D1"/>
    <w:rsid w:val="477A971E"/>
    <w:rsid w:val="477ADC64"/>
    <w:rsid w:val="47859815"/>
    <w:rsid w:val="4798C59C"/>
    <w:rsid w:val="479F2EE7"/>
    <w:rsid w:val="47A9F0C4"/>
    <w:rsid w:val="47AD7C9F"/>
    <w:rsid w:val="47C0008E"/>
    <w:rsid w:val="47C405BE"/>
    <w:rsid w:val="47CA6ED6"/>
    <w:rsid w:val="47CAC9EE"/>
    <w:rsid w:val="47CAF0B2"/>
    <w:rsid w:val="47D39425"/>
    <w:rsid w:val="47D3BC25"/>
    <w:rsid w:val="47D3E4F5"/>
    <w:rsid w:val="47D487F1"/>
    <w:rsid w:val="47D4FD7E"/>
    <w:rsid w:val="47D8E44B"/>
    <w:rsid w:val="47DE522C"/>
    <w:rsid w:val="47EBA562"/>
    <w:rsid w:val="47EF4041"/>
    <w:rsid w:val="47F84C75"/>
    <w:rsid w:val="47FCA5D0"/>
    <w:rsid w:val="47FFD5B3"/>
    <w:rsid w:val="48011701"/>
    <w:rsid w:val="4803617D"/>
    <w:rsid w:val="4808CB07"/>
    <w:rsid w:val="4809B928"/>
    <w:rsid w:val="480A0CFB"/>
    <w:rsid w:val="480D2AFE"/>
    <w:rsid w:val="4811B784"/>
    <w:rsid w:val="4814A2E2"/>
    <w:rsid w:val="48250222"/>
    <w:rsid w:val="4825A44F"/>
    <w:rsid w:val="482681D4"/>
    <w:rsid w:val="4826C22E"/>
    <w:rsid w:val="483000C4"/>
    <w:rsid w:val="4830A8E4"/>
    <w:rsid w:val="48403817"/>
    <w:rsid w:val="484322AA"/>
    <w:rsid w:val="484413FF"/>
    <w:rsid w:val="48466076"/>
    <w:rsid w:val="48499B37"/>
    <w:rsid w:val="485118C6"/>
    <w:rsid w:val="48573E41"/>
    <w:rsid w:val="48574F3E"/>
    <w:rsid w:val="4862FDDE"/>
    <w:rsid w:val="48658924"/>
    <w:rsid w:val="4869AFCA"/>
    <w:rsid w:val="486C83F9"/>
    <w:rsid w:val="486CFEB3"/>
    <w:rsid w:val="4873E8A9"/>
    <w:rsid w:val="487D5CAD"/>
    <w:rsid w:val="488608B3"/>
    <w:rsid w:val="48868D07"/>
    <w:rsid w:val="4886A03A"/>
    <w:rsid w:val="488CBFF9"/>
    <w:rsid w:val="488F2DA3"/>
    <w:rsid w:val="489A04A7"/>
    <w:rsid w:val="489D5456"/>
    <w:rsid w:val="48A08D8C"/>
    <w:rsid w:val="48A8E3CA"/>
    <w:rsid w:val="48B09F01"/>
    <w:rsid w:val="48B53698"/>
    <w:rsid w:val="48C7DD3B"/>
    <w:rsid w:val="48CCD9EF"/>
    <w:rsid w:val="48CF8921"/>
    <w:rsid w:val="48D010DD"/>
    <w:rsid w:val="48D16EFA"/>
    <w:rsid w:val="48DB1F69"/>
    <w:rsid w:val="48E2D1F5"/>
    <w:rsid w:val="48E96C3D"/>
    <w:rsid w:val="48ED515F"/>
    <w:rsid w:val="48EF4479"/>
    <w:rsid w:val="48F375CF"/>
    <w:rsid w:val="48F6499B"/>
    <w:rsid w:val="48FC36A6"/>
    <w:rsid w:val="48FE688F"/>
    <w:rsid w:val="4902ED19"/>
    <w:rsid w:val="490D84E9"/>
    <w:rsid w:val="491ABD66"/>
    <w:rsid w:val="492ECEF6"/>
    <w:rsid w:val="493E0C55"/>
    <w:rsid w:val="494905AC"/>
    <w:rsid w:val="494BBB27"/>
    <w:rsid w:val="4950648E"/>
    <w:rsid w:val="4953FB6B"/>
    <w:rsid w:val="49551168"/>
    <w:rsid w:val="495622B1"/>
    <w:rsid w:val="495812AA"/>
    <w:rsid w:val="495A1288"/>
    <w:rsid w:val="496BC139"/>
    <w:rsid w:val="496C3099"/>
    <w:rsid w:val="49787307"/>
    <w:rsid w:val="4986290E"/>
    <w:rsid w:val="498AC70A"/>
    <w:rsid w:val="498D531B"/>
    <w:rsid w:val="49909E5B"/>
    <w:rsid w:val="49921E5A"/>
    <w:rsid w:val="499847C1"/>
    <w:rsid w:val="49A4E300"/>
    <w:rsid w:val="49A5CABC"/>
    <w:rsid w:val="49B01862"/>
    <w:rsid w:val="49B05821"/>
    <w:rsid w:val="49B89FA7"/>
    <w:rsid w:val="49B9FEC7"/>
    <w:rsid w:val="49BA0267"/>
    <w:rsid w:val="49BE6C6E"/>
    <w:rsid w:val="49C07455"/>
    <w:rsid w:val="49CF7AE3"/>
    <w:rsid w:val="49DA80E8"/>
    <w:rsid w:val="49E4810D"/>
    <w:rsid w:val="49E90EB0"/>
    <w:rsid w:val="49EBA641"/>
    <w:rsid w:val="49F00EA0"/>
    <w:rsid w:val="49F170BD"/>
    <w:rsid w:val="49F67DA0"/>
    <w:rsid w:val="4A0EE696"/>
    <w:rsid w:val="4A156646"/>
    <w:rsid w:val="4A1ADEC2"/>
    <w:rsid w:val="4A1B2B10"/>
    <w:rsid w:val="4A279DD4"/>
    <w:rsid w:val="4A398EBA"/>
    <w:rsid w:val="4A3C5C01"/>
    <w:rsid w:val="4A3C9BC3"/>
    <w:rsid w:val="4A407A93"/>
    <w:rsid w:val="4A446CBF"/>
    <w:rsid w:val="4A4DE669"/>
    <w:rsid w:val="4A4F6C51"/>
    <w:rsid w:val="4A5526C3"/>
    <w:rsid w:val="4A55886D"/>
    <w:rsid w:val="4A5603CC"/>
    <w:rsid w:val="4A5747BA"/>
    <w:rsid w:val="4A68EBF7"/>
    <w:rsid w:val="4A6A5798"/>
    <w:rsid w:val="4A6F7FB4"/>
    <w:rsid w:val="4A75554F"/>
    <w:rsid w:val="4A7BCC04"/>
    <w:rsid w:val="4A7E6DAB"/>
    <w:rsid w:val="4A82B5F7"/>
    <w:rsid w:val="4A8341BC"/>
    <w:rsid w:val="4A979F09"/>
    <w:rsid w:val="4A9A4C64"/>
    <w:rsid w:val="4A9DF351"/>
    <w:rsid w:val="4ABE42AD"/>
    <w:rsid w:val="4ACA4840"/>
    <w:rsid w:val="4AD51671"/>
    <w:rsid w:val="4AD8C51A"/>
    <w:rsid w:val="4AE2D30F"/>
    <w:rsid w:val="4AEE666B"/>
    <w:rsid w:val="4AF279D5"/>
    <w:rsid w:val="4AF60965"/>
    <w:rsid w:val="4B009B00"/>
    <w:rsid w:val="4B018D27"/>
    <w:rsid w:val="4B045346"/>
    <w:rsid w:val="4B05866E"/>
    <w:rsid w:val="4B07DA37"/>
    <w:rsid w:val="4B099034"/>
    <w:rsid w:val="4B1203EA"/>
    <w:rsid w:val="4B134F10"/>
    <w:rsid w:val="4B2924D5"/>
    <w:rsid w:val="4B29589C"/>
    <w:rsid w:val="4B31FA8E"/>
    <w:rsid w:val="4B3B2012"/>
    <w:rsid w:val="4B419196"/>
    <w:rsid w:val="4B4352C6"/>
    <w:rsid w:val="4B46DA60"/>
    <w:rsid w:val="4B4DC0D0"/>
    <w:rsid w:val="4B58F982"/>
    <w:rsid w:val="4B5BBB51"/>
    <w:rsid w:val="4B6167A8"/>
    <w:rsid w:val="4B6A8AB3"/>
    <w:rsid w:val="4B828D02"/>
    <w:rsid w:val="4B860CC9"/>
    <w:rsid w:val="4B89CA4D"/>
    <w:rsid w:val="4B8D2F1B"/>
    <w:rsid w:val="4B904C6C"/>
    <w:rsid w:val="4B948BEB"/>
    <w:rsid w:val="4B9AB1DB"/>
    <w:rsid w:val="4BA821A3"/>
    <w:rsid w:val="4BAC6C2E"/>
    <w:rsid w:val="4BB27CC0"/>
    <w:rsid w:val="4BC38F14"/>
    <w:rsid w:val="4BD0E513"/>
    <w:rsid w:val="4BD33AB6"/>
    <w:rsid w:val="4BDCACE0"/>
    <w:rsid w:val="4BDF573D"/>
    <w:rsid w:val="4BEBFBCE"/>
    <w:rsid w:val="4BF18A43"/>
    <w:rsid w:val="4BFECEA9"/>
    <w:rsid w:val="4C012BF2"/>
    <w:rsid w:val="4C053994"/>
    <w:rsid w:val="4C0583AA"/>
    <w:rsid w:val="4C12F4B0"/>
    <w:rsid w:val="4C17EBD3"/>
    <w:rsid w:val="4C1900B6"/>
    <w:rsid w:val="4C1B863F"/>
    <w:rsid w:val="4C20FF0D"/>
    <w:rsid w:val="4C2A545A"/>
    <w:rsid w:val="4C2B49C7"/>
    <w:rsid w:val="4C37B0EB"/>
    <w:rsid w:val="4C3CB72D"/>
    <w:rsid w:val="4C44091A"/>
    <w:rsid w:val="4C4417C2"/>
    <w:rsid w:val="4C478C14"/>
    <w:rsid w:val="4C4A060A"/>
    <w:rsid w:val="4C563FC0"/>
    <w:rsid w:val="4C5D6B24"/>
    <w:rsid w:val="4C67C5D5"/>
    <w:rsid w:val="4C723332"/>
    <w:rsid w:val="4C723332"/>
    <w:rsid w:val="4C7AFC8D"/>
    <w:rsid w:val="4C7B56A1"/>
    <w:rsid w:val="4C7BC144"/>
    <w:rsid w:val="4C86B838"/>
    <w:rsid w:val="4C8BC038"/>
    <w:rsid w:val="4C8F547A"/>
    <w:rsid w:val="4C9CF6A3"/>
    <w:rsid w:val="4CA5648B"/>
    <w:rsid w:val="4CA5648B"/>
    <w:rsid w:val="4CAC5B1F"/>
    <w:rsid w:val="4CAC7BE1"/>
    <w:rsid w:val="4CAE90DF"/>
    <w:rsid w:val="4CAF26AA"/>
    <w:rsid w:val="4CB13EC5"/>
    <w:rsid w:val="4CB28F1A"/>
    <w:rsid w:val="4CB40AED"/>
    <w:rsid w:val="4CB6A029"/>
    <w:rsid w:val="4CB7EF20"/>
    <w:rsid w:val="4CC06959"/>
    <w:rsid w:val="4CC1F126"/>
    <w:rsid w:val="4CC261F0"/>
    <w:rsid w:val="4CC3E886"/>
    <w:rsid w:val="4CC5B27A"/>
    <w:rsid w:val="4CC6DB9D"/>
    <w:rsid w:val="4CCAAF8B"/>
    <w:rsid w:val="4CCC404C"/>
    <w:rsid w:val="4CD40158"/>
    <w:rsid w:val="4CD40158"/>
    <w:rsid w:val="4CE2D161"/>
    <w:rsid w:val="4CE3B563"/>
    <w:rsid w:val="4CE60264"/>
    <w:rsid w:val="4CEB6E36"/>
    <w:rsid w:val="4CF20E27"/>
    <w:rsid w:val="4CF4E923"/>
    <w:rsid w:val="4CF77EEA"/>
    <w:rsid w:val="4CFC8B16"/>
    <w:rsid w:val="4D1D5FF4"/>
    <w:rsid w:val="4D1DE677"/>
    <w:rsid w:val="4D1F0194"/>
    <w:rsid w:val="4D3B802A"/>
    <w:rsid w:val="4D3C6160"/>
    <w:rsid w:val="4D3D180F"/>
    <w:rsid w:val="4D45795B"/>
    <w:rsid w:val="4D47D037"/>
    <w:rsid w:val="4D4B4487"/>
    <w:rsid w:val="4D4F8216"/>
    <w:rsid w:val="4D508D16"/>
    <w:rsid w:val="4D5415DB"/>
    <w:rsid w:val="4D5787E6"/>
    <w:rsid w:val="4D5B01CC"/>
    <w:rsid w:val="4D5BE742"/>
    <w:rsid w:val="4D72311A"/>
    <w:rsid w:val="4D78DB3B"/>
    <w:rsid w:val="4D822C96"/>
    <w:rsid w:val="4D825C2B"/>
    <w:rsid w:val="4D83D179"/>
    <w:rsid w:val="4D92F82F"/>
    <w:rsid w:val="4D9690FD"/>
    <w:rsid w:val="4DA48FAA"/>
    <w:rsid w:val="4DA6198C"/>
    <w:rsid w:val="4DABAD08"/>
    <w:rsid w:val="4DABF188"/>
    <w:rsid w:val="4DAC5A5E"/>
    <w:rsid w:val="4DB4697C"/>
    <w:rsid w:val="4DB4C5E4"/>
    <w:rsid w:val="4DBAAE3B"/>
    <w:rsid w:val="4DBBEEEC"/>
    <w:rsid w:val="4DC45E55"/>
    <w:rsid w:val="4DC8063D"/>
    <w:rsid w:val="4DC82A11"/>
    <w:rsid w:val="4DD32256"/>
    <w:rsid w:val="4DD6E1EA"/>
    <w:rsid w:val="4DDCE9D7"/>
    <w:rsid w:val="4DE4DBDA"/>
    <w:rsid w:val="4DEC0E95"/>
    <w:rsid w:val="4DF39508"/>
    <w:rsid w:val="4DF71403"/>
    <w:rsid w:val="4DF77AAA"/>
    <w:rsid w:val="4DF77AAA"/>
    <w:rsid w:val="4DFEBF82"/>
    <w:rsid w:val="4E05E09B"/>
    <w:rsid w:val="4E060AFD"/>
    <w:rsid w:val="4E0C841E"/>
    <w:rsid w:val="4E0EA487"/>
    <w:rsid w:val="4E18A2DD"/>
    <w:rsid w:val="4E1DF7C1"/>
    <w:rsid w:val="4E2120C4"/>
    <w:rsid w:val="4E26B334"/>
    <w:rsid w:val="4E376537"/>
    <w:rsid w:val="4E492E4C"/>
    <w:rsid w:val="4E507FAF"/>
    <w:rsid w:val="4E584A9B"/>
    <w:rsid w:val="4E625729"/>
    <w:rsid w:val="4E6BE0FC"/>
    <w:rsid w:val="4E6F27C9"/>
    <w:rsid w:val="4E741B1A"/>
    <w:rsid w:val="4E7A94A8"/>
    <w:rsid w:val="4E830745"/>
    <w:rsid w:val="4E8AD45B"/>
    <w:rsid w:val="4E943CCB"/>
    <w:rsid w:val="4E9446DC"/>
    <w:rsid w:val="4E98CED5"/>
    <w:rsid w:val="4E9AB1EF"/>
    <w:rsid w:val="4EA1A4E2"/>
    <w:rsid w:val="4EA26C80"/>
    <w:rsid w:val="4EA88A9D"/>
    <w:rsid w:val="4EA8BF25"/>
    <w:rsid w:val="4EB66ABD"/>
    <w:rsid w:val="4EB7A08D"/>
    <w:rsid w:val="4EBEDB64"/>
    <w:rsid w:val="4EC03A8B"/>
    <w:rsid w:val="4ED4FBE7"/>
    <w:rsid w:val="4EDA984F"/>
    <w:rsid w:val="4EDDFBFD"/>
    <w:rsid w:val="4EE26626"/>
    <w:rsid w:val="4EEAA1D9"/>
    <w:rsid w:val="4EF5633B"/>
    <w:rsid w:val="4EFEBD67"/>
    <w:rsid w:val="4F09F7AA"/>
    <w:rsid w:val="4F0E998E"/>
    <w:rsid w:val="4F0FFE10"/>
    <w:rsid w:val="4F111A84"/>
    <w:rsid w:val="4F173547"/>
    <w:rsid w:val="4F174D55"/>
    <w:rsid w:val="4F1BF40B"/>
    <w:rsid w:val="4F1F860E"/>
    <w:rsid w:val="4F25FD65"/>
    <w:rsid w:val="4F28AE2B"/>
    <w:rsid w:val="4F2912A9"/>
    <w:rsid w:val="4F318DFB"/>
    <w:rsid w:val="4F3B1D62"/>
    <w:rsid w:val="4F3BFBB6"/>
    <w:rsid w:val="4F3C0267"/>
    <w:rsid w:val="4F3DA334"/>
    <w:rsid w:val="4F4A0381"/>
    <w:rsid w:val="4F4B560E"/>
    <w:rsid w:val="4F4F7CE2"/>
    <w:rsid w:val="4F57D908"/>
    <w:rsid w:val="4F5AFB32"/>
    <w:rsid w:val="4F5E3F30"/>
    <w:rsid w:val="4F5E3F30"/>
    <w:rsid w:val="4F669ACE"/>
    <w:rsid w:val="4F6939FF"/>
    <w:rsid w:val="4F695DB2"/>
    <w:rsid w:val="4F954F4C"/>
    <w:rsid w:val="4F9AA8B4"/>
    <w:rsid w:val="4FA2DC15"/>
    <w:rsid w:val="4FA2DC15"/>
    <w:rsid w:val="4FA6E8D5"/>
    <w:rsid w:val="4FAEB957"/>
    <w:rsid w:val="4FAEB957"/>
    <w:rsid w:val="4FB1031E"/>
    <w:rsid w:val="4FB4F2A7"/>
    <w:rsid w:val="4FB5917C"/>
    <w:rsid w:val="4FBC8E83"/>
    <w:rsid w:val="4FC1329C"/>
    <w:rsid w:val="4FC19F60"/>
    <w:rsid w:val="4FCF6513"/>
    <w:rsid w:val="4FD1352E"/>
    <w:rsid w:val="4FD803DD"/>
    <w:rsid w:val="4FDC769F"/>
    <w:rsid w:val="4FE24782"/>
    <w:rsid w:val="4FE28BE8"/>
    <w:rsid w:val="4FED6D80"/>
    <w:rsid w:val="4FEDBCAD"/>
    <w:rsid w:val="50050E42"/>
    <w:rsid w:val="50075B0F"/>
    <w:rsid w:val="500E0C7D"/>
    <w:rsid w:val="500E4CF7"/>
    <w:rsid w:val="50180007"/>
    <w:rsid w:val="5018B4C9"/>
    <w:rsid w:val="5018F95D"/>
    <w:rsid w:val="50286F74"/>
    <w:rsid w:val="5030BBB5"/>
    <w:rsid w:val="5034783E"/>
    <w:rsid w:val="503AB21D"/>
    <w:rsid w:val="50415F7F"/>
    <w:rsid w:val="5043E670"/>
    <w:rsid w:val="5051ADD1"/>
    <w:rsid w:val="506943D3"/>
    <w:rsid w:val="506B913E"/>
    <w:rsid w:val="50737304"/>
    <w:rsid w:val="5083F56E"/>
    <w:rsid w:val="508E0A16"/>
    <w:rsid w:val="50911928"/>
    <w:rsid w:val="5093FEB4"/>
    <w:rsid w:val="50A4219B"/>
    <w:rsid w:val="50A49119"/>
    <w:rsid w:val="50B035C3"/>
    <w:rsid w:val="50B4D0AC"/>
    <w:rsid w:val="50BE3B44"/>
    <w:rsid w:val="50C3CFF5"/>
    <w:rsid w:val="50C3CFF5"/>
    <w:rsid w:val="50C5E412"/>
    <w:rsid w:val="50D23D8E"/>
    <w:rsid w:val="50D8846F"/>
    <w:rsid w:val="50DB8E03"/>
    <w:rsid w:val="50ED257B"/>
    <w:rsid w:val="50F25BB2"/>
    <w:rsid w:val="50F3FBD9"/>
    <w:rsid w:val="50F41EE8"/>
    <w:rsid w:val="50F5A1CB"/>
    <w:rsid w:val="50FF0C06"/>
    <w:rsid w:val="5105388C"/>
    <w:rsid w:val="51099D9E"/>
    <w:rsid w:val="5115AC06"/>
    <w:rsid w:val="51172470"/>
    <w:rsid w:val="5119BCCF"/>
    <w:rsid w:val="511C07E5"/>
    <w:rsid w:val="511C448B"/>
    <w:rsid w:val="5122D4E2"/>
    <w:rsid w:val="51282FB5"/>
    <w:rsid w:val="51354E23"/>
    <w:rsid w:val="5141F4F7"/>
    <w:rsid w:val="51533618"/>
    <w:rsid w:val="51546D37"/>
    <w:rsid w:val="515F4F44"/>
    <w:rsid w:val="51716A62"/>
    <w:rsid w:val="517531E1"/>
    <w:rsid w:val="51773E7B"/>
    <w:rsid w:val="5193BCE5"/>
    <w:rsid w:val="5197D16C"/>
    <w:rsid w:val="519D2C8F"/>
    <w:rsid w:val="51A1083E"/>
    <w:rsid w:val="51A94402"/>
    <w:rsid w:val="51B31546"/>
    <w:rsid w:val="51BAF225"/>
    <w:rsid w:val="51C4DBA4"/>
    <w:rsid w:val="51D84ECD"/>
    <w:rsid w:val="51DFE7D3"/>
    <w:rsid w:val="51DFF0AE"/>
    <w:rsid w:val="51E9D91E"/>
    <w:rsid w:val="51F310C4"/>
    <w:rsid w:val="51F57A83"/>
    <w:rsid w:val="51FF0AD2"/>
    <w:rsid w:val="520090BE"/>
    <w:rsid w:val="5201699B"/>
    <w:rsid w:val="5202781B"/>
    <w:rsid w:val="520C9C3C"/>
    <w:rsid w:val="520FDE21"/>
    <w:rsid w:val="520FDE21"/>
    <w:rsid w:val="521601A4"/>
    <w:rsid w:val="5218F115"/>
    <w:rsid w:val="52261B6F"/>
    <w:rsid w:val="522EB054"/>
    <w:rsid w:val="523BFE9A"/>
    <w:rsid w:val="523FA771"/>
    <w:rsid w:val="524268DA"/>
    <w:rsid w:val="52507016"/>
    <w:rsid w:val="5254E943"/>
    <w:rsid w:val="525D32A9"/>
    <w:rsid w:val="525D69AB"/>
    <w:rsid w:val="525DC924"/>
    <w:rsid w:val="525E3051"/>
    <w:rsid w:val="52601F23"/>
    <w:rsid w:val="5262BB76"/>
    <w:rsid w:val="526D1BD0"/>
    <w:rsid w:val="526D72A0"/>
    <w:rsid w:val="527B36B5"/>
    <w:rsid w:val="52843494"/>
    <w:rsid w:val="529D8660"/>
    <w:rsid w:val="529E6BEF"/>
    <w:rsid w:val="52A0BD61"/>
    <w:rsid w:val="52A355AD"/>
    <w:rsid w:val="52A45BAA"/>
    <w:rsid w:val="52B2179E"/>
    <w:rsid w:val="52BBE81E"/>
    <w:rsid w:val="52C08D2C"/>
    <w:rsid w:val="52C4E065"/>
    <w:rsid w:val="52D09320"/>
    <w:rsid w:val="52E266B9"/>
    <w:rsid w:val="52E43E51"/>
    <w:rsid w:val="52FF2528"/>
    <w:rsid w:val="5307006E"/>
    <w:rsid w:val="530FBF33"/>
    <w:rsid w:val="53109C73"/>
    <w:rsid w:val="531F7A15"/>
    <w:rsid w:val="532482BF"/>
    <w:rsid w:val="5324A603"/>
    <w:rsid w:val="532A38BD"/>
    <w:rsid w:val="53392D35"/>
    <w:rsid w:val="533EB76E"/>
    <w:rsid w:val="534DA6A4"/>
    <w:rsid w:val="535BA163"/>
    <w:rsid w:val="535FB191"/>
    <w:rsid w:val="5362EA6E"/>
    <w:rsid w:val="53654AC1"/>
    <w:rsid w:val="5369136A"/>
    <w:rsid w:val="536E8051"/>
    <w:rsid w:val="53761C26"/>
    <w:rsid w:val="53789014"/>
    <w:rsid w:val="537980FB"/>
    <w:rsid w:val="5384C8DB"/>
    <w:rsid w:val="53865CD4"/>
    <w:rsid w:val="5390CA93"/>
    <w:rsid w:val="53910FB9"/>
    <w:rsid w:val="5392FF25"/>
    <w:rsid w:val="539D60BF"/>
    <w:rsid w:val="539DE3B3"/>
    <w:rsid w:val="53A60C42"/>
    <w:rsid w:val="53A6D076"/>
    <w:rsid w:val="53A72892"/>
    <w:rsid w:val="53AA7B36"/>
    <w:rsid w:val="53AAD557"/>
    <w:rsid w:val="53B2129F"/>
    <w:rsid w:val="53BB62F3"/>
    <w:rsid w:val="53BD905A"/>
    <w:rsid w:val="53C50629"/>
    <w:rsid w:val="53C794AF"/>
    <w:rsid w:val="53CE21EA"/>
    <w:rsid w:val="53D00C89"/>
    <w:rsid w:val="53D22987"/>
    <w:rsid w:val="53E2C741"/>
    <w:rsid w:val="53E6F24F"/>
    <w:rsid w:val="53EDF7EF"/>
    <w:rsid w:val="53F055D4"/>
    <w:rsid w:val="53F52879"/>
    <w:rsid w:val="53F6D945"/>
    <w:rsid w:val="53F756D8"/>
    <w:rsid w:val="5408ECF8"/>
    <w:rsid w:val="5413C4A7"/>
    <w:rsid w:val="5414E429"/>
    <w:rsid w:val="5415092C"/>
    <w:rsid w:val="54159CBC"/>
    <w:rsid w:val="541EE60C"/>
    <w:rsid w:val="5420D351"/>
    <w:rsid w:val="54284322"/>
    <w:rsid w:val="542E6D2F"/>
    <w:rsid w:val="5439B7A2"/>
    <w:rsid w:val="54450CCA"/>
    <w:rsid w:val="54462602"/>
    <w:rsid w:val="544764C6"/>
    <w:rsid w:val="5454BF01"/>
    <w:rsid w:val="5456C7DB"/>
    <w:rsid w:val="545E25AA"/>
    <w:rsid w:val="545F4407"/>
    <w:rsid w:val="54687DDA"/>
    <w:rsid w:val="5469FDAB"/>
    <w:rsid w:val="546C27BE"/>
    <w:rsid w:val="546F19CE"/>
    <w:rsid w:val="546F19CE"/>
    <w:rsid w:val="546FAC5A"/>
    <w:rsid w:val="5476C792"/>
    <w:rsid w:val="547DCEC3"/>
    <w:rsid w:val="5480EA27"/>
    <w:rsid w:val="5488402E"/>
    <w:rsid w:val="548F0058"/>
    <w:rsid w:val="548F8DED"/>
    <w:rsid w:val="5493616B"/>
    <w:rsid w:val="549D3948"/>
    <w:rsid w:val="54A172C6"/>
    <w:rsid w:val="54A1BFE0"/>
    <w:rsid w:val="54A3D802"/>
    <w:rsid w:val="54A88059"/>
    <w:rsid w:val="54AB1EC2"/>
    <w:rsid w:val="54ACA48F"/>
    <w:rsid w:val="54B57D41"/>
    <w:rsid w:val="54B9EC9C"/>
    <w:rsid w:val="54BB79E4"/>
    <w:rsid w:val="54BD9F29"/>
    <w:rsid w:val="54CB5932"/>
    <w:rsid w:val="54D48947"/>
    <w:rsid w:val="54D9F332"/>
    <w:rsid w:val="54E74F25"/>
    <w:rsid w:val="54EB5E4C"/>
    <w:rsid w:val="54F28064"/>
    <w:rsid w:val="54F8F422"/>
    <w:rsid w:val="54FB6DF2"/>
    <w:rsid w:val="5506B26C"/>
    <w:rsid w:val="550A71E3"/>
    <w:rsid w:val="55296B05"/>
    <w:rsid w:val="55297A16"/>
    <w:rsid w:val="552FD298"/>
    <w:rsid w:val="5535BD90"/>
    <w:rsid w:val="5537A6E1"/>
    <w:rsid w:val="55520F37"/>
    <w:rsid w:val="55536F8D"/>
    <w:rsid w:val="555675D5"/>
    <w:rsid w:val="555C3A98"/>
    <w:rsid w:val="55685E05"/>
    <w:rsid w:val="556F39A3"/>
    <w:rsid w:val="55779588"/>
    <w:rsid w:val="557A1C0B"/>
    <w:rsid w:val="557FE786"/>
    <w:rsid w:val="5585B7EC"/>
    <w:rsid w:val="5588DB64"/>
    <w:rsid w:val="559BC234"/>
    <w:rsid w:val="559E92C6"/>
    <w:rsid w:val="55A8F7E4"/>
    <w:rsid w:val="55AB81F2"/>
    <w:rsid w:val="55AEB0D7"/>
    <w:rsid w:val="55AF98F5"/>
    <w:rsid w:val="55B9DBCC"/>
    <w:rsid w:val="55D605B7"/>
    <w:rsid w:val="55D6FA59"/>
    <w:rsid w:val="55DBA06E"/>
    <w:rsid w:val="55E13C2C"/>
    <w:rsid w:val="55EE0874"/>
    <w:rsid w:val="55F4C9B5"/>
    <w:rsid w:val="55F93B92"/>
    <w:rsid w:val="55FC0590"/>
    <w:rsid w:val="5608BD8A"/>
    <w:rsid w:val="560A06E8"/>
    <w:rsid w:val="560F4F9A"/>
    <w:rsid w:val="56174B4A"/>
    <w:rsid w:val="561B386A"/>
    <w:rsid w:val="5620EB67"/>
    <w:rsid w:val="56258A00"/>
    <w:rsid w:val="5627264A"/>
    <w:rsid w:val="562C51C9"/>
    <w:rsid w:val="563090CF"/>
    <w:rsid w:val="56320D13"/>
    <w:rsid w:val="563C0535"/>
    <w:rsid w:val="564467FE"/>
    <w:rsid w:val="5644DEBD"/>
    <w:rsid w:val="5650F55F"/>
    <w:rsid w:val="5652009D"/>
    <w:rsid w:val="56569DC8"/>
    <w:rsid w:val="5659E3DD"/>
    <w:rsid w:val="565CFB8D"/>
    <w:rsid w:val="566352BF"/>
    <w:rsid w:val="56694090"/>
    <w:rsid w:val="566959BB"/>
    <w:rsid w:val="5678866C"/>
    <w:rsid w:val="567F8088"/>
    <w:rsid w:val="5683241B"/>
    <w:rsid w:val="568B17B8"/>
    <w:rsid w:val="568D5E41"/>
    <w:rsid w:val="56941252"/>
    <w:rsid w:val="569530E4"/>
    <w:rsid w:val="569FE476"/>
    <w:rsid w:val="56B123A1"/>
    <w:rsid w:val="56B198C1"/>
    <w:rsid w:val="56B6EE93"/>
    <w:rsid w:val="56B93398"/>
    <w:rsid w:val="56B9A359"/>
    <w:rsid w:val="56BCE8C8"/>
    <w:rsid w:val="56CD0F4B"/>
    <w:rsid w:val="56DDBC7F"/>
    <w:rsid w:val="56E006AA"/>
    <w:rsid w:val="56E91B7C"/>
    <w:rsid w:val="56F365E3"/>
    <w:rsid w:val="56F41CBB"/>
    <w:rsid w:val="56F94096"/>
    <w:rsid w:val="56FF862D"/>
    <w:rsid w:val="57071E20"/>
    <w:rsid w:val="57198D15"/>
    <w:rsid w:val="572BD40B"/>
    <w:rsid w:val="572DEC34"/>
    <w:rsid w:val="573A3998"/>
    <w:rsid w:val="57434992"/>
    <w:rsid w:val="574AC053"/>
    <w:rsid w:val="574C3174"/>
    <w:rsid w:val="574D7EB7"/>
    <w:rsid w:val="5756C653"/>
    <w:rsid w:val="57573516"/>
    <w:rsid w:val="575C999C"/>
    <w:rsid w:val="5778B8BC"/>
    <w:rsid w:val="57860D4C"/>
    <w:rsid w:val="57874D6B"/>
    <w:rsid w:val="5787E977"/>
    <w:rsid w:val="5789D600"/>
    <w:rsid w:val="5791EB93"/>
    <w:rsid w:val="579927E2"/>
    <w:rsid w:val="57AC1229"/>
    <w:rsid w:val="57AD04AD"/>
    <w:rsid w:val="57B1D6C6"/>
    <w:rsid w:val="57C14F43"/>
    <w:rsid w:val="57D341C3"/>
    <w:rsid w:val="57D59B7F"/>
    <w:rsid w:val="57D6BC6A"/>
    <w:rsid w:val="57DC77D1"/>
    <w:rsid w:val="57E73116"/>
    <w:rsid w:val="57E75F7F"/>
    <w:rsid w:val="57F02228"/>
    <w:rsid w:val="57F5A20D"/>
    <w:rsid w:val="5806F9B8"/>
    <w:rsid w:val="580EA80B"/>
    <w:rsid w:val="58196189"/>
    <w:rsid w:val="581FE9B3"/>
    <w:rsid w:val="58217E13"/>
    <w:rsid w:val="5825B6A1"/>
    <w:rsid w:val="582AB968"/>
    <w:rsid w:val="583023CE"/>
    <w:rsid w:val="5833E6D7"/>
    <w:rsid w:val="5838BA31"/>
    <w:rsid w:val="583FA32A"/>
    <w:rsid w:val="5841D83A"/>
    <w:rsid w:val="58444613"/>
    <w:rsid w:val="58454F57"/>
    <w:rsid w:val="584C272B"/>
    <w:rsid w:val="58588127"/>
    <w:rsid w:val="585A49A2"/>
    <w:rsid w:val="5864FA2F"/>
    <w:rsid w:val="58667750"/>
    <w:rsid w:val="587794B1"/>
    <w:rsid w:val="5877DB37"/>
    <w:rsid w:val="587D9F0D"/>
    <w:rsid w:val="58850D6F"/>
    <w:rsid w:val="588FED15"/>
    <w:rsid w:val="5894F862"/>
    <w:rsid w:val="58AD009B"/>
    <w:rsid w:val="58B2BFEA"/>
    <w:rsid w:val="58B49394"/>
    <w:rsid w:val="58B719EC"/>
    <w:rsid w:val="58BB8FE5"/>
    <w:rsid w:val="58BD252E"/>
    <w:rsid w:val="58C19162"/>
    <w:rsid w:val="58CDA354"/>
    <w:rsid w:val="58DBCF5B"/>
    <w:rsid w:val="58DE8390"/>
    <w:rsid w:val="58F50FC1"/>
    <w:rsid w:val="58F536AA"/>
    <w:rsid w:val="590ADE0D"/>
    <w:rsid w:val="590AF8B0"/>
    <w:rsid w:val="591294D8"/>
    <w:rsid w:val="5923CAA1"/>
    <w:rsid w:val="592596F9"/>
    <w:rsid w:val="59278E4D"/>
    <w:rsid w:val="592C816B"/>
    <w:rsid w:val="5933CE15"/>
    <w:rsid w:val="59491792"/>
    <w:rsid w:val="59553DF6"/>
    <w:rsid w:val="595B85ED"/>
    <w:rsid w:val="596366E2"/>
    <w:rsid w:val="596460C0"/>
    <w:rsid w:val="59744BAB"/>
    <w:rsid w:val="597A982A"/>
    <w:rsid w:val="598F51AD"/>
    <w:rsid w:val="5990D561"/>
    <w:rsid w:val="5990D9AD"/>
    <w:rsid w:val="5995E8D8"/>
    <w:rsid w:val="599AF83C"/>
    <w:rsid w:val="59A49377"/>
    <w:rsid w:val="59B0C0F1"/>
    <w:rsid w:val="59B94477"/>
    <w:rsid w:val="59BEB23D"/>
    <w:rsid w:val="59C37476"/>
    <w:rsid w:val="59C8DDAF"/>
    <w:rsid w:val="59CF1DE4"/>
    <w:rsid w:val="59CF1DE4"/>
    <w:rsid w:val="59DF4B65"/>
    <w:rsid w:val="59E3A8F2"/>
    <w:rsid w:val="59E50738"/>
    <w:rsid w:val="59F07782"/>
    <w:rsid w:val="59F4F35C"/>
    <w:rsid w:val="59FC1AC3"/>
    <w:rsid w:val="5A01CF0E"/>
    <w:rsid w:val="5A0A4FAC"/>
    <w:rsid w:val="5A158F90"/>
    <w:rsid w:val="5A1FF107"/>
    <w:rsid w:val="5A22788B"/>
    <w:rsid w:val="5A2CB03B"/>
    <w:rsid w:val="5A2E86FC"/>
    <w:rsid w:val="5A2F1D1C"/>
    <w:rsid w:val="5A335E6C"/>
    <w:rsid w:val="5A47F574"/>
    <w:rsid w:val="5A49AEC8"/>
    <w:rsid w:val="5A4E348B"/>
    <w:rsid w:val="5A63EC7D"/>
    <w:rsid w:val="5A687127"/>
    <w:rsid w:val="5A6DD16B"/>
    <w:rsid w:val="5A6FF8B2"/>
    <w:rsid w:val="5A731E8B"/>
    <w:rsid w:val="5A73B155"/>
    <w:rsid w:val="5A746606"/>
    <w:rsid w:val="5A79F5CF"/>
    <w:rsid w:val="5A870739"/>
    <w:rsid w:val="5A8E8FFE"/>
    <w:rsid w:val="5A90B1FF"/>
    <w:rsid w:val="5A961D4D"/>
    <w:rsid w:val="5A9A5C81"/>
    <w:rsid w:val="5A9E5F50"/>
    <w:rsid w:val="5AA4DB4C"/>
    <w:rsid w:val="5AA78627"/>
    <w:rsid w:val="5AAC59F1"/>
    <w:rsid w:val="5AB940F5"/>
    <w:rsid w:val="5AC11242"/>
    <w:rsid w:val="5AC19FA8"/>
    <w:rsid w:val="5ACDAC0B"/>
    <w:rsid w:val="5AD47975"/>
    <w:rsid w:val="5AD63D94"/>
    <w:rsid w:val="5AD861D9"/>
    <w:rsid w:val="5ADF64BF"/>
    <w:rsid w:val="5AEBF034"/>
    <w:rsid w:val="5AEC8425"/>
    <w:rsid w:val="5AED289A"/>
    <w:rsid w:val="5AF0AA04"/>
    <w:rsid w:val="5AF1C148"/>
    <w:rsid w:val="5AF44B8C"/>
    <w:rsid w:val="5AF9DA83"/>
    <w:rsid w:val="5AFEAA4E"/>
    <w:rsid w:val="5B0027AF"/>
    <w:rsid w:val="5B006E66"/>
    <w:rsid w:val="5B00A1DA"/>
    <w:rsid w:val="5B090965"/>
    <w:rsid w:val="5B0DEE23"/>
    <w:rsid w:val="5B170D36"/>
    <w:rsid w:val="5B224ED3"/>
    <w:rsid w:val="5B2A5EDE"/>
    <w:rsid w:val="5B2C86A7"/>
    <w:rsid w:val="5B2F865F"/>
    <w:rsid w:val="5B3092D9"/>
    <w:rsid w:val="5B30B32E"/>
    <w:rsid w:val="5B326AF0"/>
    <w:rsid w:val="5B32A9D9"/>
    <w:rsid w:val="5B332BBC"/>
    <w:rsid w:val="5B34A5AA"/>
    <w:rsid w:val="5B362703"/>
    <w:rsid w:val="5B42A4D0"/>
    <w:rsid w:val="5B4A1E88"/>
    <w:rsid w:val="5B4E6B21"/>
    <w:rsid w:val="5B4F5A6E"/>
    <w:rsid w:val="5B5E42AE"/>
    <w:rsid w:val="5B6030D6"/>
    <w:rsid w:val="5B641820"/>
    <w:rsid w:val="5B641820"/>
    <w:rsid w:val="5B7089F2"/>
    <w:rsid w:val="5B8B7C5F"/>
    <w:rsid w:val="5B99710C"/>
    <w:rsid w:val="5B9C6D3B"/>
    <w:rsid w:val="5BA80A43"/>
    <w:rsid w:val="5BA94493"/>
    <w:rsid w:val="5BA94493"/>
    <w:rsid w:val="5BA999F8"/>
    <w:rsid w:val="5BBA4EEA"/>
    <w:rsid w:val="5BBCBB3C"/>
    <w:rsid w:val="5BBCD11D"/>
    <w:rsid w:val="5BDBEE34"/>
    <w:rsid w:val="5BE22C22"/>
    <w:rsid w:val="5BE6A491"/>
    <w:rsid w:val="5BED853B"/>
    <w:rsid w:val="5BFE0F03"/>
    <w:rsid w:val="5C071618"/>
    <w:rsid w:val="5C086DCC"/>
    <w:rsid w:val="5C140133"/>
    <w:rsid w:val="5C187E4E"/>
    <w:rsid w:val="5C1B2E83"/>
    <w:rsid w:val="5C23CE89"/>
    <w:rsid w:val="5C315076"/>
    <w:rsid w:val="5C319339"/>
    <w:rsid w:val="5C31C7CF"/>
    <w:rsid w:val="5C3498D6"/>
    <w:rsid w:val="5C3DD26E"/>
    <w:rsid w:val="5C4BC1D9"/>
    <w:rsid w:val="5C4E9F11"/>
    <w:rsid w:val="5C58CA21"/>
    <w:rsid w:val="5C60544E"/>
    <w:rsid w:val="5C6A44D2"/>
    <w:rsid w:val="5C6C9D37"/>
    <w:rsid w:val="5C72244E"/>
    <w:rsid w:val="5C7648D0"/>
    <w:rsid w:val="5C7C94D0"/>
    <w:rsid w:val="5C87AB24"/>
    <w:rsid w:val="5CABC284"/>
    <w:rsid w:val="5CACCA94"/>
    <w:rsid w:val="5CAD7A3C"/>
    <w:rsid w:val="5CB02C0E"/>
    <w:rsid w:val="5CB274B9"/>
    <w:rsid w:val="5CB4E667"/>
    <w:rsid w:val="5CC2BF09"/>
    <w:rsid w:val="5CCAEB9B"/>
    <w:rsid w:val="5CCAF13B"/>
    <w:rsid w:val="5CD917AF"/>
    <w:rsid w:val="5CE1F56A"/>
    <w:rsid w:val="5CE1FCED"/>
    <w:rsid w:val="5CE5ED9E"/>
    <w:rsid w:val="5CE6D230"/>
    <w:rsid w:val="5CE8F8EA"/>
    <w:rsid w:val="5CE9C2DA"/>
    <w:rsid w:val="5CFCF502"/>
    <w:rsid w:val="5D02B66F"/>
    <w:rsid w:val="5D066CD2"/>
    <w:rsid w:val="5D22DDF3"/>
    <w:rsid w:val="5D345328"/>
    <w:rsid w:val="5D395F06"/>
    <w:rsid w:val="5D3D521E"/>
    <w:rsid w:val="5D411BF4"/>
    <w:rsid w:val="5D53A4DA"/>
    <w:rsid w:val="5D5490A0"/>
    <w:rsid w:val="5D578636"/>
    <w:rsid w:val="5D677ECD"/>
    <w:rsid w:val="5D759A13"/>
    <w:rsid w:val="5D84FC89"/>
    <w:rsid w:val="5D87DE88"/>
    <w:rsid w:val="5D8A14E9"/>
    <w:rsid w:val="5D8CBD9F"/>
    <w:rsid w:val="5D93B5A4"/>
    <w:rsid w:val="5D95AA09"/>
    <w:rsid w:val="5DA48B7D"/>
    <w:rsid w:val="5DA6F98B"/>
    <w:rsid w:val="5DA6F98B"/>
    <w:rsid w:val="5DAB2EF3"/>
    <w:rsid w:val="5DBD727A"/>
    <w:rsid w:val="5DC303D7"/>
    <w:rsid w:val="5DC3789E"/>
    <w:rsid w:val="5DE6E56D"/>
    <w:rsid w:val="5DE74882"/>
    <w:rsid w:val="5DEA65EE"/>
    <w:rsid w:val="5DFC2817"/>
    <w:rsid w:val="5DFE9B5B"/>
    <w:rsid w:val="5E055C2F"/>
    <w:rsid w:val="5E0E6872"/>
    <w:rsid w:val="5E105EC9"/>
    <w:rsid w:val="5E10FD80"/>
    <w:rsid w:val="5E20D500"/>
    <w:rsid w:val="5E2393E0"/>
    <w:rsid w:val="5E26A4A9"/>
    <w:rsid w:val="5E2D7782"/>
    <w:rsid w:val="5E32E66C"/>
    <w:rsid w:val="5E384EEF"/>
    <w:rsid w:val="5E3EE053"/>
    <w:rsid w:val="5E46892A"/>
    <w:rsid w:val="5E4F7184"/>
    <w:rsid w:val="5E5CB404"/>
    <w:rsid w:val="5E61FF00"/>
    <w:rsid w:val="5E6DE924"/>
    <w:rsid w:val="5E7031D4"/>
    <w:rsid w:val="5E736B99"/>
    <w:rsid w:val="5E7624A4"/>
    <w:rsid w:val="5E77F57E"/>
    <w:rsid w:val="5E7847A5"/>
    <w:rsid w:val="5E7A327A"/>
    <w:rsid w:val="5E87FAA4"/>
    <w:rsid w:val="5EAB063A"/>
    <w:rsid w:val="5EC192B2"/>
    <w:rsid w:val="5EC69A5E"/>
    <w:rsid w:val="5ECA89AA"/>
    <w:rsid w:val="5ED5BE41"/>
    <w:rsid w:val="5ED6C7BD"/>
    <w:rsid w:val="5ED7D60C"/>
    <w:rsid w:val="5EDA219B"/>
    <w:rsid w:val="5EE8B8DC"/>
    <w:rsid w:val="5F0DAE4F"/>
    <w:rsid w:val="5F1E014F"/>
    <w:rsid w:val="5F24E154"/>
    <w:rsid w:val="5F2828EF"/>
    <w:rsid w:val="5F2CC373"/>
    <w:rsid w:val="5F3A9CE3"/>
    <w:rsid w:val="5F40A5A7"/>
    <w:rsid w:val="5F4DC99B"/>
    <w:rsid w:val="5F4F7CE5"/>
    <w:rsid w:val="5F50EF49"/>
    <w:rsid w:val="5F52116D"/>
    <w:rsid w:val="5F58F936"/>
    <w:rsid w:val="5F5CBD3D"/>
    <w:rsid w:val="5F64A9E0"/>
    <w:rsid w:val="5F71DC1E"/>
    <w:rsid w:val="5F795B0B"/>
    <w:rsid w:val="5F7C56F0"/>
    <w:rsid w:val="5F88E5FC"/>
    <w:rsid w:val="5F8EFBEB"/>
    <w:rsid w:val="5F901DE5"/>
    <w:rsid w:val="5F9371DE"/>
    <w:rsid w:val="5F94D513"/>
    <w:rsid w:val="5F97A3C0"/>
    <w:rsid w:val="5FA1CE97"/>
    <w:rsid w:val="5FB3AFA2"/>
    <w:rsid w:val="5FB71AFE"/>
    <w:rsid w:val="5FBAF63B"/>
    <w:rsid w:val="5FC3B8BC"/>
    <w:rsid w:val="5FCDA3FE"/>
    <w:rsid w:val="5FD19521"/>
    <w:rsid w:val="5FD19BE2"/>
    <w:rsid w:val="5FD223F2"/>
    <w:rsid w:val="5FD31AC8"/>
    <w:rsid w:val="5FD679D2"/>
    <w:rsid w:val="5FE30D0A"/>
    <w:rsid w:val="5FE34A41"/>
    <w:rsid w:val="5FEC1493"/>
    <w:rsid w:val="5FF3471A"/>
    <w:rsid w:val="5FF3D136"/>
    <w:rsid w:val="5FFE2C0C"/>
    <w:rsid w:val="6002223E"/>
    <w:rsid w:val="600370EB"/>
    <w:rsid w:val="60096B8D"/>
    <w:rsid w:val="600E4B3B"/>
    <w:rsid w:val="601717DF"/>
    <w:rsid w:val="601C2DA8"/>
    <w:rsid w:val="601E2724"/>
    <w:rsid w:val="6024D4C8"/>
    <w:rsid w:val="6025D76C"/>
    <w:rsid w:val="602EE63B"/>
    <w:rsid w:val="60366DAB"/>
    <w:rsid w:val="603D3C3D"/>
    <w:rsid w:val="6047A56B"/>
    <w:rsid w:val="6048C8D2"/>
    <w:rsid w:val="604CA550"/>
    <w:rsid w:val="6058CEB0"/>
    <w:rsid w:val="605D76C2"/>
    <w:rsid w:val="606371DC"/>
    <w:rsid w:val="6064533D"/>
    <w:rsid w:val="606DBD82"/>
    <w:rsid w:val="607206AC"/>
    <w:rsid w:val="607224D8"/>
    <w:rsid w:val="60787CB3"/>
    <w:rsid w:val="607E0990"/>
    <w:rsid w:val="6080AEFB"/>
    <w:rsid w:val="6080AEFB"/>
    <w:rsid w:val="6084D9E4"/>
    <w:rsid w:val="6086398B"/>
    <w:rsid w:val="6088DAEA"/>
    <w:rsid w:val="608A6D81"/>
    <w:rsid w:val="60916BDB"/>
    <w:rsid w:val="60AD9FD4"/>
    <w:rsid w:val="60B4D98D"/>
    <w:rsid w:val="60CA89EE"/>
    <w:rsid w:val="60D051FF"/>
    <w:rsid w:val="60D2B29A"/>
    <w:rsid w:val="60DF03C9"/>
    <w:rsid w:val="60E29F60"/>
    <w:rsid w:val="60F15D42"/>
    <w:rsid w:val="61034EF9"/>
    <w:rsid w:val="610F726D"/>
    <w:rsid w:val="61147695"/>
    <w:rsid w:val="611BBF08"/>
    <w:rsid w:val="61200790"/>
    <w:rsid w:val="6124E843"/>
    <w:rsid w:val="61252286"/>
    <w:rsid w:val="6128DC3F"/>
    <w:rsid w:val="612A5EAE"/>
    <w:rsid w:val="61387CDA"/>
    <w:rsid w:val="6139BC7F"/>
    <w:rsid w:val="613A1E34"/>
    <w:rsid w:val="614D20D1"/>
    <w:rsid w:val="6150B9EF"/>
    <w:rsid w:val="6155AA97"/>
    <w:rsid w:val="615A6BD9"/>
    <w:rsid w:val="615B6AAB"/>
    <w:rsid w:val="615B6D7C"/>
    <w:rsid w:val="615DE296"/>
    <w:rsid w:val="615F75B8"/>
    <w:rsid w:val="61652BC0"/>
    <w:rsid w:val="61663DAC"/>
    <w:rsid w:val="616675C0"/>
    <w:rsid w:val="617A792C"/>
    <w:rsid w:val="6183D345"/>
    <w:rsid w:val="6185610F"/>
    <w:rsid w:val="618B24C7"/>
    <w:rsid w:val="619269CE"/>
    <w:rsid w:val="6198EB83"/>
    <w:rsid w:val="619D1C23"/>
    <w:rsid w:val="619F3A17"/>
    <w:rsid w:val="61A1B8EB"/>
    <w:rsid w:val="61AC0032"/>
    <w:rsid w:val="61AC1B3A"/>
    <w:rsid w:val="61C04B1C"/>
    <w:rsid w:val="61C065B2"/>
    <w:rsid w:val="61C2B078"/>
    <w:rsid w:val="61C6D4CD"/>
    <w:rsid w:val="61D23749"/>
    <w:rsid w:val="61D33369"/>
    <w:rsid w:val="61DA96FA"/>
    <w:rsid w:val="61DAA180"/>
    <w:rsid w:val="61DB17D6"/>
    <w:rsid w:val="61E21F5D"/>
    <w:rsid w:val="62012292"/>
    <w:rsid w:val="622AE6DC"/>
    <w:rsid w:val="62392C0B"/>
    <w:rsid w:val="623BD825"/>
    <w:rsid w:val="62434138"/>
    <w:rsid w:val="62572DF6"/>
    <w:rsid w:val="625BA37C"/>
    <w:rsid w:val="625BD532"/>
    <w:rsid w:val="6260456A"/>
    <w:rsid w:val="626510D9"/>
    <w:rsid w:val="6265B11D"/>
    <w:rsid w:val="6273F26D"/>
    <w:rsid w:val="62751BDA"/>
    <w:rsid w:val="62775F42"/>
    <w:rsid w:val="62776508"/>
    <w:rsid w:val="6277A73D"/>
    <w:rsid w:val="6281D786"/>
    <w:rsid w:val="6283BB29"/>
    <w:rsid w:val="629D0F9B"/>
    <w:rsid w:val="62A14CCC"/>
    <w:rsid w:val="62A790FD"/>
    <w:rsid w:val="62AED001"/>
    <w:rsid w:val="62C17F35"/>
    <w:rsid w:val="62C253E0"/>
    <w:rsid w:val="62C79531"/>
    <w:rsid w:val="62D2414D"/>
    <w:rsid w:val="62D5E2F4"/>
    <w:rsid w:val="62E9AD7A"/>
    <w:rsid w:val="62EA9082"/>
    <w:rsid w:val="630A9C7B"/>
    <w:rsid w:val="630C43B0"/>
    <w:rsid w:val="630DA037"/>
    <w:rsid w:val="631055C6"/>
    <w:rsid w:val="6312C5B5"/>
    <w:rsid w:val="6313B1F3"/>
    <w:rsid w:val="631F3A8A"/>
    <w:rsid w:val="632530AA"/>
    <w:rsid w:val="632604E5"/>
    <w:rsid w:val="632C2851"/>
    <w:rsid w:val="63426220"/>
    <w:rsid w:val="634BACD8"/>
    <w:rsid w:val="634CAC45"/>
    <w:rsid w:val="63514968"/>
    <w:rsid w:val="635C0A13"/>
    <w:rsid w:val="635F9C4D"/>
    <w:rsid w:val="6366E2BB"/>
    <w:rsid w:val="6368B322"/>
    <w:rsid w:val="636D944F"/>
    <w:rsid w:val="6373365D"/>
    <w:rsid w:val="63742BA6"/>
    <w:rsid w:val="63754CFE"/>
    <w:rsid w:val="637AF336"/>
    <w:rsid w:val="63801654"/>
    <w:rsid w:val="6382FAB2"/>
    <w:rsid w:val="6389EAB3"/>
    <w:rsid w:val="63923C95"/>
    <w:rsid w:val="639CFD71"/>
    <w:rsid w:val="639E1ECA"/>
    <w:rsid w:val="63A2BD2A"/>
    <w:rsid w:val="63AD213C"/>
    <w:rsid w:val="63AD8656"/>
    <w:rsid w:val="63B56F6A"/>
    <w:rsid w:val="63BFD6C1"/>
    <w:rsid w:val="63C593B6"/>
    <w:rsid w:val="63CE3682"/>
    <w:rsid w:val="63D02EE1"/>
    <w:rsid w:val="63DA2A2F"/>
    <w:rsid w:val="63DC004C"/>
    <w:rsid w:val="63E0758E"/>
    <w:rsid w:val="63ED6E64"/>
    <w:rsid w:val="63EDD6EA"/>
    <w:rsid w:val="63F98520"/>
    <w:rsid w:val="64005B8C"/>
    <w:rsid w:val="6403A499"/>
    <w:rsid w:val="640A35B9"/>
    <w:rsid w:val="64182799"/>
    <w:rsid w:val="641C1583"/>
    <w:rsid w:val="6422D220"/>
    <w:rsid w:val="6428ED17"/>
    <w:rsid w:val="6430BABA"/>
    <w:rsid w:val="6430BABA"/>
    <w:rsid w:val="644C289B"/>
    <w:rsid w:val="6454F87B"/>
    <w:rsid w:val="645E794D"/>
    <w:rsid w:val="6464B9F3"/>
    <w:rsid w:val="64687E4F"/>
    <w:rsid w:val="64695413"/>
    <w:rsid w:val="646DE51D"/>
    <w:rsid w:val="64744BAF"/>
    <w:rsid w:val="64776153"/>
    <w:rsid w:val="6478B232"/>
    <w:rsid w:val="648A43D8"/>
    <w:rsid w:val="648B0A65"/>
    <w:rsid w:val="6498F4F1"/>
    <w:rsid w:val="649B591A"/>
    <w:rsid w:val="649C2068"/>
    <w:rsid w:val="649D4F6B"/>
    <w:rsid w:val="64A2B022"/>
    <w:rsid w:val="64A37A73"/>
    <w:rsid w:val="64AC62C5"/>
    <w:rsid w:val="64AE382E"/>
    <w:rsid w:val="64AE4EDB"/>
    <w:rsid w:val="64AF26F6"/>
    <w:rsid w:val="64B13807"/>
    <w:rsid w:val="64B18E82"/>
    <w:rsid w:val="64B2A4FC"/>
    <w:rsid w:val="64B657B1"/>
    <w:rsid w:val="64BAABAF"/>
    <w:rsid w:val="64BD95B5"/>
    <w:rsid w:val="64C46D30"/>
    <w:rsid w:val="64C9DA56"/>
    <w:rsid w:val="64CF8E17"/>
    <w:rsid w:val="64D00A66"/>
    <w:rsid w:val="64D22A70"/>
    <w:rsid w:val="64D73496"/>
    <w:rsid w:val="64DC2868"/>
    <w:rsid w:val="64EE0E8A"/>
    <w:rsid w:val="64EF963A"/>
    <w:rsid w:val="64FA27A8"/>
    <w:rsid w:val="64FFEFAF"/>
    <w:rsid w:val="650841B2"/>
    <w:rsid w:val="6508C12E"/>
    <w:rsid w:val="65099ABA"/>
    <w:rsid w:val="650DC5E5"/>
    <w:rsid w:val="65104997"/>
    <w:rsid w:val="651065CB"/>
    <w:rsid w:val="65132C48"/>
    <w:rsid w:val="6514204B"/>
    <w:rsid w:val="6519CFF3"/>
    <w:rsid w:val="651AFF76"/>
    <w:rsid w:val="65259DF2"/>
    <w:rsid w:val="652852F2"/>
    <w:rsid w:val="6531E21B"/>
    <w:rsid w:val="65352853"/>
    <w:rsid w:val="6539AF6B"/>
    <w:rsid w:val="654909F2"/>
    <w:rsid w:val="654D7D32"/>
    <w:rsid w:val="654F51DE"/>
    <w:rsid w:val="6553379C"/>
    <w:rsid w:val="6553668A"/>
    <w:rsid w:val="655C53AF"/>
    <w:rsid w:val="657C1866"/>
    <w:rsid w:val="65875C59"/>
    <w:rsid w:val="659A7830"/>
    <w:rsid w:val="659E44A7"/>
    <w:rsid w:val="65A7FEC8"/>
    <w:rsid w:val="65AB15F6"/>
    <w:rsid w:val="65B17BB0"/>
    <w:rsid w:val="65B1C49B"/>
    <w:rsid w:val="65B496CB"/>
    <w:rsid w:val="65B526E0"/>
    <w:rsid w:val="65B75DF9"/>
    <w:rsid w:val="65B95847"/>
    <w:rsid w:val="65BD5843"/>
    <w:rsid w:val="65BDD66C"/>
    <w:rsid w:val="65BDE41D"/>
    <w:rsid w:val="65C9AAD5"/>
    <w:rsid w:val="65CADE50"/>
    <w:rsid w:val="65D61873"/>
    <w:rsid w:val="65D7CFA3"/>
    <w:rsid w:val="65D9E889"/>
    <w:rsid w:val="65DAEB40"/>
    <w:rsid w:val="65E03DB1"/>
    <w:rsid w:val="65E3E6A8"/>
    <w:rsid w:val="65E9B94C"/>
    <w:rsid w:val="65EA2B5A"/>
    <w:rsid w:val="65EDF4AE"/>
    <w:rsid w:val="65FCB61E"/>
    <w:rsid w:val="6601DC61"/>
    <w:rsid w:val="6610F416"/>
    <w:rsid w:val="6611D708"/>
    <w:rsid w:val="6618AC5B"/>
    <w:rsid w:val="66223280"/>
    <w:rsid w:val="6625D4DD"/>
    <w:rsid w:val="66314996"/>
    <w:rsid w:val="663AA14E"/>
    <w:rsid w:val="663FBEA1"/>
    <w:rsid w:val="664B77AB"/>
    <w:rsid w:val="664C808E"/>
    <w:rsid w:val="664F2313"/>
    <w:rsid w:val="665827CD"/>
    <w:rsid w:val="6662DAC9"/>
    <w:rsid w:val="667DFAA8"/>
    <w:rsid w:val="6680DA1D"/>
    <w:rsid w:val="6691D312"/>
    <w:rsid w:val="669BD198"/>
    <w:rsid w:val="669F82CC"/>
    <w:rsid w:val="66B39464"/>
    <w:rsid w:val="66B70613"/>
    <w:rsid w:val="66B7092F"/>
    <w:rsid w:val="66B9CF57"/>
    <w:rsid w:val="66BD32FB"/>
    <w:rsid w:val="66C9F866"/>
    <w:rsid w:val="66CAFB47"/>
    <w:rsid w:val="66D9CCAD"/>
    <w:rsid w:val="66EBED9F"/>
    <w:rsid w:val="66EC9D28"/>
    <w:rsid w:val="66F18613"/>
    <w:rsid w:val="66F3DC07"/>
    <w:rsid w:val="66FCE19E"/>
    <w:rsid w:val="670774AC"/>
    <w:rsid w:val="6709889E"/>
    <w:rsid w:val="670A8391"/>
    <w:rsid w:val="670BE4F2"/>
    <w:rsid w:val="670C8826"/>
    <w:rsid w:val="670E0D24"/>
    <w:rsid w:val="670EDF9C"/>
    <w:rsid w:val="671D0080"/>
    <w:rsid w:val="671FE4F7"/>
    <w:rsid w:val="67212735"/>
    <w:rsid w:val="67230A66"/>
    <w:rsid w:val="672B69EC"/>
    <w:rsid w:val="67507BD1"/>
    <w:rsid w:val="6751A7E3"/>
    <w:rsid w:val="67558634"/>
    <w:rsid w:val="6756D609"/>
    <w:rsid w:val="675D5D49"/>
    <w:rsid w:val="675E0ABF"/>
    <w:rsid w:val="67726A6F"/>
    <w:rsid w:val="6772F396"/>
    <w:rsid w:val="67761F7B"/>
    <w:rsid w:val="67796C1D"/>
    <w:rsid w:val="67897CE5"/>
    <w:rsid w:val="67945C71"/>
    <w:rsid w:val="679EA80D"/>
    <w:rsid w:val="67A32525"/>
    <w:rsid w:val="67AAFACE"/>
    <w:rsid w:val="67AC70C7"/>
    <w:rsid w:val="67B1C48A"/>
    <w:rsid w:val="67BE45FF"/>
    <w:rsid w:val="67BF13D6"/>
    <w:rsid w:val="67C6FAF8"/>
    <w:rsid w:val="67C73A78"/>
    <w:rsid w:val="67D1453F"/>
    <w:rsid w:val="67D4A42B"/>
    <w:rsid w:val="67D8EBAB"/>
    <w:rsid w:val="67DA1755"/>
    <w:rsid w:val="67DCE8C4"/>
    <w:rsid w:val="67DD50D7"/>
    <w:rsid w:val="67DD50D7"/>
    <w:rsid w:val="67E0C91A"/>
    <w:rsid w:val="67EF6485"/>
    <w:rsid w:val="67F54808"/>
    <w:rsid w:val="67FAB153"/>
    <w:rsid w:val="67FF887C"/>
    <w:rsid w:val="68000AE6"/>
    <w:rsid w:val="680EF329"/>
    <w:rsid w:val="680F2615"/>
    <w:rsid w:val="681C8027"/>
    <w:rsid w:val="681FBF1B"/>
    <w:rsid w:val="6835CB89"/>
    <w:rsid w:val="68406600"/>
    <w:rsid w:val="68488F4B"/>
    <w:rsid w:val="684F87C9"/>
    <w:rsid w:val="6852BBDE"/>
    <w:rsid w:val="685A9191"/>
    <w:rsid w:val="685A9637"/>
    <w:rsid w:val="6861456F"/>
    <w:rsid w:val="6867FE4B"/>
    <w:rsid w:val="68742F7A"/>
    <w:rsid w:val="6874CC07"/>
    <w:rsid w:val="68752C58"/>
    <w:rsid w:val="6892FA18"/>
    <w:rsid w:val="689DB50F"/>
    <w:rsid w:val="68B58B80"/>
    <w:rsid w:val="68B81446"/>
    <w:rsid w:val="68BEE678"/>
    <w:rsid w:val="68C31A4C"/>
    <w:rsid w:val="68CA76B2"/>
    <w:rsid w:val="68CBA491"/>
    <w:rsid w:val="68D0A2A3"/>
    <w:rsid w:val="68D8D0B3"/>
    <w:rsid w:val="68D933E8"/>
    <w:rsid w:val="68DE9349"/>
    <w:rsid w:val="68ED8E44"/>
    <w:rsid w:val="68F3C8F5"/>
    <w:rsid w:val="68F7EEA9"/>
    <w:rsid w:val="690A3126"/>
    <w:rsid w:val="690CEDE0"/>
    <w:rsid w:val="6910F962"/>
    <w:rsid w:val="691A6884"/>
    <w:rsid w:val="69211EC7"/>
    <w:rsid w:val="69228386"/>
    <w:rsid w:val="69235EBA"/>
    <w:rsid w:val="69289B55"/>
    <w:rsid w:val="692A7023"/>
    <w:rsid w:val="6932A1B9"/>
    <w:rsid w:val="6934A4AD"/>
    <w:rsid w:val="69355807"/>
    <w:rsid w:val="6939C9AE"/>
    <w:rsid w:val="69402DE0"/>
    <w:rsid w:val="694441B4"/>
    <w:rsid w:val="694BF16A"/>
    <w:rsid w:val="694C2102"/>
    <w:rsid w:val="6961CB75"/>
    <w:rsid w:val="696C5398"/>
    <w:rsid w:val="696F252A"/>
    <w:rsid w:val="69769919"/>
    <w:rsid w:val="69770B8C"/>
    <w:rsid w:val="698BB5CD"/>
    <w:rsid w:val="698E8374"/>
    <w:rsid w:val="69946E2D"/>
    <w:rsid w:val="6997C032"/>
    <w:rsid w:val="69987816"/>
    <w:rsid w:val="69A4776D"/>
    <w:rsid w:val="69AED16F"/>
    <w:rsid w:val="69B14406"/>
    <w:rsid w:val="69B6C1E6"/>
    <w:rsid w:val="69B8F9D5"/>
    <w:rsid w:val="69B9F1FD"/>
    <w:rsid w:val="69BFFD24"/>
    <w:rsid w:val="69C11C89"/>
    <w:rsid w:val="69C847A7"/>
    <w:rsid w:val="69CCE8CD"/>
    <w:rsid w:val="69CFAC5A"/>
    <w:rsid w:val="69D6F861"/>
    <w:rsid w:val="69DA826D"/>
    <w:rsid w:val="69E020B5"/>
    <w:rsid w:val="69E3279E"/>
    <w:rsid w:val="69E93E1D"/>
    <w:rsid w:val="69F9E23A"/>
    <w:rsid w:val="69FAECDC"/>
    <w:rsid w:val="6A0C178B"/>
    <w:rsid w:val="6A0FC7AA"/>
    <w:rsid w:val="6A13E70B"/>
    <w:rsid w:val="6A185351"/>
    <w:rsid w:val="6A1D4EB5"/>
    <w:rsid w:val="6A1FB9C5"/>
    <w:rsid w:val="6A3059BC"/>
    <w:rsid w:val="6A30CE96"/>
    <w:rsid w:val="6A3689C8"/>
    <w:rsid w:val="6A3D90FA"/>
    <w:rsid w:val="6A3FB568"/>
    <w:rsid w:val="6A479155"/>
    <w:rsid w:val="6A4A012A"/>
    <w:rsid w:val="6A4FC56B"/>
    <w:rsid w:val="6A575FD2"/>
    <w:rsid w:val="6A5896FF"/>
    <w:rsid w:val="6A595ED6"/>
    <w:rsid w:val="6A5E3CFF"/>
    <w:rsid w:val="6A617855"/>
    <w:rsid w:val="6A6617FA"/>
    <w:rsid w:val="6A6662A8"/>
    <w:rsid w:val="6A6B0D88"/>
    <w:rsid w:val="6A74AFA9"/>
    <w:rsid w:val="6A81D47A"/>
    <w:rsid w:val="6A83C79D"/>
    <w:rsid w:val="6A8A156C"/>
    <w:rsid w:val="6A97D232"/>
    <w:rsid w:val="6A9AA560"/>
    <w:rsid w:val="6AA357B4"/>
    <w:rsid w:val="6AA894A6"/>
    <w:rsid w:val="6AAA9008"/>
    <w:rsid w:val="6AB0FD5F"/>
    <w:rsid w:val="6AC9813A"/>
    <w:rsid w:val="6AC9B53B"/>
    <w:rsid w:val="6ACEF78D"/>
    <w:rsid w:val="6AD08543"/>
    <w:rsid w:val="6ADB40FA"/>
    <w:rsid w:val="6ADF1126"/>
    <w:rsid w:val="6AE1201E"/>
    <w:rsid w:val="6AED382F"/>
    <w:rsid w:val="6AEF58CB"/>
    <w:rsid w:val="6AF0FD18"/>
    <w:rsid w:val="6B0EE19F"/>
    <w:rsid w:val="6B185C85"/>
    <w:rsid w:val="6B1CA850"/>
    <w:rsid w:val="6B2C41BD"/>
    <w:rsid w:val="6B3426A3"/>
    <w:rsid w:val="6B34F7C5"/>
    <w:rsid w:val="6B356135"/>
    <w:rsid w:val="6B367CAE"/>
    <w:rsid w:val="6B3D7556"/>
    <w:rsid w:val="6B3F8462"/>
    <w:rsid w:val="6B45CCC4"/>
    <w:rsid w:val="6B509700"/>
    <w:rsid w:val="6B55A21E"/>
    <w:rsid w:val="6B5C9B14"/>
    <w:rsid w:val="6B64C9DB"/>
    <w:rsid w:val="6B65A1EE"/>
    <w:rsid w:val="6B66B687"/>
    <w:rsid w:val="6B683DCD"/>
    <w:rsid w:val="6B6FFF26"/>
    <w:rsid w:val="6B70F415"/>
    <w:rsid w:val="6B736FCF"/>
    <w:rsid w:val="6B76C4DF"/>
    <w:rsid w:val="6B7F2742"/>
    <w:rsid w:val="6B936371"/>
    <w:rsid w:val="6B947CFD"/>
    <w:rsid w:val="6B9C8519"/>
    <w:rsid w:val="6BAB17E9"/>
    <w:rsid w:val="6BB425A0"/>
    <w:rsid w:val="6BB8B3EE"/>
    <w:rsid w:val="6BBBFE62"/>
    <w:rsid w:val="6BC28EAD"/>
    <w:rsid w:val="6BC28EAD"/>
    <w:rsid w:val="6BC8F231"/>
    <w:rsid w:val="6BD8366C"/>
    <w:rsid w:val="6BE546A6"/>
    <w:rsid w:val="6BE62386"/>
    <w:rsid w:val="6BE69544"/>
    <w:rsid w:val="6BE8CF52"/>
    <w:rsid w:val="6BEA2918"/>
    <w:rsid w:val="6BEE44DD"/>
    <w:rsid w:val="6BEE5E1C"/>
    <w:rsid w:val="6BFC21E8"/>
    <w:rsid w:val="6BFC4D48"/>
    <w:rsid w:val="6BFFC81C"/>
    <w:rsid w:val="6C0055A3"/>
    <w:rsid w:val="6C038318"/>
    <w:rsid w:val="6C038318"/>
    <w:rsid w:val="6C083101"/>
    <w:rsid w:val="6C095C79"/>
    <w:rsid w:val="6C0E9BB6"/>
    <w:rsid w:val="6C173CE0"/>
    <w:rsid w:val="6C1B24FE"/>
    <w:rsid w:val="6C22D865"/>
    <w:rsid w:val="6C266D6F"/>
    <w:rsid w:val="6C28807D"/>
    <w:rsid w:val="6C303B6B"/>
    <w:rsid w:val="6C3510A5"/>
    <w:rsid w:val="6C351D8E"/>
    <w:rsid w:val="6C367878"/>
    <w:rsid w:val="6C3C79F9"/>
    <w:rsid w:val="6C40F047"/>
    <w:rsid w:val="6C44C413"/>
    <w:rsid w:val="6C49E4FE"/>
    <w:rsid w:val="6C4C9818"/>
    <w:rsid w:val="6C4F8B7A"/>
    <w:rsid w:val="6C61C918"/>
    <w:rsid w:val="6C61C918"/>
    <w:rsid w:val="6C64164B"/>
    <w:rsid w:val="6C6C5118"/>
    <w:rsid w:val="6C6F11EF"/>
    <w:rsid w:val="6C6F11EF"/>
    <w:rsid w:val="6C74C8D6"/>
    <w:rsid w:val="6C83E9A8"/>
    <w:rsid w:val="6C87ABB8"/>
    <w:rsid w:val="6C9405B4"/>
    <w:rsid w:val="6C9B2B07"/>
    <w:rsid w:val="6CAEC6C0"/>
    <w:rsid w:val="6CB66994"/>
    <w:rsid w:val="6CBB8D88"/>
    <w:rsid w:val="6CBC8ADC"/>
    <w:rsid w:val="6CBCDB14"/>
    <w:rsid w:val="6CBF6F3C"/>
    <w:rsid w:val="6CD04C43"/>
    <w:rsid w:val="6CD0E349"/>
    <w:rsid w:val="6CDB60AA"/>
    <w:rsid w:val="6CE1972F"/>
    <w:rsid w:val="6CE8084F"/>
    <w:rsid w:val="6CE8C42F"/>
    <w:rsid w:val="6CEA851D"/>
    <w:rsid w:val="6CED9696"/>
    <w:rsid w:val="6CF1484C"/>
    <w:rsid w:val="6D0E698B"/>
    <w:rsid w:val="6D0EA06E"/>
    <w:rsid w:val="6D179BD7"/>
    <w:rsid w:val="6D18D2C5"/>
    <w:rsid w:val="6D1A43B0"/>
    <w:rsid w:val="6D26800D"/>
    <w:rsid w:val="6D2D167C"/>
    <w:rsid w:val="6D314916"/>
    <w:rsid w:val="6D321B7E"/>
    <w:rsid w:val="6D3263C4"/>
    <w:rsid w:val="6D3AB381"/>
    <w:rsid w:val="6D4295E6"/>
    <w:rsid w:val="6D455562"/>
    <w:rsid w:val="6D473634"/>
    <w:rsid w:val="6D49F88C"/>
    <w:rsid w:val="6D4DDDF2"/>
    <w:rsid w:val="6D4DDE82"/>
    <w:rsid w:val="6D53B628"/>
    <w:rsid w:val="6D546270"/>
    <w:rsid w:val="6D588957"/>
    <w:rsid w:val="6D5E7C8F"/>
    <w:rsid w:val="6D6018E2"/>
    <w:rsid w:val="6D69A8C6"/>
    <w:rsid w:val="6D70338F"/>
    <w:rsid w:val="6D7AE88C"/>
    <w:rsid w:val="6D7E8553"/>
    <w:rsid w:val="6D85A24E"/>
    <w:rsid w:val="6D85AF60"/>
    <w:rsid w:val="6D8FDFD3"/>
    <w:rsid w:val="6D9160C2"/>
    <w:rsid w:val="6D955C52"/>
    <w:rsid w:val="6D9893C6"/>
    <w:rsid w:val="6DA197E8"/>
    <w:rsid w:val="6DA32066"/>
    <w:rsid w:val="6DAC034C"/>
    <w:rsid w:val="6DB1B5A2"/>
    <w:rsid w:val="6DB1B5A2"/>
    <w:rsid w:val="6DB4A125"/>
    <w:rsid w:val="6DB78505"/>
    <w:rsid w:val="6DBD670C"/>
    <w:rsid w:val="6DC47A6E"/>
    <w:rsid w:val="6DCBB60C"/>
    <w:rsid w:val="6DCE947C"/>
    <w:rsid w:val="6DD7AEED"/>
    <w:rsid w:val="6DD8887C"/>
    <w:rsid w:val="6DD9C0CB"/>
    <w:rsid w:val="6DDEEDBE"/>
    <w:rsid w:val="6DE1F3D0"/>
    <w:rsid w:val="6DEBD6A2"/>
    <w:rsid w:val="6DF5CF81"/>
    <w:rsid w:val="6DF99114"/>
    <w:rsid w:val="6E02D56B"/>
    <w:rsid w:val="6E0B6372"/>
    <w:rsid w:val="6E0C7561"/>
    <w:rsid w:val="6E22E3A1"/>
    <w:rsid w:val="6E2EF7EA"/>
    <w:rsid w:val="6E33DFEB"/>
    <w:rsid w:val="6E57E1F4"/>
    <w:rsid w:val="6E5A4196"/>
    <w:rsid w:val="6E6229FB"/>
    <w:rsid w:val="6E631FF7"/>
    <w:rsid w:val="6E66A1E0"/>
    <w:rsid w:val="6E69C805"/>
    <w:rsid w:val="6E7168D2"/>
    <w:rsid w:val="6E7521F3"/>
    <w:rsid w:val="6E7B25E9"/>
    <w:rsid w:val="6E7FDAE3"/>
    <w:rsid w:val="6E8AA12F"/>
    <w:rsid w:val="6E9000A0"/>
    <w:rsid w:val="6E96E8DC"/>
    <w:rsid w:val="6E96FE48"/>
    <w:rsid w:val="6E9987F9"/>
    <w:rsid w:val="6EA0CDEC"/>
    <w:rsid w:val="6EA56E60"/>
    <w:rsid w:val="6EBEAC27"/>
    <w:rsid w:val="6EC8215D"/>
    <w:rsid w:val="6ECE52D3"/>
    <w:rsid w:val="6ED653D7"/>
    <w:rsid w:val="6EDBE7F7"/>
    <w:rsid w:val="6EE00907"/>
    <w:rsid w:val="6EE4D441"/>
    <w:rsid w:val="6EEF1674"/>
    <w:rsid w:val="6EEF2C58"/>
    <w:rsid w:val="6EF23438"/>
    <w:rsid w:val="6EF64D95"/>
    <w:rsid w:val="6EF83EEF"/>
    <w:rsid w:val="6EFDABE3"/>
    <w:rsid w:val="6F006C6A"/>
    <w:rsid w:val="6F08F98F"/>
    <w:rsid w:val="6F11DB66"/>
    <w:rsid w:val="6F15B71A"/>
    <w:rsid w:val="6F16179E"/>
    <w:rsid w:val="6F253804"/>
    <w:rsid w:val="6F2A2489"/>
    <w:rsid w:val="6F2A7381"/>
    <w:rsid w:val="6F30634B"/>
    <w:rsid w:val="6F31838F"/>
    <w:rsid w:val="6F44D79A"/>
    <w:rsid w:val="6F474238"/>
    <w:rsid w:val="6F4EC395"/>
    <w:rsid w:val="6F501E7C"/>
    <w:rsid w:val="6F518B53"/>
    <w:rsid w:val="6F5324CB"/>
    <w:rsid w:val="6F552FC7"/>
    <w:rsid w:val="6F55635F"/>
    <w:rsid w:val="6F693D4E"/>
    <w:rsid w:val="6F6967F6"/>
    <w:rsid w:val="6F713B87"/>
    <w:rsid w:val="6F714FDF"/>
    <w:rsid w:val="6F7534E2"/>
    <w:rsid w:val="6F76CDC7"/>
    <w:rsid w:val="6F7A5E2B"/>
    <w:rsid w:val="6F8301A4"/>
    <w:rsid w:val="6F8964DA"/>
    <w:rsid w:val="6F98BE8E"/>
    <w:rsid w:val="6F995CBD"/>
    <w:rsid w:val="6F9A6312"/>
    <w:rsid w:val="6F9BAD52"/>
    <w:rsid w:val="6FA4BA4F"/>
    <w:rsid w:val="6FACF8F9"/>
    <w:rsid w:val="6FC8FD80"/>
    <w:rsid w:val="6FCED07C"/>
    <w:rsid w:val="6FD4056B"/>
    <w:rsid w:val="6FDB4043"/>
    <w:rsid w:val="6FE4971E"/>
    <w:rsid w:val="6FEEAD13"/>
    <w:rsid w:val="6FEFEEC9"/>
    <w:rsid w:val="6FF29B1F"/>
    <w:rsid w:val="6FF8FDDC"/>
    <w:rsid w:val="6FFAFBEA"/>
    <w:rsid w:val="7003911C"/>
    <w:rsid w:val="700F9358"/>
    <w:rsid w:val="7013C396"/>
    <w:rsid w:val="7015DBF7"/>
    <w:rsid w:val="70272FF3"/>
    <w:rsid w:val="703BCB59"/>
    <w:rsid w:val="703D68AC"/>
    <w:rsid w:val="7040622C"/>
    <w:rsid w:val="70465A59"/>
    <w:rsid w:val="705A85D0"/>
    <w:rsid w:val="705C89E1"/>
    <w:rsid w:val="706974D8"/>
    <w:rsid w:val="706B5B4C"/>
    <w:rsid w:val="706B74CA"/>
    <w:rsid w:val="7072FF6C"/>
    <w:rsid w:val="707B3EFB"/>
    <w:rsid w:val="707B8748"/>
    <w:rsid w:val="707D999A"/>
    <w:rsid w:val="707DAF6A"/>
    <w:rsid w:val="70856480"/>
    <w:rsid w:val="708EE088"/>
    <w:rsid w:val="709083AE"/>
    <w:rsid w:val="709BD418"/>
    <w:rsid w:val="70A46C63"/>
    <w:rsid w:val="70A93399"/>
    <w:rsid w:val="70B02A9A"/>
    <w:rsid w:val="70B9A95C"/>
    <w:rsid w:val="70C0425C"/>
    <w:rsid w:val="70C15732"/>
    <w:rsid w:val="70E29816"/>
    <w:rsid w:val="70E5F019"/>
    <w:rsid w:val="70EEAC3F"/>
    <w:rsid w:val="70F4077E"/>
    <w:rsid w:val="70FE8559"/>
    <w:rsid w:val="70FF344C"/>
    <w:rsid w:val="7117F158"/>
    <w:rsid w:val="711BB61E"/>
    <w:rsid w:val="711DDDC7"/>
    <w:rsid w:val="712513A9"/>
    <w:rsid w:val="713051C3"/>
    <w:rsid w:val="7132693B"/>
    <w:rsid w:val="7135126D"/>
    <w:rsid w:val="713AE149"/>
    <w:rsid w:val="713CCB62"/>
    <w:rsid w:val="714FC5AA"/>
    <w:rsid w:val="71587BA5"/>
    <w:rsid w:val="715E0B61"/>
    <w:rsid w:val="715E8B94"/>
    <w:rsid w:val="716257BA"/>
    <w:rsid w:val="71632CCD"/>
    <w:rsid w:val="7181E5BD"/>
    <w:rsid w:val="71834B21"/>
    <w:rsid w:val="71860BE3"/>
    <w:rsid w:val="718F4AE9"/>
    <w:rsid w:val="7194569F"/>
    <w:rsid w:val="7194CD67"/>
    <w:rsid w:val="7196C3AB"/>
    <w:rsid w:val="719912A8"/>
    <w:rsid w:val="719BDF22"/>
    <w:rsid w:val="719E945A"/>
    <w:rsid w:val="71A904A2"/>
    <w:rsid w:val="71A934EA"/>
    <w:rsid w:val="71A9D52D"/>
    <w:rsid w:val="71ABFDA1"/>
    <w:rsid w:val="71AE973F"/>
    <w:rsid w:val="71B8B3C7"/>
    <w:rsid w:val="71BE36E8"/>
    <w:rsid w:val="71C2D41C"/>
    <w:rsid w:val="71C5422E"/>
    <w:rsid w:val="71C71175"/>
    <w:rsid w:val="71C8D3BD"/>
    <w:rsid w:val="71DF4B8C"/>
    <w:rsid w:val="71DF76C3"/>
    <w:rsid w:val="71E1BF61"/>
    <w:rsid w:val="71E31A28"/>
    <w:rsid w:val="71E53397"/>
    <w:rsid w:val="71E53397"/>
    <w:rsid w:val="71F477A9"/>
    <w:rsid w:val="7201BF5F"/>
    <w:rsid w:val="7202689A"/>
    <w:rsid w:val="72077ABB"/>
    <w:rsid w:val="72088C56"/>
    <w:rsid w:val="7212B7B1"/>
    <w:rsid w:val="721E0094"/>
    <w:rsid w:val="7222358F"/>
    <w:rsid w:val="72348273"/>
    <w:rsid w:val="7234BD5F"/>
    <w:rsid w:val="7238E839"/>
    <w:rsid w:val="7240BF82"/>
    <w:rsid w:val="7242B3BE"/>
    <w:rsid w:val="724885F5"/>
    <w:rsid w:val="72498BD1"/>
    <w:rsid w:val="724E5E57"/>
    <w:rsid w:val="72588033"/>
    <w:rsid w:val="725E6B75"/>
    <w:rsid w:val="72613414"/>
    <w:rsid w:val="7263DF5B"/>
    <w:rsid w:val="72825CC1"/>
    <w:rsid w:val="728F90A7"/>
    <w:rsid w:val="729BF95D"/>
    <w:rsid w:val="72A7959D"/>
    <w:rsid w:val="72AC96CE"/>
    <w:rsid w:val="72ADB61B"/>
    <w:rsid w:val="72B71590"/>
    <w:rsid w:val="72B96094"/>
    <w:rsid w:val="72C1E883"/>
    <w:rsid w:val="72C454B6"/>
    <w:rsid w:val="72C5C19C"/>
    <w:rsid w:val="72CABEED"/>
    <w:rsid w:val="72CBC157"/>
    <w:rsid w:val="72CD1520"/>
    <w:rsid w:val="72D0C0CF"/>
    <w:rsid w:val="72D36562"/>
    <w:rsid w:val="72D7025C"/>
    <w:rsid w:val="72D7C58C"/>
    <w:rsid w:val="72D82317"/>
    <w:rsid w:val="72F14D48"/>
    <w:rsid w:val="72F269BC"/>
    <w:rsid w:val="72F31F52"/>
    <w:rsid w:val="72F7F71F"/>
    <w:rsid w:val="7300047B"/>
    <w:rsid w:val="730156A1"/>
    <w:rsid w:val="730C5BE0"/>
    <w:rsid w:val="730F1CBC"/>
    <w:rsid w:val="731E6DCF"/>
    <w:rsid w:val="73323755"/>
    <w:rsid w:val="7334525B"/>
    <w:rsid w:val="733A6CC8"/>
    <w:rsid w:val="733B44AE"/>
    <w:rsid w:val="733EFE21"/>
    <w:rsid w:val="7340C7E7"/>
    <w:rsid w:val="7342A2E4"/>
    <w:rsid w:val="734D9927"/>
    <w:rsid w:val="7351D073"/>
    <w:rsid w:val="7365A2D9"/>
    <w:rsid w:val="736915C1"/>
    <w:rsid w:val="736C041E"/>
    <w:rsid w:val="736EA9E2"/>
    <w:rsid w:val="736FC33D"/>
    <w:rsid w:val="737F9B50"/>
    <w:rsid w:val="73807108"/>
    <w:rsid w:val="73866A1D"/>
    <w:rsid w:val="738E6FD6"/>
    <w:rsid w:val="73A01CE2"/>
    <w:rsid w:val="73A6A48A"/>
    <w:rsid w:val="73A8CF22"/>
    <w:rsid w:val="73AE4A41"/>
    <w:rsid w:val="73B54B02"/>
    <w:rsid w:val="73C59688"/>
    <w:rsid w:val="73C8F2C4"/>
    <w:rsid w:val="73CC59EC"/>
    <w:rsid w:val="73CC65C3"/>
    <w:rsid w:val="73CD81E6"/>
    <w:rsid w:val="73DB6EA9"/>
    <w:rsid w:val="73DD592C"/>
    <w:rsid w:val="73DF8EAC"/>
    <w:rsid w:val="73E24945"/>
    <w:rsid w:val="73E2B58A"/>
    <w:rsid w:val="73E4F69C"/>
    <w:rsid w:val="73E8BE16"/>
    <w:rsid w:val="73EC3CED"/>
    <w:rsid w:val="73F8B537"/>
    <w:rsid w:val="73FAFDDD"/>
    <w:rsid w:val="73FDDE81"/>
    <w:rsid w:val="73FE5DED"/>
    <w:rsid w:val="7402D932"/>
    <w:rsid w:val="741D354B"/>
    <w:rsid w:val="742B38BC"/>
    <w:rsid w:val="743DE50E"/>
    <w:rsid w:val="743E90B4"/>
    <w:rsid w:val="744F6A21"/>
    <w:rsid w:val="744FF319"/>
    <w:rsid w:val="745147D1"/>
    <w:rsid w:val="745E23DE"/>
    <w:rsid w:val="74616171"/>
    <w:rsid w:val="74640DC0"/>
    <w:rsid w:val="746EEFFB"/>
    <w:rsid w:val="746FCBFA"/>
    <w:rsid w:val="7475C40A"/>
    <w:rsid w:val="7476E091"/>
    <w:rsid w:val="7477DAEA"/>
    <w:rsid w:val="747F4AC8"/>
    <w:rsid w:val="748362F3"/>
    <w:rsid w:val="74861359"/>
    <w:rsid w:val="749EB3A9"/>
    <w:rsid w:val="749F1944"/>
    <w:rsid w:val="74A0AE7A"/>
    <w:rsid w:val="74A695E5"/>
    <w:rsid w:val="74A6BC54"/>
    <w:rsid w:val="74AC2824"/>
    <w:rsid w:val="74AD9C74"/>
    <w:rsid w:val="74B2770E"/>
    <w:rsid w:val="74B2B082"/>
    <w:rsid w:val="74BA87C8"/>
    <w:rsid w:val="74BD0CD6"/>
    <w:rsid w:val="74C1C573"/>
    <w:rsid w:val="74CA3A08"/>
    <w:rsid w:val="74D0DF53"/>
    <w:rsid w:val="74DCE289"/>
    <w:rsid w:val="74E5DB93"/>
    <w:rsid w:val="74E5F5E6"/>
    <w:rsid w:val="74E6950B"/>
    <w:rsid w:val="74F3D9B1"/>
    <w:rsid w:val="74F848CA"/>
    <w:rsid w:val="74FB726B"/>
    <w:rsid w:val="74FF7600"/>
    <w:rsid w:val="7504136C"/>
    <w:rsid w:val="7505B951"/>
    <w:rsid w:val="750AEA24"/>
    <w:rsid w:val="750EEA51"/>
    <w:rsid w:val="7517D84F"/>
    <w:rsid w:val="7523EFEE"/>
    <w:rsid w:val="752993F2"/>
    <w:rsid w:val="752FF4E8"/>
    <w:rsid w:val="75311E58"/>
    <w:rsid w:val="7531CB3D"/>
    <w:rsid w:val="753B944F"/>
    <w:rsid w:val="753C358D"/>
    <w:rsid w:val="753CFA05"/>
    <w:rsid w:val="753E62C5"/>
    <w:rsid w:val="75456CF8"/>
    <w:rsid w:val="75471AED"/>
    <w:rsid w:val="7548AFCE"/>
    <w:rsid w:val="7548FA4A"/>
    <w:rsid w:val="7549641E"/>
    <w:rsid w:val="754B6FFE"/>
    <w:rsid w:val="754D5042"/>
    <w:rsid w:val="754DB859"/>
    <w:rsid w:val="755145F7"/>
    <w:rsid w:val="756A76A9"/>
    <w:rsid w:val="75748FCA"/>
    <w:rsid w:val="758804D7"/>
    <w:rsid w:val="7595266D"/>
    <w:rsid w:val="75A8EAC0"/>
    <w:rsid w:val="75ABF368"/>
    <w:rsid w:val="75ADE057"/>
    <w:rsid w:val="75B69E68"/>
    <w:rsid w:val="75B8B080"/>
    <w:rsid w:val="75B9023E"/>
    <w:rsid w:val="75D248C1"/>
    <w:rsid w:val="75D6467A"/>
    <w:rsid w:val="75E10866"/>
    <w:rsid w:val="75E6D308"/>
    <w:rsid w:val="75E7A011"/>
    <w:rsid w:val="75E87DCD"/>
    <w:rsid w:val="75F0FE33"/>
    <w:rsid w:val="7601B8A2"/>
    <w:rsid w:val="7607AE2F"/>
    <w:rsid w:val="760CE04A"/>
    <w:rsid w:val="760FD0B0"/>
    <w:rsid w:val="7610C427"/>
    <w:rsid w:val="7615117E"/>
    <w:rsid w:val="7626192B"/>
    <w:rsid w:val="762D6A7A"/>
    <w:rsid w:val="764A5859"/>
    <w:rsid w:val="764EDCDD"/>
    <w:rsid w:val="7651E216"/>
    <w:rsid w:val="7654EB4A"/>
    <w:rsid w:val="766139CF"/>
    <w:rsid w:val="76631CAA"/>
    <w:rsid w:val="7664C20B"/>
    <w:rsid w:val="7668358E"/>
    <w:rsid w:val="7668859E"/>
    <w:rsid w:val="76719268"/>
    <w:rsid w:val="7671DFE3"/>
    <w:rsid w:val="7679EB5E"/>
    <w:rsid w:val="767A7056"/>
    <w:rsid w:val="767C9036"/>
    <w:rsid w:val="7681E1DB"/>
    <w:rsid w:val="76870EEA"/>
    <w:rsid w:val="768EB9C1"/>
    <w:rsid w:val="7692DA0C"/>
    <w:rsid w:val="7699BD35"/>
    <w:rsid w:val="769A3862"/>
    <w:rsid w:val="769CDA5A"/>
    <w:rsid w:val="769E59E3"/>
    <w:rsid w:val="76AE4DBB"/>
    <w:rsid w:val="76B173EB"/>
    <w:rsid w:val="76B2DBF7"/>
    <w:rsid w:val="76B726A0"/>
    <w:rsid w:val="76B8050D"/>
    <w:rsid w:val="76B88E39"/>
    <w:rsid w:val="76B93444"/>
    <w:rsid w:val="76C2B374"/>
    <w:rsid w:val="76C88949"/>
    <w:rsid w:val="76D0435B"/>
    <w:rsid w:val="76D7A486"/>
    <w:rsid w:val="76DAE330"/>
    <w:rsid w:val="76DDB54E"/>
    <w:rsid w:val="76ECA00C"/>
    <w:rsid w:val="76F0A91B"/>
    <w:rsid w:val="76F35293"/>
    <w:rsid w:val="76F9AFF9"/>
    <w:rsid w:val="77000747"/>
    <w:rsid w:val="77027C4E"/>
    <w:rsid w:val="770752C3"/>
    <w:rsid w:val="7713A606"/>
    <w:rsid w:val="7717AF60"/>
    <w:rsid w:val="77197940"/>
    <w:rsid w:val="7719ED1A"/>
    <w:rsid w:val="7726AE9B"/>
    <w:rsid w:val="7726CB09"/>
    <w:rsid w:val="772F5A1F"/>
    <w:rsid w:val="77368A07"/>
    <w:rsid w:val="77379716"/>
    <w:rsid w:val="774396DA"/>
    <w:rsid w:val="7745F335"/>
    <w:rsid w:val="774E1AAC"/>
    <w:rsid w:val="7756C6E3"/>
    <w:rsid w:val="775FFFC6"/>
    <w:rsid w:val="7765DFBC"/>
    <w:rsid w:val="776653C3"/>
    <w:rsid w:val="77674FCB"/>
    <w:rsid w:val="77731341"/>
    <w:rsid w:val="777852F5"/>
    <w:rsid w:val="777EB315"/>
    <w:rsid w:val="778EF062"/>
    <w:rsid w:val="778FBF0E"/>
    <w:rsid w:val="7790312E"/>
    <w:rsid w:val="77A3A840"/>
    <w:rsid w:val="77A69A89"/>
    <w:rsid w:val="77B8588A"/>
    <w:rsid w:val="77CCDFC3"/>
    <w:rsid w:val="77D3B306"/>
    <w:rsid w:val="77D72AAD"/>
    <w:rsid w:val="77E4F46B"/>
    <w:rsid w:val="77E65109"/>
    <w:rsid w:val="77EF3329"/>
    <w:rsid w:val="78030688"/>
    <w:rsid w:val="780DF41A"/>
    <w:rsid w:val="780F6F7F"/>
    <w:rsid w:val="781A9481"/>
    <w:rsid w:val="781E3B87"/>
    <w:rsid w:val="7821BE34"/>
    <w:rsid w:val="7822557D"/>
    <w:rsid w:val="7830E825"/>
    <w:rsid w:val="78321E53"/>
    <w:rsid w:val="7839C161"/>
    <w:rsid w:val="783CF68F"/>
    <w:rsid w:val="783F0097"/>
    <w:rsid w:val="784619CE"/>
    <w:rsid w:val="784BFB0E"/>
    <w:rsid w:val="784BFB0E"/>
    <w:rsid w:val="7855E441"/>
    <w:rsid w:val="785EECBE"/>
    <w:rsid w:val="7861F01B"/>
    <w:rsid w:val="786F69C1"/>
    <w:rsid w:val="786FC314"/>
    <w:rsid w:val="78770BF9"/>
    <w:rsid w:val="787823FB"/>
    <w:rsid w:val="787F1B3C"/>
    <w:rsid w:val="788DC19D"/>
    <w:rsid w:val="7892D73F"/>
    <w:rsid w:val="789B6944"/>
    <w:rsid w:val="78A0A318"/>
    <w:rsid w:val="78B01B89"/>
    <w:rsid w:val="78B05CE3"/>
    <w:rsid w:val="78B07C8F"/>
    <w:rsid w:val="78B2AB63"/>
    <w:rsid w:val="78B4889B"/>
    <w:rsid w:val="78BF09EC"/>
    <w:rsid w:val="78C1B7CB"/>
    <w:rsid w:val="78C2AC4D"/>
    <w:rsid w:val="78C94604"/>
    <w:rsid w:val="78D21206"/>
    <w:rsid w:val="78D3EB8F"/>
    <w:rsid w:val="78D417A7"/>
    <w:rsid w:val="78D65D01"/>
    <w:rsid w:val="78E15B43"/>
    <w:rsid w:val="78E28117"/>
    <w:rsid w:val="78F1B26F"/>
    <w:rsid w:val="78F376EB"/>
    <w:rsid w:val="78F9610F"/>
    <w:rsid w:val="78F9615C"/>
    <w:rsid w:val="791720BD"/>
    <w:rsid w:val="791A1AF3"/>
    <w:rsid w:val="791CF48B"/>
    <w:rsid w:val="7927FC72"/>
    <w:rsid w:val="79298CDE"/>
    <w:rsid w:val="79387CDB"/>
    <w:rsid w:val="7939ABD9"/>
    <w:rsid w:val="79441EB8"/>
    <w:rsid w:val="794F0309"/>
    <w:rsid w:val="7953C720"/>
    <w:rsid w:val="7954E7DE"/>
    <w:rsid w:val="7957859D"/>
    <w:rsid w:val="7957859D"/>
    <w:rsid w:val="7958B6CB"/>
    <w:rsid w:val="795A2AC9"/>
    <w:rsid w:val="795A372D"/>
    <w:rsid w:val="795C6F5D"/>
    <w:rsid w:val="795FA3A1"/>
    <w:rsid w:val="795FB7A6"/>
    <w:rsid w:val="796B1A70"/>
    <w:rsid w:val="796F3234"/>
    <w:rsid w:val="79716DA0"/>
    <w:rsid w:val="7975BA75"/>
    <w:rsid w:val="79766BCE"/>
    <w:rsid w:val="7977FAD6"/>
    <w:rsid w:val="7978CD53"/>
    <w:rsid w:val="79845318"/>
    <w:rsid w:val="798C8ECF"/>
    <w:rsid w:val="79904CE4"/>
    <w:rsid w:val="79910CE9"/>
    <w:rsid w:val="7992906E"/>
    <w:rsid w:val="79933165"/>
    <w:rsid w:val="7997A706"/>
    <w:rsid w:val="7997A706"/>
    <w:rsid w:val="799E207A"/>
    <w:rsid w:val="79A1C2C2"/>
    <w:rsid w:val="79A6FD0C"/>
    <w:rsid w:val="79AFFB09"/>
    <w:rsid w:val="79B81E54"/>
    <w:rsid w:val="79CBB138"/>
    <w:rsid w:val="79CD6571"/>
    <w:rsid w:val="79D52896"/>
    <w:rsid w:val="79DD52ED"/>
    <w:rsid w:val="79DE0D4A"/>
    <w:rsid w:val="79E13F2A"/>
    <w:rsid w:val="79E4B316"/>
    <w:rsid w:val="79E9DB47"/>
    <w:rsid w:val="79ECE1E9"/>
    <w:rsid w:val="79F2D2E4"/>
    <w:rsid w:val="79F50EF5"/>
    <w:rsid w:val="79FF988A"/>
    <w:rsid w:val="7A02FEC6"/>
    <w:rsid w:val="7A0A5342"/>
    <w:rsid w:val="7A10A81D"/>
    <w:rsid w:val="7A1370A0"/>
    <w:rsid w:val="7A1D1EF8"/>
    <w:rsid w:val="7A292BD8"/>
    <w:rsid w:val="7A29CE20"/>
    <w:rsid w:val="7A2C8025"/>
    <w:rsid w:val="7A2DC12E"/>
    <w:rsid w:val="7A40D848"/>
    <w:rsid w:val="7A52DC1A"/>
    <w:rsid w:val="7A63797E"/>
    <w:rsid w:val="7A649F05"/>
    <w:rsid w:val="7A6EF720"/>
    <w:rsid w:val="7A70000B"/>
    <w:rsid w:val="7A76988B"/>
    <w:rsid w:val="7A76FB31"/>
    <w:rsid w:val="7A7751E0"/>
    <w:rsid w:val="7A78FCBD"/>
    <w:rsid w:val="7A870453"/>
    <w:rsid w:val="7A895E6F"/>
    <w:rsid w:val="7A91EF92"/>
    <w:rsid w:val="7A9405BF"/>
    <w:rsid w:val="7A9688F6"/>
    <w:rsid w:val="7A97D9E9"/>
    <w:rsid w:val="7AA526A5"/>
    <w:rsid w:val="7AAD3343"/>
    <w:rsid w:val="7AB07EDB"/>
    <w:rsid w:val="7AB84967"/>
    <w:rsid w:val="7ABC3DAC"/>
    <w:rsid w:val="7AC3EABC"/>
    <w:rsid w:val="7AD19A19"/>
    <w:rsid w:val="7AD28CEC"/>
    <w:rsid w:val="7AD79087"/>
    <w:rsid w:val="7ADE75AD"/>
    <w:rsid w:val="7AE954FE"/>
    <w:rsid w:val="7AEEB8D6"/>
    <w:rsid w:val="7AEF5B82"/>
    <w:rsid w:val="7AF44675"/>
    <w:rsid w:val="7AF53CCB"/>
    <w:rsid w:val="7AFCE5DB"/>
    <w:rsid w:val="7B09A212"/>
    <w:rsid w:val="7B11B273"/>
    <w:rsid w:val="7B173A3B"/>
    <w:rsid w:val="7B1D40F3"/>
    <w:rsid w:val="7B2093C6"/>
    <w:rsid w:val="7B24525E"/>
    <w:rsid w:val="7B265B4F"/>
    <w:rsid w:val="7B39027B"/>
    <w:rsid w:val="7B40F4B3"/>
    <w:rsid w:val="7B45CC3E"/>
    <w:rsid w:val="7B475BED"/>
    <w:rsid w:val="7B4A8E95"/>
    <w:rsid w:val="7B4D78D8"/>
    <w:rsid w:val="7B511E51"/>
    <w:rsid w:val="7B51FD0A"/>
    <w:rsid w:val="7B5F36A9"/>
    <w:rsid w:val="7B6BF3FE"/>
    <w:rsid w:val="7B7161A3"/>
    <w:rsid w:val="7B7CC3D0"/>
    <w:rsid w:val="7B7D87DD"/>
    <w:rsid w:val="7B869E73"/>
    <w:rsid w:val="7B8D4D4C"/>
    <w:rsid w:val="7BA780BE"/>
    <w:rsid w:val="7BABAA88"/>
    <w:rsid w:val="7BB2CE93"/>
    <w:rsid w:val="7BBB91AC"/>
    <w:rsid w:val="7BC2DFA3"/>
    <w:rsid w:val="7BC479C9"/>
    <w:rsid w:val="7BD79036"/>
    <w:rsid w:val="7BDA294E"/>
    <w:rsid w:val="7BE8EA22"/>
    <w:rsid w:val="7BED4F96"/>
    <w:rsid w:val="7BEFB2AF"/>
    <w:rsid w:val="7BF377D8"/>
    <w:rsid w:val="7C0372EB"/>
    <w:rsid w:val="7C05B95A"/>
    <w:rsid w:val="7C07924D"/>
    <w:rsid w:val="7C093DD2"/>
    <w:rsid w:val="7C0C4A16"/>
    <w:rsid w:val="7C134003"/>
    <w:rsid w:val="7C243F7C"/>
    <w:rsid w:val="7C2572E6"/>
    <w:rsid w:val="7C389276"/>
    <w:rsid w:val="7C408B44"/>
    <w:rsid w:val="7C42C269"/>
    <w:rsid w:val="7C5D5A39"/>
    <w:rsid w:val="7C60587B"/>
    <w:rsid w:val="7C680C0C"/>
    <w:rsid w:val="7C75EC16"/>
    <w:rsid w:val="7C7CB599"/>
    <w:rsid w:val="7C7E4B61"/>
    <w:rsid w:val="7C7EA6AC"/>
    <w:rsid w:val="7C7FDDDC"/>
    <w:rsid w:val="7C80A24B"/>
    <w:rsid w:val="7C89C8A2"/>
    <w:rsid w:val="7C9C1A1E"/>
    <w:rsid w:val="7C9C31FA"/>
    <w:rsid w:val="7C9FFD38"/>
    <w:rsid w:val="7CA3EB66"/>
    <w:rsid w:val="7CA5E4D5"/>
    <w:rsid w:val="7CB65F85"/>
    <w:rsid w:val="7CB7486E"/>
    <w:rsid w:val="7CB9772F"/>
    <w:rsid w:val="7CBDB2E9"/>
    <w:rsid w:val="7CBDEB8E"/>
    <w:rsid w:val="7CC04A1A"/>
    <w:rsid w:val="7CC2C927"/>
    <w:rsid w:val="7CC50EE4"/>
    <w:rsid w:val="7CCA28BB"/>
    <w:rsid w:val="7CCED611"/>
    <w:rsid w:val="7CCFD096"/>
    <w:rsid w:val="7CD5B584"/>
    <w:rsid w:val="7CE58586"/>
    <w:rsid w:val="7CF3ED7B"/>
    <w:rsid w:val="7D0848F2"/>
    <w:rsid w:val="7D0D44F6"/>
    <w:rsid w:val="7D0E9AA3"/>
    <w:rsid w:val="7D120477"/>
    <w:rsid w:val="7D174D1D"/>
    <w:rsid w:val="7D2524D0"/>
    <w:rsid w:val="7D2A76D0"/>
    <w:rsid w:val="7D2D5CE1"/>
    <w:rsid w:val="7D3261D8"/>
    <w:rsid w:val="7D326D6F"/>
    <w:rsid w:val="7D41D932"/>
    <w:rsid w:val="7D41D932"/>
    <w:rsid w:val="7D4A0BF5"/>
    <w:rsid w:val="7D719158"/>
    <w:rsid w:val="7D7D41A6"/>
    <w:rsid w:val="7D844C2F"/>
    <w:rsid w:val="7D894944"/>
    <w:rsid w:val="7D90DB98"/>
    <w:rsid w:val="7DADDA6A"/>
    <w:rsid w:val="7DADDA6A"/>
    <w:rsid w:val="7DBDF9B4"/>
    <w:rsid w:val="7DBDF9B4"/>
    <w:rsid w:val="7DC21C11"/>
    <w:rsid w:val="7DC6CD10"/>
    <w:rsid w:val="7DD16227"/>
    <w:rsid w:val="7DD28FF8"/>
    <w:rsid w:val="7DD8C714"/>
    <w:rsid w:val="7DD8C714"/>
    <w:rsid w:val="7DDBAEE4"/>
    <w:rsid w:val="7DE31DB4"/>
    <w:rsid w:val="7DE7D4AF"/>
    <w:rsid w:val="7DE9AE4C"/>
    <w:rsid w:val="7DEC1EAC"/>
    <w:rsid w:val="7DF1ED52"/>
    <w:rsid w:val="7DF27D89"/>
    <w:rsid w:val="7DF328C9"/>
    <w:rsid w:val="7DFAABA4"/>
    <w:rsid w:val="7E00EE1F"/>
    <w:rsid w:val="7E00EE1F"/>
    <w:rsid w:val="7E066E1E"/>
    <w:rsid w:val="7E093940"/>
    <w:rsid w:val="7E0FBC58"/>
    <w:rsid w:val="7E1C3224"/>
    <w:rsid w:val="7E1C3224"/>
    <w:rsid w:val="7E1E4646"/>
    <w:rsid w:val="7E1E7833"/>
    <w:rsid w:val="7E2AC2C9"/>
    <w:rsid w:val="7E2C2D92"/>
    <w:rsid w:val="7E2CA222"/>
    <w:rsid w:val="7E2E04B4"/>
    <w:rsid w:val="7E336310"/>
    <w:rsid w:val="7E3DACAB"/>
    <w:rsid w:val="7E4078FB"/>
    <w:rsid w:val="7E48E368"/>
    <w:rsid w:val="7E4CF1CF"/>
    <w:rsid w:val="7E4CF1CF"/>
    <w:rsid w:val="7E511B33"/>
    <w:rsid w:val="7E54A6BD"/>
    <w:rsid w:val="7E5B0ACC"/>
    <w:rsid w:val="7E7226FA"/>
    <w:rsid w:val="7E762389"/>
    <w:rsid w:val="7E7ACD65"/>
    <w:rsid w:val="7E92CBCB"/>
    <w:rsid w:val="7E9ED727"/>
    <w:rsid w:val="7EA067FE"/>
    <w:rsid w:val="7EAF20D8"/>
    <w:rsid w:val="7EBE2F07"/>
    <w:rsid w:val="7EC289B8"/>
    <w:rsid w:val="7EC6308A"/>
    <w:rsid w:val="7ECF6363"/>
    <w:rsid w:val="7ED4F70C"/>
    <w:rsid w:val="7EE4C1EF"/>
    <w:rsid w:val="7EE599CD"/>
    <w:rsid w:val="7EE6906E"/>
    <w:rsid w:val="7EED6A6D"/>
    <w:rsid w:val="7F02A5D0"/>
    <w:rsid w:val="7F043255"/>
    <w:rsid w:val="7F070EE8"/>
    <w:rsid w:val="7F0D4F51"/>
    <w:rsid w:val="7F1B1AC7"/>
    <w:rsid w:val="7F2DA86A"/>
    <w:rsid w:val="7F4B9508"/>
    <w:rsid w:val="7F4C15BB"/>
    <w:rsid w:val="7F537FB2"/>
    <w:rsid w:val="7F55F639"/>
    <w:rsid w:val="7F55FF8B"/>
    <w:rsid w:val="7F57B25F"/>
    <w:rsid w:val="7F608012"/>
    <w:rsid w:val="7F61078C"/>
    <w:rsid w:val="7F63F69D"/>
    <w:rsid w:val="7F64ABD6"/>
    <w:rsid w:val="7F6A22A8"/>
    <w:rsid w:val="7F6DAD00"/>
    <w:rsid w:val="7F7F534D"/>
    <w:rsid w:val="7F8B83E4"/>
    <w:rsid w:val="7F8C9516"/>
    <w:rsid w:val="7F8E9477"/>
    <w:rsid w:val="7F8F21D6"/>
    <w:rsid w:val="7F9FD682"/>
    <w:rsid w:val="7FA668DB"/>
    <w:rsid w:val="7FA728AA"/>
    <w:rsid w:val="7FBDFCFE"/>
    <w:rsid w:val="7FBE8D6F"/>
    <w:rsid w:val="7FC1EC78"/>
    <w:rsid w:val="7FC2DF2B"/>
    <w:rsid w:val="7FC86C9F"/>
    <w:rsid w:val="7FCF4295"/>
    <w:rsid w:val="7FE15451"/>
    <w:rsid w:val="7FE93FC4"/>
    <w:rsid w:val="7FF52442"/>
    <w:rsid w:val="7FF7ADF6"/>
    <w:rsid w:val="7FFB3C47"/>
    <w:rsid w:val="7FFB5B15"/>
    <w:rsid w:val="7FFCC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C8A2"/>
  <w15:chartTrackingRefBased/>
  <w15:docId w15:val="{D9FFA276-BE35-4DE6-919F-929CD12E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F700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0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0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700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F700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F700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F700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F700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F700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F700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F700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F7009"/>
    <w:rPr>
      <w:rFonts w:eastAsiaTheme="majorEastAsia" w:cstheme="majorBidi"/>
      <w:color w:val="272727" w:themeColor="text1" w:themeTint="D8"/>
    </w:rPr>
  </w:style>
  <w:style w:type="paragraph" w:styleId="Title">
    <w:name w:val="Title"/>
    <w:basedOn w:val="Normal"/>
    <w:next w:val="Normal"/>
    <w:link w:val="TitleChar"/>
    <w:uiPriority w:val="10"/>
    <w:qFormat/>
    <w:rsid w:val="007F700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F700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F700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F7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09"/>
    <w:pPr>
      <w:spacing w:before="160"/>
      <w:jc w:val="center"/>
    </w:pPr>
    <w:rPr>
      <w:i/>
      <w:iCs/>
      <w:color w:val="404040" w:themeColor="text1" w:themeTint="BF"/>
    </w:rPr>
  </w:style>
  <w:style w:type="character" w:styleId="QuoteChar" w:customStyle="1">
    <w:name w:val="Quote Char"/>
    <w:basedOn w:val="DefaultParagraphFont"/>
    <w:link w:val="Quote"/>
    <w:uiPriority w:val="29"/>
    <w:rsid w:val="007F7009"/>
    <w:rPr>
      <w:i/>
      <w:iCs/>
      <w:color w:val="404040" w:themeColor="text1" w:themeTint="BF"/>
    </w:rPr>
  </w:style>
  <w:style w:type="paragraph" w:styleId="ListParagraph">
    <w:name w:val="List Paragraph"/>
    <w:basedOn w:val="Normal"/>
    <w:uiPriority w:val="34"/>
    <w:qFormat/>
    <w:rsid w:val="007F7009"/>
    <w:pPr>
      <w:ind w:left="720"/>
      <w:contextualSpacing/>
    </w:pPr>
  </w:style>
  <w:style w:type="character" w:styleId="IntenseEmphasis">
    <w:name w:val="Intense Emphasis"/>
    <w:basedOn w:val="DefaultParagraphFont"/>
    <w:uiPriority w:val="21"/>
    <w:qFormat/>
    <w:rsid w:val="007F7009"/>
    <w:rPr>
      <w:i/>
      <w:iCs/>
      <w:color w:val="0F4761" w:themeColor="accent1" w:themeShade="BF"/>
    </w:rPr>
  </w:style>
  <w:style w:type="paragraph" w:styleId="IntenseQuote">
    <w:name w:val="Intense Quote"/>
    <w:basedOn w:val="Normal"/>
    <w:next w:val="Normal"/>
    <w:link w:val="IntenseQuoteChar"/>
    <w:uiPriority w:val="30"/>
    <w:qFormat/>
    <w:rsid w:val="007F700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F7009"/>
    <w:rPr>
      <w:i/>
      <w:iCs/>
      <w:color w:val="0F4761" w:themeColor="accent1" w:themeShade="BF"/>
    </w:rPr>
  </w:style>
  <w:style w:type="character" w:styleId="IntenseReference">
    <w:name w:val="Intense Reference"/>
    <w:basedOn w:val="DefaultParagraphFont"/>
    <w:uiPriority w:val="32"/>
    <w:qFormat/>
    <w:rsid w:val="007F7009"/>
    <w:rPr>
      <w:b/>
      <w:bCs/>
      <w:smallCaps/>
      <w:color w:val="0F4761" w:themeColor="accent1" w:themeShade="BF"/>
      <w:spacing w:val="5"/>
    </w:rPr>
  </w:style>
  <w:style w:type="character" w:styleId="Hyperlink">
    <w:uiPriority w:val="99"/>
    <w:name w:val="Hyperlink"/>
    <w:basedOn w:val="DefaultParagraphFont"/>
    <w:unhideWhenUsed/>
    <w:rsid w:val="680EF329"/>
    <w:rPr>
      <w:color w:val="467886"/>
      <w:u w:val="single"/>
    </w:rPr>
  </w:style>
  <w:style w:type="paragraph" w:styleId="Header">
    <w:uiPriority w:val="99"/>
    <w:name w:val="header"/>
    <w:basedOn w:val="Normal"/>
    <w:unhideWhenUsed/>
    <w:rsid w:val="09DFBBFF"/>
    <w:pPr>
      <w:tabs>
        <w:tab w:val="center" w:leader="none" w:pos="4680"/>
        <w:tab w:val="right" w:leader="none" w:pos="9360"/>
      </w:tabs>
      <w:spacing w:after="0" w:line="240" w:lineRule="auto"/>
    </w:pPr>
  </w:style>
  <w:style w:type="paragraph" w:styleId="Footer">
    <w:uiPriority w:val="99"/>
    <w:name w:val="footer"/>
    <w:basedOn w:val="Normal"/>
    <w:unhideWhenUsed/>
    <w:rsid w:val="09DFBBF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8e9886b2b06f4d92" Type="http://schemas.openxmlformats.org/officeDocument/2006/relationships/numbering" Target="numbering.xml"/><Relationship Id="Rec983013fc9447a9" Type="http://schemas.microsoft.com/office/2020/10/relationships/intelligence" Target="intelligence2.xml"/><Relationship Id="R4a9d047da55c4711" Type="http://schemas.openxmlformats.org/officeDocument/2006/relationships/header" Target="header.xml"/><Relationship Id="R77bbd5c094634a5d" Type="http://schemas.openxmlformats.org/officeDocument/2006/relationships/footer" Target="footer.xml"/><Relationship Id="rId1553974518" Type="http://schemas.openxmlformats.org/officeDocument/2006/relationships/image" Target="../media/image12.png"/><Relationship Id="rId424640708" Type="http://schemas.openxmlformats.org/officeDocument/2006/relationships/image" Target="../media/image2a.png"/><Relationship Id="rId474225431" Type="http://schemas.openxmlformats.org/officeDocument/2006/relationships/image" Target="../media/image2b.png"/><Relationship Id="rId623779053" Type="http://schemas.openxmlformats.org/officeDocument/2006/relationships/image" Target="../media/image2c.png"/><Relationship Id="rId1049546407" Type="http://schemas.openxmlformats.org/officeDocument/2006/relationships/image" Target="../media/image2d.png"/><Relationship Id="rId1095043534" Type="http://schemas.openxmlformats.org/officeDocument/2006/relationships/image" Target="../media/image2e.png"/><Relationship Id="rId2137670550" Type="http://schemas.openxmlformats.org/officeDocument/2006/relationships/image" Target="../media/image2f.png"/><Relationship Id="rId1824779850" Type="http://schemas.openxmlformats.org/officeDocument/2006/relationships/image" Target="../media/image30.png"/><Relationship Id="rId1819650292" Type="http://schemas.openxmlformats.org/officeDocument/2006/relationships/image" Target="../media/image31.png"/><Relationship Id="rId989515644" Type="http://schemas.openxmlformats.org/officeDocument/2006/relationships/image" Target="../media/image33.png"/><Relationship Id="rId243454088" Type="http://schemas.openxmlformats.org/officeDocument/2006/relationships/image" Target="../media/image34.png"/><Relationship Id="rId415757947" Type="http://schemas.openxmlformats.org/officeDocument/2006/relationships/image" Target="../media/image35.png"/><Relationship Id="rId927322779" Type="http://schemas.openxmlformats.org/officeDocument/2006/relationships/image" Target="../media/image36.png"/><Relationship Id="R0cfd83a326d44148" Type="http://schemas.openxmlformats.org/officeDocument/2006/relationships/hyperlink" Target="https://www.atsdr.cdc.gov/placeandhealth/svi/data_documentation_download.html" TargetMode="External"/><Relationship Id="R0f1eec1f1b7e4136" Type="http://schemas.openxmlformats.org/officeDocument/2006/relationships/hyperlink" Target="http://dx.doi.org/10.2139/ssrn.6153946" TargetMode="External"/><Relationship Id="Ree41d9a84b8f4865" Type="http://schemas.openxmlformats.org/officeDocument/2006/relationships/hyperlink" Target="https://doi.org/10.1080/24694452.2016.1194740" TargetMode="External"/><Relationship Id="Rca751a3f558e40cb" Type="http://schemas.openxmlformats.org/officeDocument/2006/relationships/hyperlink" Target="https://www.enterprisecommunity.org/story/new-research-federal-recovery-funds-temper-rent-increases-after-disaster" TargetMode="External"/><Relationship Id="Reda8d68f79af43e7" Type="http://schemas.openxmlformats.org/officeDocument/2006/relationships/hyperlink" Target="https://doi.org/10.1111/puar.13249" TargetMode="External"/><Relationship Id="R9ef2b2ce09334168" Type="http://schemas.openxmlformats.org/officeDocument/2006/relationships/hyperlink" Target="https://doi.org/10.1080/25741292.2019.1595916" TargetMode="External"/><Relationship Id="Rf07e7ae47608485e" Type="http://schemas.openxmlformats.org/officeDocument/2006/relationships/hyperlink" Target="https://doi.org/10.1016/j.ghm.2024.03.001" TargetMode="External"/><Relationship Id="R6e93090199134cf9" Type="http://schemas.openxmlformats.org/officeDocument/2006/relationships/hyperlink" Target="https://doi.org/10.69569/jip.2025.797" TargetMode="External"/><Relationship Id="Rda8ed98192c84b45" Type="http://schemas.openxmlformats.org/officeDocument/2006/relationships/hyperlink" Target="https://doi.org/10.1038/s44284-025-00352-5" TargetMode="External"/><Relationship Id="Rd13d92e471eb49ec" Type="http://schemas.openxmlformats.org/officeDocument/2006/relationships/hyperlink" Target="https://hdl.handle.net/1969.1/155735" TargetMode="External"/><Relationship Id="R20f25f3a7aff4b30" Type="http://schemas.openxmlformats.org/officeDocument/2006/relationships/hyperlink" Target="https://doi.org/10.1007/BF02294842" TargetMode="External"/><Relationship Id="R6fa57a0c09824e5f" Type="http://schemas.openxmlformats.org/officeDocument/2006/relationships/hyperlink" Target="https://budgetcounsel.com/wp-content/uploads/2017/12/crs-fema_s-disaster-relief-fund-overview-and-selected-issues-r43537-may-7-2014.pdf" TargetMode="External"/><Relationship Id="Rb5978ed6c2634c8d" Type="http://schemas.openxmlformats.org/officeDocument/2006/relationships/hyperlink" Target="https://www.urban.org/sites/default/files/publication/98463/the_evidence_base_on_how_cdbg-dr_works_for_state_and_local_stakeholders_0.pdf" TargetMode="External"/><Relationship Id="Rcf74f9155b394e1d" Type="http://schemas.openxmlformats.org/officeDocument/2006/relationships/hyperlink" Target="https://www.urban.org/research/publication/housing-recovery-and-cdbg-dr" TargetMode="External"/><Relationship Id="Rdbfff66f732d4622" Type="http://schemas.openxmlformats.org/officeDocument/2006/relationships/hyperlink" Target="https://doi.org/10.1080/10511482.2021.1875258" TargetMode="External"/><Relationship Id="Rf4a9699e30544505" Type="http://schemas.openxmlformats.org/officeDocument/2006/relationships/hyperlink" Target="https://research.ebsco.com/c/zdnshz/viewer/pdf/4yx3o67qxb" TargetMode="External"/><Relationship Id="R3b1a2e4bfff34c4b" Type="http://schemas.openxmlformats.org/officeDocument/2006/relationships/hyperlink" Target="https://doi.org/10.1177/02750740241308272" TargetMode="External"/><Relationship Id="Re8a7e5c66d5340f2" Type="http://schemas.openxmlformats.org/officeDocument/2006/relationships/hyperlink" Target="https://doi.org/10.4324/9781315755649" TargetMode="External"/><Relationship Id="Rd53ef7cef3df4225" Type="http://schemas.openxmlformats.org/officeDocument/2006/relationships/hyperlink" Target="https://doi.org/10.52417/ojed.v1i2.163" TargetMode="External"/><Relationship Id="R58efb259650745a0" Type="http://schemas.openxmlformats.org/officeDocument/2006/relationships/hyperlink" Target="https://doi.org/10.1111/puar.12837" TargetMode="External"/><Relationship Id="Rbe3ec9a645c34f71" Type="http://schemas.openxmlformats.org/officeDocument/2006/relationships/hyperlink" Target="https://doi.org/10.1080/01944363.2014.980440" TargetMode="External"/><Relationship Id="R9da5ff8316494d57" Type="http://schemas.openxmlformats.org/officeDocument/2006/relationships/hyperlink" Target="https://doi.org/10.1016/j.ijdrr.2021.102340" TargetMode="External"/><Relationship Id="Rbecda854c4144f08" Type="http://schemas.openxmlformats.org/officeDocument/2006/relationships/hyperlink" Target="https://doi.org/10.1016/j.ijdrr.2020.101735" TargetMode="External"/><Relationship Id="R8be4fa56c063413e" Type="http://schemas.openxmlformats.org/officeDocument/2006/relationships/hyperlink" Target="https://doi.org/10.1016/j.ijdrr.2021.102666" TargetMode="External"/><Relationship Id="R43018112e1f04a58" Type="http://schemas.openxmlformats.org/officeDocument/2006/relationships/hyperlink" Target="https://www.bls.gov/cew/downloadable-data-files.htm" TargetMode="External"/><Relationship Id="Rc42cabebf1044a40" Type="http://schemas.openxmlformats.org/officeDocument/2006/relationships/hyperlink" Target="https://www.hud.gov/hud-partners/community-cdbg-dr-reports" TargetMode="External"/><Relationship Id="Rf74f6c4444ab493d" Type="http://schemas.openxmlformats.org/officeDocument/2006/relationships/hyperlink" Target="https://www.gao.gov/products/gao-19-232" TargetMode="External"/><Relationship Id="R0a64c700a0f74ae5" Type="http://schemas.openxmlformats.org/officeDocument/2006/relationships/hyperlink" Target="https://www.gao.gov/reports-testimonies" TargetMode="External"/><Relationship Id="R0eecb14d03ca4594" Type="http://schemas.openxmlformats.org/officeDocument/2006/relationships/hyperlink" Target="https://doi.org/10.1080/10705511.2024.2354802" TargetMode="External"/><Relationship Id="rId482560122" Type="http://schemas.openxmlformats.org/officeDocument/2006/relationships/image" Target="../media/imagef.png"/><Relationship Id="Rad14310cf1714685" Type="http://schemas.openxmlformats.org/officeDocument/2006/relationships/hyperlink" Target="https://doi.org/10.1061/(ASCE)NH.1527-6996.000042" TargetMode="External"/><Relationship Id="R1b67f946b58f4cee" Type="http://schemas.openxmlformats.org/officeDocument/2006/relationships/hyperlink" Target="https://doi.org/10.4172/2161-0525.1000304" TargetMode="External"/><Relationship Id="R42ffcfa971a74d52" Type="http://schemas.openxmlformats.org/officeDocument/2006/relationships/hyperlink" Target="https://doi.org/10.1146/annurev-environ-020911-095618" TargetMode="External"/><Relationship Id="Rf65f6a71214147ea" Type="http://schemas.openxmlformats.org/officeDocument/2006/relationships/hyperlink" Target="https://doi.org/10.1108/IJPSM-07-2022-0168" TargetMode="External"/><Relationship Id="R31e2c88fcfd74e61" Type="http://schemas.openxmlformats.org/officeDocument/2006/relationships/hyperlink" Target="https://doi.org/10.1080/01944363.2014.976585" TargetMode="External"/><Relationship Id="Ref9259ad6bc04529" Type="http://schemas.openxmlformats.org/officeDocument/2006/relationships/hyperlink" Target="http://www.asasrms.org/Proceedings/y1965/Quasi-Experimental%20Design.pdf" TargetMode="External"/><Relationship Id="Rc7af5b398b374929" Type="http://schemas.openxmlformats.org/officeDocument/2006/relationships/hyperlink" Target="https://doi.org/10.1038/s41598-025-97747-0" TargetMode="External"/><Relationship Id="R1941e6df0d0f46dc" Type="http://schemas.openxmlformats.org/officeDocument/2006/relationships/hyperlink" Target="https://www.gigasheet.com/sample-data/list-of-all-us-counties-and-cities-spreadsheet" TargetMode="External"/><Relationship Id="Rba189e4dbf264702" Type="http://schemas.openxmlformats.org/officeDocument/2006/relationships/hyperlink" Target="https://doi.org/10.1142/S0218843003000838" TargetMode="External"/><Relationship Id="R647d504642e148ca" Type="http://schemas.openxmlformats.org/officeDocument/2006/relationships/hyperlink" Target="https://doi.org/10.1007/978-3-030-80519-7_1" TargetMode="External"/><Relationship Id="Rdcea0e934813497f" Type="http://schemas.openxmlformats.org/officeDocument/2006/relationships/hyperlink" Target="https://doi.org/10.1038/s41598-025-28467-8" TargetMode="External"/><Relationship Id="R48fd41ab70d242ff" Type="http://schemas.openxmlformats.org/officeDocument/2006/relationships/hyperlink" Target="https://doi.org/10.1108/IJDRBE-03-2013-0006" TargetMode="External"/><Relationship Id="R94939931747149e9" Type="http://schemas.openxmlformats.org/officeDocument/2006/relationships/hyperlink" Target="https://socialtrendsreview.com/index.php/journal/article/download/45/44" TargetMode="External"/><Relationship Id="Ra5a9df67ce2c498b" Type="http://schemas.openxmlformats.org/officeDocument/2006/relationships/hyperlink" Target="https://doi.org/10.34172/hpp.2020.30" TargetMode="External"/><Relationship Id="R520159dd9dc74830" Type="http://schemas.openxmlformats.org/officeDocument/2006/relationships/hyperlink" Target="http://doi.org/10.5334/bc.65" TargetMode="External"/><Relationship Id="R48bdf05502f94621" Type="http://schemas.openxmlformats.org/officeDocument/2006/relationships/hyperlink" Target="https://doi.org/10.1108/09653561011070367" TargetMode="External"/><Relationship Id="R958b0070a4fb428b" Type="http://schemas.openxmlformats.org/officeDocument/2006/relationships/hyperlink" Target="https://doi.org/10.1109/JPROC.2022.3223186" TargetMode="External"/><Relationship Id="R20cbd13d1da447dc" Type="http://schemas.openxmlformats.org/officeDocument/2006/relationships/hyperlink" Target="https://doi.org/10.1080/03003930.2019.1653284" TargetMode="External"/><Relationship Id="R8a9fbc88294c48d3" Type="http://schemas.openxmlformats.org/officeDocument/2006/relationships/hyperlink" Target="https://doi.org/10.1371/journal.pone.0318170" TargetMode="External"/><Relationship Id="Rb819827454514fca" Type="http://schemas.openxmlformats.org/officeDocument/2006/relationships/hyperlink" Target="https://doi.org/10.1007/s10462-024-10844-w" TargetMode="External"/><Relationship Id="R1c9834b0fb964792" Type="http://schemas.openxmlformats.org/officeDocument/2006/relationships/hyperlink" Target="https://doi.org/10.1016/j.ijdrr.2025.105254" TargetMode="External"/><Relationship Id="R3446a617322643f0" Type="http://schemas.openxmlformats.org/officeDocument/2006/relationships/hyperlink" Target="https://scholarship.law.stjohns.edu/faculty_publications/922/" TargetMode="External"/><Relationship Id="R6857bf16417647e6" Type="http://schemas.openxmlformats.org/officeDocument/2006/relationships/hyperlink" Target="https://doi.org/10.1016/j.ijdrr.2021.102535" TargetMode="External"/><Relationship Id="R5b5e06fc8d464cea" Type="http://schemas.openxmlformats.org/officeDocument/2006/relationships/hyperlink" Target="https://doi.org/10.1111/risa.13186" TargetMode="External"/><Relationship Id="R8cef8edab3e346aa" Type="http://schemas.openxmlformats.org/officeDocument/2006/relationships/hyperlink" Target="https://doi.org/10.1051/e3sconf/202560403004" TargetMode="External"/><Relationship Id="R0433a4b3e57e446a" Type="http://schemas.openxmlformats.org/officeDocument/2006/relationships/hyperlink" Target="https://doi.org/10.1007/s11069-024-06785-w" TargetMode="External"/><Relationship Id="R662370e071f442aa" Type="http://schemas.openxmlformats.org/officeDocument/2006/relationships/hyperlink" Target="https://doi.org/10.1007/978-3-319-63254-4_20" TargetMode="External"/><Relationship Id="R24be861b1abf4a69" Type="http://schemas.openxmlformats.org/officeDocument/2006/relationships/hyperlink" Target="https://doi.org/10.1073/pnas.2111997119" TargetMode="External"/><Relationship Id="R9177646110154860" Type="http://schemas.openxmlformats.org/officeDocument/2006/relationships/hyperlink" Target="https://doi.org/10.48550/arXiv.1905.01804" TargetMode="External"/><Relationship Id="R5fa5607f212b4f74" Type="http://schemas.openxmlformats.org/officeDocument/2006/relationships/hyperlink" Target="https://doi.org/10.1007/s11069-025-07741-y"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Nejat, Ali</dc:creator>
  <keywords/>
  <dc:description/>
  <lastModifiedBy>Lu, Kaifa</lastModifiedBy>
  <revision>48</revision>
  <dcterms:created xsi:type="dcterms:W3CDTF">2025-10-13T17:10:00.0000000Z</dcterms:created>
  <dcterms:modified xsi:type="dcterms:W3CDTF">2026-04-09T22:03:13.0489952Z</dcterms:modified>
</coreProperties>
</file>