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intelligence2.xml" ContentType="application/vnd.ms-office.intelligence2+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507F88" w14:textId="03CE4C62" w:rsidR="68752C58" w:rsidRDefault="68752C58" w:rsidP="15159F2C">
      <w:pPr>
        <w:jc w:val="center"/>
        <w:rPr>
          <w:rFonts w:ascii="Aptos" w:eastAsia="Aptos" w:hAnsi="Aptos" w:cs="Aptos"/>
          <w:b/>
          <w:bCs/>
        </w:rPr>
      </w:pPr>
      <w:r w:rsidRPr="11FE34A5">
        <w:rPr>
          <w:rFonts w:ascii="Aptos" w:eastAsia="Aptos" w:hAnsi="Aptos" w:cs="Aptos"/>
          <w:b/>
          <w:bCs/>
        </w:rPr>
        <w:t>State and Loca</w:t>
      </w:r>
      <w:r w:rsidR="3CCE64F6" w:rsidRPr="11FE34A5">
        <w:rPr>
          <w:rFonts w:ascii="Aptos" w:eastAsia="Aptos" w:hAnsi="Aptos" w:cs="Aptos"/>
          <w:b/>
          <w:bCs/>
        </w:rPr>
        <w:t xml:space="preserve">l </w:t>
      </w:r>
      <w:r w:rsidRPr="11FE34A5">
        <w:rPr>
          <w:rFonts w:ascii="Aptos" w:eastAsia="Aptos" w:hAnsi="Aptos" w:cs="Aptos"/>
          <w:b/>
          <w:bCs/>
        </w:rPr>
        <w:t>Governmental Capacit</w:t>
      </w:r>
      <w:r w:rsidR="341417F7" w:rsidRPr="11FE34A5">
        <w:rPr>
          <w:rFonts w:ascii="Aptos" w:eastAsia="Aptos" w:hAnsi="Aptos" w:cs="Aptos"/>
          <w:b/>
          <w:bCs/>
        </w:rPr>
        <w:t>y</w:t>
      </w:r>
      <w:r w:rsidRPr="11FE34A5">
        <w:rPr>
          <w:rFonts w:ascii="Aptos" w:eastAsia="Aptos" w:hAnsi="Aptos" w:cs="Aptos"/>
          <w:b/>
          <w:bCs/>
        </w:rPr>
        <w:t xml:space="preserve"> in Disaster Recovery: </w:t>
      </w:r>
      <w:r w:rsidR="6E57E1F4" w:rsidRPr="11FE34A5">
        <w:rPr>
          <w:rFonts w:ascii="Aptos" w:eastAsia="Aptos" w:hAnsi="Aptos" w:cs="Aptos"/>
          <w:b/>
          <w:bCs/>
        </w:rPr>
        <w:t>E</w:t>
      </w:r>
      <w:r w:rsidRPr="11FE34A5">
        <w:rPr>
          <w:rFonts w:ascii="Aptos" w:eastAsia="Aptos" w:hAnsi="Aptos" w:cs="Aptos"/>
          <w:b/>
          <w:bCs/>
        </w:rPr>
        <w:t>vidence from CDBG-DR</w:t>
      </w:r>
    </w:p>
    <w:p w14:paraId="4CDD9736" w14:textId="1BA9AC4B" w:rsidR="180FBEDF" w:rsidRDefault="180FBEDF" w:rsidP="6F4EC395">
      <w:pPr>
        <w:jc w:val="center"/>
        <w:rPr>
          <w:rFonts w:ascii="Aptos" w:eastAsia="Aptos" w:hAnsi="Aptos" w:cs="Aptos"/>
          <w:color w:val="000000" w:themeColor="text1"/>
          <w:sz w:val="19"/>
          <w:szCs w:val="19"/>
        </w:rPr>
      </w:pPr>
      <w:r w:rsidRPr="6F4EC395">
        <w:rPr>
          <w:rFonts w:ascii="Aptos" w:eastAsia="Aptos" w:hAnsi="Aptos" w:cs="Aptos"/>
          <w:color w:val="000000" w:themeColor="text1"/>
        </w:rPr>
        <w:t xml:space="preserve">Kai-Fa Lu </w:t>
      </w:r>
      <w:r w:rsidRPr="6F4EC395">
        <w:rPr>
          <w:rFonts w:ascii="Aptos" w:eastAsia="Aptos" w:hAnsi="Aptos" w:cs="Aptos"/>
          <w:color w:val="000000" w:themeColor="text1"/>
          <w:vertAlign w:val="superscript"/>
        </w:rPr>
        <w:t>1</w:t>
      </w:r>
      <w:r w:rsidRPr="6F4EC395">
        <w:rPr>
          <w:rFonts w:ascii="Aptos" w:eastAsia="Aptos" w:hAnsi="Aptos" w:cs="Aptos"/>
          <w:color w:val="000000" w:themeColor="text1"/>
        </w:rPr>
        <w:t xml:space="preserve">, Jesse Andrews </w:t>
      </w:r>
      <w:r w:rsidRPr="6F4EC395">
        <w:rPr>
          <w:rFonts w:ascii="Aptos" w:eastAsia="Aptos" w:hAnsi="Aptos" w:cs="Aptos"/>
          <w:color w:val="000000" w:themeColor="text1"/>
          <w:vertAlign w:val="superscript"/>
        </w:rPr>
        <w:t>1</w:t>
      </w:r>
      <w:r w:rsidRPr="6F4EC395">
        <w:rPr>
          <w:rFonts w:ascii="Aptos" w:eastAsia="Aptos" w:hAnsi="Aptos" w:cs="Aptos"/>
          <w:color w:val="000000" w:themeColor="text1"/>
        </w:rPr>
        <w:t xml:space="preserve">, Ali Nejat </w:t>
      </w:r>
      <w:r w:rsidRPr="6F4EC395">
        <w:rPr>
          <w:rFonts w:ascii="Aptos" w:eastAsia="Aptos" w:hAnsi="Aptos" w:cs="Aptos"/>
          <w:color w:val="000000" w:themeColor="text1"/>
          <w:vertAlign w:val="superscript"/>
        </w:rPr>
        <w:t>1</w:t>
      </w:r>
    </w:p>
    <w:p w14:paraId="74D1E2E2" w14:textId="786B013E" w:rsidR="180FBEDF" w:rsidRDefault="180FBEDF" w:rsidP="6F4EC395">
      <w:pPr>
        <w:rPr>
          <w:rFonts w:ascii="Aptos" w:eastAsia="Aptos" w:hAnsi="Aptos" w:cs="Aptos"/>
          <w:color w:val="000000" w:themeColor="text1"/>
        </w:rPr>
      </w:pPr>
      <w:r w:rsidRPr="6F4EC395">
        <w:rPr>
          <w:rFonts w:ascii="Aptos" w:eastAsia="Aptos" w:hAnsi="Aptos" w:cs="Aptos"/>
          <w:color w:val="000000" w:themeColor="text1"/>
          <w:vertAlign w:val="superscript"/>
        </w:rPr>
        <w:t>1</w:t>
      </w:r>
      <w:r w:rsidRPr="6F4EC395">
        <w:rPr>
          <w:rFonts w:ascii="Aptos" w:eastAsia="Aptos" w:hAnsi="Aptos" w:cs="Aptos"/>
          <w:color w:val="000000" w:themeColor="text1"/>
        </w:rPr>
        <w:t xml:space="preserve"> </w:t>
      </w:r>
      <w:r w:rsidR="60B4D98D" w:rsidRPr="6F4EC395">
        <w:rPr>
          <w:rFonts w:ascii="Aptos" w:eastAsia="Aptos" w:hAnsi="Aptos" w:cs="Aptos"/>
          <w:color w:val="000000" w:themeColor="text1"/>
        </w:rPr>
        <w:t xml:space="preserve">CECREH: </w:t>
      </w:r>
      <w:r w:rsidRPr="6F4EC395">
        <w:rPr>
          <w:rFonts w:ascii="Aptos" w:eastAsia="Aptos" w:hAnsi="Aptos" w:cs="Aptos"/>
          <w:color w:val="000000" w:themeColor="text1"/>
        </w:rPr>
        <w:t>Cente</w:t>
      </w:r>
      <w:r w:rsidR="63DA2A2F" w:rsidRPr="6F4EC395">
        <w:rPr>
          <w:rFonts w:ascii="Aptos" w:eastAsia="Aptos" w:hAnsi="Aptos" w:cs="Aptos"/>
          <w:color w:val="000000" w:themeColor="text1"/>
        </w:rPr>
        <w:t>r</w:t>
      </w:r>
      <w:r w:rsidRPr="6F4EC395">
        <w:rPr>
          <w:rFonts w:ascii="Aptos" w:eastAsia="Aptos" w:hAnsi="Aptos" w:cs="Aptos"/>
          <w:color w:val="000000" w:themeColor="text1"/>
        </w:rPr>
        <w:t xml:space="preserve"> of Excellence in Capacity-building fo</w:t>
      </w:r>
      <w:r w:rsidR="7D719158" w:rsidRPr="6F4EC395">
        <w:rPr>
          <w:rFonts w:ascii="Aptos" w:eastAsia="Aptos" w:hAnsi="Aptos" w:cs="Aptos"/>
          <w:color w:val="000000" w:themeColor="text1"/>
        </w:rPr>
        <w:t>r</w:t>
      </w:r>
      <w:r w:rsidRPr="6F4EC395">
        <w:rPr>
          <w:rFonts w:ascii="Aptos" w:eastAsia="Aptos" w:hAnsi="Aptos" w:cs="Aptos"/>
          <w:color w:val="000000" w:themeColor="text1"/>
        </w:rPr>
        <w:t xml:space="preserve"> REsilient Housing, Department of Civil, Environ</w:t>
      </w:r>
      <w:r w:rsidR="1B4D9C6E" w:rsidRPr="6F4EC395">
        <w:rPr>
          <w:rFonts w:ascii="Aptos" w:eastAsia="Aptos" w:hAnsi="Aptos" w:cs="Aptos"/>
          <w:color w:val="000000" w:themeColor="text1"/>
        </w:rPr>
        <w:t>m</w:t>
      </w:r>
      <w:r w:rsidR="3E6A0F0B" w:rsidRPr="6F4EC395">
        <w:rPr>
          <w:rFonts w:ascii="Aptos" w:eastAsia="Aptos" w:hAnsi="Aptos" w:cs="Aptos"/>
          <w:color w:val="000000" w:themeColor="text1"/>
        </w:rPr>
        <w:t>e</w:t>
      </w:r>
      <w:r w:rsidRPr="6F4EC395">
        <w:rPr>
          <w:rFonts w:ascii="Aptos" w:eastAsia="Aptos" w:hAnsi="Aptos" w:cs="Aptos"/>
          <w:color w:val="000000" w:themeColor="text1"/>
        </w:rPr>
        <w:t>nta</w:t>
      </w:r>
      <w:r w:rsidR="02B8BA81" w:rsidRPr="6F4EC395">
        <w:rPr>
          <w:rFonts w:ascii="Aptos" w:eastAsia="Aptos" w:hAnsi="Aptos" w:cs="Aptos"/>
          <w:color w:val="000000" w:themeColor="text1"/>
        </w:rPr>
        <w:t>l</w:t>
      </w:r>
      <w:r w:rsidRPr="6F4EC395">
        <w:rPr>
          <w:rFonts w:ascii="Aptos" w:eastAsia="Aptos" w:hAnsi="Aptos" w:cs="Aptos"/>
          <w:color w:val="000000" w:themeColor="text1"/>
        </w:rPr>
        <w:t xml:space="preserve"> and Construction Engineering, Texas Tech University, Lubbock, TX, 79409, US</w:t>
      </w:r>
      <w:r w:rsidR="5E105EC9" w:rsidRPr="6F4EC395">
        <w:rPr>
          <w:rFonts w:ascii="Aptos" w:eastAsia="Aptos" w:hAnsi="Aptos" w:cs="Aptos"/>
          <w:color w:val="000000" w:themeColor="text1"/>
        </w:rPr>
        <w:t>A</w:t>
      </w:r>
    </w:p>
    <w:p w14:paraId="252B7A64" w14:textId="2CBFE4DC" w:rsidR="180FBEDF" w:rsidRDefault="180FBEDF" w:rsidP="0FA9DDF5">
      <w:r/>
    </w:p>
    <w:p w14:paraId="2F2FDC4F" w14:textId="53EE962C" w:rsidR="180FBEDF" w:rsidRDefault="180FBEDF" w:rsidP="0FA9DDF5">
      <w:pPr>
        <w:rPr>
          <w:rFonts w:ascii="Aptos" w:eastAsia="Aptos" w:hAnsi="Aptos" w:cs="Aptos"/>
          <w:color w:val="000000" w:themeColor="text1"/>
        </w:rPr>
      </w:pPr>
      <w:r w:rsidRPr="0FA9DDF5">
        <w:rPr>
          <w:rFonts w:ascii="Aptos" w:eastAsia="Aptos" w:hAnsi="Aptos" w:cs="Aptos"/>
          <w:b/>
          <w:bCs/>
          <w:color w:val="000000" w:themeColor="text1"/>
        </w:rPr>
        <w:lastRenderedPageBreak/>
        <w:t>Abstract:</w:t>
      </w:r>
    </w:p>
    <w:p w14:paraId="12B88818" w14:textId="18CF558D" w:rsidR="180FBEDF" w:rsidRDefault="634CAC45" w:rsidP="0FA9DDF5">
      <w:pPr>
        <w:spacing w:line="276" w:lineRule="auto"/>
        <w:rPr>
          <w:rFonts w:ascii="Aptos" w:eastAsia="Aptos" w:hAnsi="Aptos" w:cs="Aptos"/>
          <w:color w:val="000000" w:themeColor="text1"/>
        </w:rPr>
      </w:pPr>
      <w:r>
        <w:rPr>
          <w:rFonts w:ascii="Aptos" w:hAnsi="Aptos"/>
        </w:rPr>
        <w:t>As disaster recovery programs administered through the Community Development Block Grant-Disaster Recovery (CDBG-DR) program have expanded in scale, duration, and administrative complexity, understanding state and local governmental capacity has become increasingly important for both planning research and practice. This study revises and extends an earlier manuscript by treating the available evidence as a cross-sectional, associational SEM analysis rather than as a causal or moderation design. Using HUD DRGR/QPR records aggregated to 573 grantee-level profiles (30 state agencies and 543 local governments) for disaster cohorts spanning 2003 through 2023, together with QCEW-based staffing/payroll proxies, contextual population measures, and CDC/ATSDR SVI covariates, we compare a one-factor and a two-factor model of governmental capacity. The two-factor specification distinguishes Administrative Resources from Administrative Burden Capacity and fits the data better on chi-square, CFI, TLI, and RMSEA, whereas the one-factor model retains lower AIC and BIC. We therefore interpret the two-factor model as the main substantive specification, but not as an unambiguously superior confirmatory model. In the revised results, Administrative Burden Capacity is most consistently associated with Recovery Timeliness (standardized beta = 0.266, p &lt; 0.001), while Administrative Resources are negatively associated with Recovery Performance (standardized beta = -0.170, p &lt; 0.001). Social vulnerability also matters: minority/language vulnerability is negatively associated with Recovery Performance, and socioeconomic as well as household composition/disability vulnerability are negatively associated with Recovery Timeliness. Spatial maps, gap diagnostics, and the Recovery Governance Risk Index are retained as descriptive screening tools rather than as fully audited causal metrics. Overall, the revised manuscript supports a workload-sensitive and explicitly exploratory interpretation of governmental capacity in disaster recovery.</w:t>
      </w:r>
    </w:p>
    <w:p w14:paraId="30FD0CA9" w14:textId="3E4F4D5C" w:rsidR="180FBEDF" w:rsidRDefault="634CAC45" w:rsidP="0FA9DDF5">
      <w:pPr>
        <w:spacing w:line="276" w:lineRule="auto"/>
        <w:rPr>
          <w:rFonts w:ascii="Aptos" w:eastAsia="Aptos" w:hAnsi="Aptos" w:cs="Aptos"/>
          <w:color w:val="000000" w:themeColor="text1"/>
        </w:rPr>
      </w:pPr>
      <w:r w:rsidRPr="0FA9DDF5">
        <w:rPr>
          <w:rFonts w:ascii="Aptos" w:eastAsia="Aptos" w:hAnsi="Aptos" w:cs="Aptos"/>
          <w:b/>
          <w:bCs/>
          <w:color w:val="000000" w:themeColor="text1"/>
        </w:rPr>
        <w:t>Keywords</w:t>
      </w:r>
      <w:r w:rsidRPr="0FA9DDF5">
        <w:rPr>
          <w:rFonts w:ascii="Aptos" w:eastAsia="Aptos" w:hAnsi="Aptos" w:cs="Aptos"/>
          <w:color w:val="000000" w:themeColor="text1"/>
        </w:rPr>
        <w:t xml:space="preserve">: Disaster recovery; Governmental capacity; Administrative burden; Social vulnerability; Structural </w:t>
      </w:r>
      <w:r w:rsidR="7F608012" w:rsidRPr="0FA9DDF5">
        <w:rPr>
          <w:rFonts w:ascii="Aptos" w:eastAsia="Aptos" w:hAnsi="Aptos" w:cs="Aptos"/>
          <w:color w:val="000000" w:themeColor="text1"/>
        </w:rPr>
        <w:t>E</w:t>
      </w:r>
      <w:r w:rsidRPr="0FA9DDF5">
        <w:rPr>
          <w:rFonts w:ascii="Aptos" w:eastAsia="Aptos" w:hAnsi="Aptos" w:cs="Aptos"/>
          <w:color w:val="000000" w:themeColor="text1"/>
        </w:rPr>
        <w:t xml:space="preserve">quation </w:t>
      </w:r>
      <w:r w:rsidR="67C6FAF8" w:rsidRPr="0FA9DDF5">
        <w:rPr>
          <w:rFonts w:ascii="Aptos" w:eastAsia="Aptos" w:hAnsi="Aptos" w:cs="Aptos"/>
          <w:color w:val="000000" w:themeColor="text1"/>
        </w:rPr>
        <w:t>M</w:t>
      </w:r>
      <w:r w:rsidRPr="0FA9DDF5">
        <w:rPr>
          <w:rFonts w:ascii="Aptos" w:eastAsia="Aptos" w:hAnsi="Aptos" w:cs="Aptos"/>
          <w:color w:val="000000" w:themeColor="text1"/>
        </w:rPr>
        <w:t>odeling (SEM)</w:t>
      </w:r>
    </w:p>
    <w:p w14:paraId="27B96B1C" w14:textId="7F407815" w:rsidR="180FBEDF" w:rsidRDefault="180FBEDF" w:rsidP="41D8F452">
      <w:r/>
    </w:p>
    <w:p w14:paraId="71F71707" w14:textId="48125E9B" w:rsidR="15159F2C" w:rsidRDefault="15159F2C">
      <w:r/>
    </w:p>
    <w:p w14:paraId="2405D4CA" w14:textId="56332FCB" w:rsidR="64695413" w:rsidRDefault="64695413" w:rsidP="15159F2C">
      <w:pPr>
        <w:rPr>
          <w:rFonts w:ascii="Aptos" w:eastAsia="Aptos" w:hAnsi="Aptos" w:cs="Aptos"/>
          <w:b/>
          <w:bCs/>
        </w:rPr>
      </w:pPr>
      <w:r w:rsidRPr="15159F2C">
        <w:rPr>
          <w:rFonts w:ascii="Aptos" w:eastAsia="Aptos" w:hAnsi="Aptos" w:cs="Aptos"/>
          <w:b/>
          <w:bCs/>
        </w:rPr>
        <w:lastRenderedPageBreak/>
        <w:t xml:space="preserve">1. </w:t>
      </w:r>
      <w:r w:rsidR="0CECEE93" w:rsidRPr="15159F2C">
        <w:rPr>
          <w:rFonts w:ascii="Aptos" w:eastAsia="Aptos" w:hAnsi="Aptos" w:cs="Aptos"/>
          <w:b/>
          <w:bCs/>
        </w:rPr>
        <w:t>Introduction</w:t>
      </w:r>
    </w:p>
    <w:p w14:paraId="5CD8FCDB" w14:textId="7EA21933" w:rsidR="0CECEE93" w:rsidRDefault="0CECEE93" w:rsidP="0FA9DDF5">
      <w:pPr>
        <w:rPr>
          <w:rFonts w:ascii="Aptos" w:eastAsia="Aptos" w:hAnsi="Aptos" w:cs="Aptos"/>
          <w:color w:val="000000" w:themeColor="text1"/>
        </w:rPr>
      </w:pPr>
      <w:r w:rsidRPr="0FA9DDF5">
        <w:rPr>
          <w:rFonts w:ascii="Aptos" w:eastAsia="Aptos" w:hAnsi="Aptos" w:cs="Aptos"/>
          <w:color w:val="000000" w:themeColor="text1"/>
        </w:rPr>
        <w:t xml:space="preserve">The </w:t>
      </w:r>
      <w:r w:rsidR="715E0B61" w:rsidRPr="0FA9DDF5">
        <w:rPr>
          <w:rFonts w:ascii="Aptos" w:eastAsia="Aptos" w:hAnsi="Aptos" w:cs="Aptos"/>
          <w:color w:val="000000" w:themeColor="text1"/>
        </w:rPr>
        <w:t>effective</w:t>
      </w:r>
      <w:r w:rsidRPr="0FA9DDF5">
        <w:rPr>
          <w:rFonts w:ascii="Aptos" w:eastAsia="Aptos" w:hAnsi="Aptos" w:cs="Aptos"/>
          <w:color w:val="000000" w:themeColor="text1"/>
        </w:rPr>
        <w:t xml:space="preserve"> administration of disaster recovery funds</w:t>
      </w:r>
      <w:r w:rsidR="5BDBEE34" w:rsidRPr="0FA9DDF5">
        <w:rPr>
          <w:rFonts w:ascii="Aptos" w:eastAsia="Aptos" w:hAnsi="Aptos" w:cs="Aptos"/>
          <w:color w:val="000000" w:themeColor="text1"/>
        </w:rPr>
        <w:t xml:space="preserve"> from the </w:t>
      </w:r>
      <w:r w:rsidR="5201699B" w:rsidRPr="0FA9DDF5">
        <w:rPr>
          <w:rFonts w:ascii="Aptos" w:eastAsia="Aptos" w:hAnsi="Aptos" w:cs="Aptos"/>
          <w:color w:val="000000" w:themeColor="text1"/>
        </w:rPr>
        <w:t xml:space="preserve">U.S. </w:t>
      </w:r>
      <w:r w:rsidR="5BDBEE34" w:rsidRPr="0FA9DDF5">
        <w:rPr>
          <w:rFonts w:ascii="Aptos" w:eastAsia="Aptos" w:hAnsi="Aptos" w:cs="Aptos"/>
          <w:color w:val="000000" w:themeColor="text1"/>
        </w:rPr>
        <w:t xml:space="preserve">Department of Housing and Urban Development (HUD) across </w:t>
      </w:r>
      <w:r w:rsidR="4CAC7BE1" w:rsidRPr="0FA9DDF5">
        <w:rPr>
          <w:rFonts w:ascii="Aptos" w:eastAsia="Aptos" w:hAnsi="Aptos" w:cs="Aptos"/>
          <w:color w:val="000000" w:themeColor="text1"/>
        </w:rPr>
        <w:t xml:space="preserve">affected </w:t>
      </w:r>
      <w:r w:rsidR="5BDBEE34" w:rsidRPr="0FA9DDF5">
        <w:rPr>
          <w:rFonts w:ascii="Aptos" w:eastAsia="Aptos" w:hAnsi="Aptos" w:cs="Aptos"/>
          <w:color w:val="000000" w:themeColor="text1"/>
        </w:rPr>
        <w:t>jurisdictions</w:t>
      </w:r>
      <w:r w:rsidRPr="0FA9DDF5">
        <w:rPr>
          <w:rFonts w:ascii="Aptos" w:eastAsia="Aptos" w:hAnsi="Aptos" w:cs="Aptos"/>
          <w:color w:val="000000" w:themeColor="text1"/>
        </w:rPr>
        <w:t xml:space="preserve"> is central to advancing equitable and timely community recovery. In the United States, the Community Development Block Grant</w:t>
      </w:r>
      <w:r w:rsidR="439A7C0A" w:rsidRPr="0FA9DDF5">
        <w:rPr>
          <w:rFonts w:ascii="Aptos" w:eastAsia="Aptos" w:hAnsi="Aptos" w:cs="Aptos"/>
          <w:color w:val="000000" w:themeColor="text1"/>
        </w:rPr>
        <w:t>-</w:t>
      </w:r>
      <w:r w:rsidRPr="0FA9DDF5">
        <w:rPr>
          <w:rFonts w:ascii="Aptos" w:eastAsia="Aptos" w:hAnsi="Aptos" w:cs="Aptos"/>
          <w:color w:val="000000" w:themeColor="text1"/>
        </w:rPr>
        <w:t>Disaster Recovery (CDBG-DR) program has become one of the largest and most flexible sources of long-term recovery assistance following major disaster declarations</w:t>
      </w:r>
      <w:r w:rsidR="448202E6" w:rsidRPr="0FA9DDF5">
        <w:rPr>
          <w:rFonts w:ascii="Aptos" w:eastAsia="Aptos" w:hAnsi="Aptos" w:cs="Aptos"/>
          <w:color w:val="000000" w:themeColor="text1"/>
        </w:rPr>
        <w:t xml:space="preserve"> (</w:t>
      </w:r>
      <w:r w:rsidR="054F05E6" w:rsidRPr="0FA9DDF5">
        <w:rPr>
          <w:rFonts w:ascii="Aptos" w:eastAsia="Aptos" w:hAnsi="Aptos" w:cs="Aptos"/>
          <w:color w:val="000000" w:themeColor="text1"/>
        </w:rPr>
        <w:t>Costa et al., 2026</w:t>
      </w:r>
      <w:r w:rsidR="448202E6" w:rsidRPr="0FA9DDF5">
        <w:rPr>
          <w:rFonts w:ascii="Aptos" w:eastAsia="Aptos" w:hAnsi="Aptos" w:cs="Aptos"/>
          <w:color w:val="000000" w:themeColor="text1"/>
        </w:rPr>
        <w:t>)</w:t>
      </w:r>
      <w:r w:rsidRPr="0FA9DDF5">
        <w:rPr>
          <w:rFonts w:ascii="Aptos" w:eastAsia="Aptos" w:hAnsi="Aptos" w:cs="Aptos"/>
          <w:color w:val="000000" w:themeColor="text1"/>
        </w:rPr>
        <w:t xml:space="preserve">. Yet despite its national importance, the pace at which grantees </w:t>
      </w:r>
      <w:r w:rsidR="714FC5AA" w:rsidRPr="0FA9DDF5">
        <w:rPr>
          <w:rFonts w:ascii="Aptos" w:eastAsia="Aptos" w:hAnsi="Aptos" w:cs="Aptos"/>
          <w:color w:val="000000" w:themeColor="text1"/>
        </w:rPr>
        <w:t xml:space="preserve">(e.g., </w:t>
      </w:r>
      <w:r w:rsidRPr="0FA9DDF5">
        <w:rPr>
          <w:rFonts w:ascii="Aptos" w:eastAsia="Aptos" w:hAnsi="Aptos" w:cs="Aptos"/>
          <w:color w:val="000000" w:themeColor="text1"/>
        </w:rPr>
        <w:t xml:space="preserve">states, counties, </w:t>
      </w:r>
      <w:r w:rsidR="3ED34707" w:rsidRPr="0FA9DDF5">
        <w:rPr>
          <w:rFonts w:ascii="Aptos" w:eastAsia="Aptos" w:hAnsi="Aptos" w:cs="Aptos"/>
          <w:color w:val="000000" w:themeColor="text1"/>
        </w:rPr>
        <w:t xml:space="preserve">and </w:t>
      </w:r>
      <w:r w:rsidRPr="0FA9DDF5">
        <w:rPr>
          <w:rFonts w:ascii="Aptos" w:eastAsia="Aptos" w:hAnsi="Aptos" w:cs="Aptos"/>
          <w:color w:val="000000" w:themeColor="text1"/>
        </w:rPr>
        <w:t>cities</w:t>
      </w:r>
      <w:r w:rsidR="233D0998" w:rsidRPr="0FA9DDF5">
        <w:rPr>
          <w:rFonts w:ascii="Aptos" w:eastAsia="Aptos" w:hAnsi="Aptos" w:cs="Aptos"/>
          <w:color w:val="000000" w:themeColor="text1"/>
        </w:rPr>
        <w:t>)</w:t>
      </w:r>
      <w:r w:rsidRPr="0FA9DDF5">
        <w:rPr>
          <w:rFonts w:ascii="Aptos" w:eastAsia="Aptos" w:hAnsi="Aptos" w:cs="Aptos"/>
          <w:color w:val="000000" w:themeColor="text1"/>
        </w:rPr>
        <w:t xml:space="preserve"> obligate, disburse, and expend CDBG-DR funds varies markedly across jurisdictions and disaster events. Slow or inconsistent financial performance has been repeatedly linked to delayed housing reconstruction, prolonged displacement, uneven economic recovery, and persistent inequities for low-income households and historically marginalized communities (</w:t>
      </w:r>
      <w:r w:rsidR="1AED94A0" w:rsidRPr="0FA9DDF5">
        <w:rPr>
          <w:rFonts w:ascii="Aptos" w:eastAsia="Aptos" w:hAnsi="Aptos" w:cs="Aptos"/>
          <w:color w:val="000000" w:themeColor="text1"/>
        </w:rPr>
        <w:t>Rouhanizadeh et al.</w:t>
      </w:r>
      <w:r w:rsidRPr="0FA9DDF5">
        <w:rPr>
          <w:rFonts w:ascii="Aptos" w:eastAsia="Aptos" w:hAnsi="Aptos" w:cs="Aptos"/>
          <w:color w:val="000000" w:themeColor="text1"/>
        </w:rPr>
        <w:t>, 20</w:t>
      </w:r>
      <w:r w:rsidR="0AC3C95C" w:rsidRPr="0FA9DDF5">
        <w:rPr>
          <w:rFonts w:ascii="Aptos" w:eastAsia="Aptos" w:hAnsi="Aptos" w:cs="Aptos"/>
          <w:color w:val="000000" w:themeColor="text1"/>
        </w:rPr>
        <w:t>20</w:t>
      </w:r>
      <w:r w:rsidR="654909F2" w:rsidRPr="0FA9DDF5">
        <w:rPr>
          <w:rFonts w:ascii="Aptos" w:eastAsia="Aptos" w:hAnsi="Aptos" w:cs="Aptos"/>
          <w:color w:val="000000" w:themeColor="text1"/>
        </w:rPr>
        <w:t xml:space="preserve"> &amp; 2022</w:t>
      </w:r>
      <w:r w:rsidRPr="0FA9DDF5">
        <w:rPr>
          <w:rFonts w:ascii="Aptos" w:eastAsia="Aptos" w:hAnsi="Aptos" w:cs="Aptos"/>
          <w:color w:val="000000" w:themeColor="text1"/>
        </w:rPr>
        <w:t>).</w:t>
      </w:r>
      <w:r w:rsidR="4BEBFBCE" w:rsidRPr="0FA9DDF5">
        <w:rPr>
          <w:rFonts w:ascii="Aptos" w:eastAsia="Aptos" w:hAnsi="Aptos" w:cs="Aptos"/>
          <w:color w:val="000000" w:themeColor="text1"/>
        </w:rPr>
        <w:t xml:space="preserve"> </w:t>
      </w:r>
    </w:p>
    <w:p w14:paraId="3C3ECBDE" w14:textId="1EE13BCF" w:rsidR="2582F677" w:rsidRDefault="2582F677" w:rsidP="0FA9DDF5">
      <w:pPr>
        <w:rPr>
          <w:rFonts w:ascii="Aptos" w:eastAsia="Aptos" w:hAnsi="Aptos" w:cs="Aptos"/>
          <w:color w:val="000000" w:themeColor="text1"/>
        </w:rPr>
      </w:pPr>
      <w:r w:rsidRPr="0FA9DDF5">
        <w:rPr>
          <w:rFonts w:ascii="Aptos" w:eastAsia="Aptos" w:hAnsi="Aptos" w:cs="Aptos"/>
          <w:color w:val="000000" w:themeColor="text1"/>
        </w:rPr>
        <w:t xml:space="preserve">A key factor influencing financial performance and program outcomes is the capacity of grantees to administer CDBG-DR funds (Miao et al., 2025). However, governmental capacity </w:t>
      </w:r>
      <w:bookmarkStart w:id="0" w:name="_Int_WOJNLVAj"/>
      <w:r w:rsidRPr="0FA9DDF5">
        <w:rPr>
          <w:rFonts w:ascii="Aptos" w:eastAsia="Aptos" w:hAnsi="Aptos" w:cs="Aptos"/>
          <w:color w:val="000000" w:themeColor="text1"/>
        </w:rPr>
        <w:t>in</w:t>
      </w:r>
      <w:bookmarkEnd w:id="0"/>
      <w:r w:rsidRPr="0FA9DDF5">
        <w:rPr>
          <w:rFonts w:ascii="Aptos" w:eastAsia="Aptos" w:hAnsi="Aptos" w:cs="Aptos"/>
          <w:color w:val="000000" w:themeColor="text1"/>
        </w:rPr>
        <w:t xml:space="preserve"> disaster recovery is inherently difficult to measure directly. Prior studies have often relied on single-period financial indicators (Cevik &amp; Huang, 2018; Dzigbede et al., 2020; Lindsay, 2014) or case-based assessments (Hamideh, 2015; Rosas et al., 2021), which limit the ability to compare capacity across time, jurisdictions, and disaster contexts. The Quarterly Performance Reports (QPRs) submitted through HUD’s Disaster Recovery Grant Reporting (DRGR) system provide a valuable opportunity to develop comprehensive and comparable indicators of capacity. These reports consistently record quarterly obligated, disbursed, and expended amounts for each grantee and activity, generating rich panel data that enable systematic evaluation of financial performance and program timeliness. Nevertheless, raw financial measures alone cannot fully capture the multidimensional nature of governmental capacity in disaster recovery, which reflects the combined effects of administrative resources, administrative burden capacity, and recovery </w:t>
      </w:r>
      <w:r w:rsidR="7AEF5B82" w:rsidRPr="0FA9DDF5">
        <w:rPr>
          <w:rFonts w:ascii="Aptos" w:eastAsia="Aptos" w:hAnsi="Aptos" w:cs="Aptos"/>
          <w:color w:val="000000" w:themeColor="text1"/>
        </w:rPr>
        <w:t>outcomes</w:t>
      </w:r>
      <w:r w:rsidRPr="0FA9DDF5">
        <w:rPr>
          <w:rFonts w:ascii="Aptos" w:eastAsia="Aptos" w:hAnsi="Aptos" w:cs="Aptos"/>
          <w:color w:val="000000" w:themeColor="text1"/>
        </w:rPr>
        <w:t xml:space="preserve"> (Kusumasari et al., 2010).</w:t>
      </w:r>
    </w:p>
    <w:p w14:paraId="477488DB" w14:textId="45B7F54E" w:rsidR="6680DA1D" w:rsidRDefault="6680DA1D" w:rsidP="0FA9DDF5">
      <w:pPr>
        <w:rPr>
          <w:rFonts w:ascii="Aptos" w:eastAsia="Aptos" w:hAnsi="Aptos" w:cs="Aptos"/>
          <w:color w:val="000000" w:themeColor="text1"/>
        </w:rPr>
      </w:pPr>
      <w:r w:rsidRPr="0FA9DDF5">
        <w:rPr>
          <w:rFonts w:ascii="Aptos" w:eastAsia="Aptos" w:hAnsi="Aptos" w:cs="Aptos"/>
          <w:color w:val="000000" w:themeColor="text1"/>
        </w:rPr>
        <w:t>Therefore, this research aims to answer the following research questions:</w:t>
      </w:r>
      <w:r w:rsidR="12BD4D74" w:rsidRPr="0FA9DDF5">
        <w:rPr>
          <w:rFonts w:ascii="Aptos" w:eastAsia="Aptos" w:hAnsi="Aptos" w:cs="Aptos"/>
          <w:color w:val="000000" w:themeColor="text1"/>
        </w:rPr>
        <w:t xml:space="preserve"> </w:t>
      </w:r>
      <w:r w:rsidR="68406600" w:rsidRPr="0FA9DDF5">
        <w:rPr>
          <w:rFonts w:ascii="Aptos" w:eastAsia="Aptos" w:hAnsi="Aptos" w:cs="Aptos"/>
          <w:color w:val="000000" w:themeColor="text1"/>
        </w:rPr>
        <w:t xml:space="preserve"> </w:t>
      </w:r>
    </w:p>
    <w:p w14:paraId="3E93CAA2" w14:textId="1ADD48B2" w:rsidR="53BB62F3" w:rsidRDefault="53BB62F3" w:rsidP="0FA9DDF5">
      <w:pPr>
        <w:pStyle w:val="ListParagraph"/>
        <w:numPr>
          <w:ilvl w:val="0"/>
          <w:numId w:val="40"/>
        </w:numPr>
        <w:rPr>
          <w:rFonts w:ascii="Aptos" w:eastAsia="Aptos" w:hAnsi="Aptos" w:cs="Aptos"/>
          <w:color w:val="000000" w:themeColor="text1"/>
        </w:rPr>
      </w:pPr>
      <w:r w:rsidRPr="0FA9DDF5">
        <w:rPr>
          <w:rFonts w:ascii="Aptos" w:eastAsia="Aptos" w:hAnsi="Aptos" w:cs="Aptos"/>
          <w:color w:val="000000" w:themeColor="text1"/>
        </w:rPr>
        <w:t xml:space="preserve">How can state and local governmental capacity to administer CDBG-DR funds be conceptualized, operationalized, and empirically measured? </w:t>
      </w:r>
    </w:p>
    <w:p w14:paraId="4F2EE3F3" w14:textId="34AFB16B" w:rsidR="53BB62F3" w:rsidRDefault="53BB62F3" w:rsidP="0FA9DDF5">
      <w:pPr>
        <w:pStyle w:val="ListParagraph"/>
        <w:numPr>
          <w:ilvl w:val="0"/>
          <w:numId w:val="40"/>
        </w:numPr>
      </w:pPr>
      <w:r>
        <w:rPr/>
        <w:t>How is variation in state and local governmental capacity associated with disaster recovery program outcomes, and which institutional, socioeconomic, and programmatic conditions covary with recovery performance and timeliness?</w:t>
      </w:r>
    </w:p>
    <w:p w14:paraId="2BF477BE" w14:textId="3420CDB4" w:rsidR="53BB62F3" w:rsidRDefault="53BB62F3" w:rsidP="0FA9DDF5">
      <w:pPr>
        <w:pStyle w:val="ListParagraph"/>
        <w:numPr>
          <w:ilvl w:val="0"/>
          <w:numId w:val="40"/>
        </w:numPr>
      </w:pPr>
      <w:r>
        <w:t xml:space="preserve">What are the spatial patterns of governmental capacity and disaster recovery outcomes, and which regions exhibit elevated capacity gaps, program </w:t>
      </w:r>
      <w:r>
        <w:lastRenderedPageBreak/>
        <w:t>implementation disparities, recovery performance gaps, or broader governance risks?</w:t>
      </w:r>
    </w:p>
    <w:p w14:paraId="4842FA1A" w14:textId="417DAE8F" w:rsidR="49F67DA0" w:rsidRDefault="49F67DA0" w:rsidP="0FA9DDF5">
      <w:r>
        <w:rPr/>
        <w:t>To address these questions, this revised manuscript develops a cross-sectional Structural Equation Modeling (SEM) framework to conceptualize, measure, and compare state and local governmental capacity in administering CDBG-DR funds and implementing disaster recovery programs. Using grantee-level profiles constructed from quarterly QPR records and linked contextual covariates, we treat governmental capacity as a latent construct that is observed indirectly through staffing, payroll, and workload-sensitive indicators. The revised paper does not treat this framework as a causal design and does not model formal moderation. Instead, state-versus-local differences, jurisdiction size, and social vulnerability enter as covariates in the main SEM and as descriptive subset checks in the supporting discussion. In addition to the SEM analysis, the manuscript retains county- and state-level spatial summaries, gap diagnostics, and a governance risk screen to identify places where disaster demand, institutional workload, and vulnerability appear to overlap most strongly.</w:t>
      </w:r>
    </w:p>
    <w:p w14:paraId="6685C634" w14:textId="4E7107E5" w:rsidR="49F67DA0" w:rsidRDefault="49F67DA0" w:rsidP="0FA9DDF5">
      <w:r>
        <w:rPr/>
        <w:t>This approach advances the literature in three more carefully bounded ways. First, it provides a systematic method for operationalizing governmental capacity in CDBG-DR administration using both resource and workload-sensitive indicators rather than a single throughput ratio. Second, it compares a one-factor and a two-factor SEM so that the measurement tradeoffs are visible instead of being hidden behind a single preferred specification. Third, it retains spatial and gap-based diagnostics as policy-screening tools while making clear that these extensions are descriptive, exploratory, and only as strong as the underlying linkage and measurement assumptions.</w:t>
      </w:r>
    </w:p>
    <w:p w14:paraId="0B245D01" w14:textId="04927554" w:rsidR="0CECEE93" w:rsidRDefault="0CECEE93" w:rsidP="15159F2C">
      <w:pPr>
        <w:rPr>
          <w:rFonts w:ascii="Aptos" w:eastAsia="Aptos" w:hAnsi="Aptos" w:cs="Aptos"/>
          <w:color w:val="000000" w:themeColor="text1"/>
        </w:rPr>
      </w:pPr>
      <w:r w:rsidRPr="15159F2C">
        <w:rPr>
          <w:rFonts w:ascii="Aptos" w:eastAsia="Aptos" w:hAnsi="Aptos" w:cs="Aptos"/>
          <w:b/>
          <w:bCs/>
          <w:color w:val="000000" w:themeColor="text1"/>
        </w:rPr>
        <w:t>2. Literature Review</w:t>
      </w:r>
    </w:p>
    <w:p w14:paraId="5BC72A1F" w14:textId="27CCCB13" w:rsidR="0CECEE93" w:rsidRDefault="0CECEE93" w:rsidP="0FA9DDF5">
      <w:pPr>
        <w:rPr>
          <w:rFonts w:ascii="Aptos" w:eastAsia="Aptos" w:hAnsi="Aptos" w:cs="Aptos"/>
          <w:b/>
          <w:bCs/>
          <w:color w:val="000000" w:themeColor="text1"/>
        </w:rPr>
      </w:pPr>
      <w:r w:rsidRPr="0FA9DDF5">
        <w:rPr>
          <w:rFonts w:ascii="Aptos" w:eastAsia="Aptos" w:hAnsi="Aptos" w:cs="Aptos"/>
          <w:b/>
          <w:bCs/>
          <w:color w:val="000000" w:themeColor="text1"/>
        </w:rPr>
        <w:t>2.1</w:t>
      </w:r>
      <w:r w:rsidR="4E98CED5" w:rsidRPr="0FA9DDF5">
        <w:rPr>
          <w:rFonts w:ascii="Aptos" w:eastAsia="Aptos" w:hAnsi="Aptos" w:cs="Aptos"/>
          <w:b/>
          <w:bCs/>
          <w:color w:val="000000" w:themeColor="text1"/>
        </w:rPr>
        <w:t>.</w:t>
      </w:r>
      <w:r w:rsidRPr="0FA9DDF5">
        <w:rPr>
          <w:rFonts w:ascii="Aptos" w:eastAsia="Aptos" w:hAnsi="Aptos" w:cs="Aptos"/>
          <w:b/>
          <w:bCs/>
          <w:color w:val="000000" w:themeColor="text1"/>
        </w:rPr>
        <w:t xml:space="preserve"> </w:t>
      </w:r>
      <w:r w:rsidR="588FED15" w:rsidRPr="0FA9DDF5">
        <w:rPr>
          <w:rFonts w:ascii="Aptos" w:eastAsia="Aptos" w:hAnsi="Aptos" w:cs="Aptos"/>
          <w:b/>
          <w:bCs/>
          <w:color w:val="000000" w:themeColor="text1"/>
        </w:rPr>
        <w:t>Institutional c</w:t>
      </w:r>
      <w:r w:rsidRPr="0FA9DDF5">
        <w:rPr>
          <w:rFonts w:ascii="Aptos" w:eastAsia="Aptos" w:hAnsi="Aptos" w:cs="Aptos"/>
          <w:b/>
          <w:bCs/>
          <w:color w:val="000000" w:themeColor="text1"/>
        </w:rPr>
        <w:t>ontext</w:t>
      </w:r>
      <w:r w:rsidR="791CF48B" w:rsidRPr="0FA9DDF5">
        <w:rPr>
          <w:rFonts w:ascii="Aptos" w:eastAsia="Aptos" w:hAnsi="Aptos" w:cs="Aptos"/>
          <w:b/>
          <w:bCs/>
          <w:color w:val="000000" w:themeColor="text1"/>
        </w:rPr>
        <w:t xml:space="preserve"> of</w:t>
      </w:r>
      <w:r w:rsidRPr="0FA9DDF5">
        <w:rPr>
          <w:rFonts w:ascii="Aptos" w:eastAsia="Aptos" w:hAnsi="Aptos" w:cs="Aptos"/>
          <w:b/>
          <w:bCs/>
          <w:color w:val="000000" w:themeColor="text1"/>
        </w:rPr>
        <w:t xml:space="preserve"> CDBG-DR</w:t>
      </w:r>
      <w:r w:rsidR="263B9447" w:rsidRPr="0FA9DDF5">
        <w:rPr>
          <w:rFonts w:ascii="Aptos" w:eastAsia="Aptos" w:hAnsi="Aptos" w:cs="Aptos"/>
          <w:b/>
          <w:bCs/>
          <w:color w:val="000000" w:themeColor="text1"/>
        </w:rPr>
        <w:t xml:space="preserve"> </w:t>
      </w:r>
      <w:r w:rsidRPr="0FA9DDF5">
        <w:rPr>
          <w:rFonts w:ascii="Aptos" w:eastAsia="Aptos" w:hAnsi="Aptos" w:cs="Aptos"/>
          <w:b/>
          <w:bCs/>
          <w:color w:val="000000" w:themeColor="text1"/>
        </w:rPr>
        <w:t xml:space="preserve">administration and </w:t>
      </w:r>
      <w:r w:rsidR="167FFAD4" w:rsidRPr="0FA9DDF5">
        <w:rPr>
          <w:rFonts w:ascii="Aptos" w:eastAsia="Aptos" w:hAnsi="Aptos" w:cs="Aptos"/>
          <w:b/>
          <w:bCs/>
          <w:color w:val="000000" w:themeColor="text1"/>
        </w:rPr>
        <w:t xml:space="preserve">implementation </w:t>
      </w:r>
      <w:r w:rsidRPr="0FA9DDF5">
        <w:rPr>
          <w:rFonts w:ascii="Aptos" w:eastAsia="Aptos" w:hAnsi="Aptos" w:cs="Aptos"/>
          <w:b/>
          <w:bCs/>
          <w:color w:val="000000" w:themeColor="text1"/>
        </w:rPr>
        <w:t>performance</w:t>
      </w:r>
    </w:p>
    <w:p w14:paraId="33A547DE" w14:textId="7052CD80" w:rsidR="0CECEE93" w:rsidRDefault="18A7B569" w:rsidP="0FA9DDF5">
      <w:pPr>
        <w:rPr>
          <w:rFonts w:ascii="Aptos" w:eastAsia="Aptos" w:hAnsi="Aptos" w:cs="Aptos"/>
          <w:color w:val="000000" w:themeColor="text1"/>
        </w:rPr>
      </w:pPr>
      <w:r w:rsidRPr="0FA9DDF5">
        <w:rPr>
          <w:rFonts w:ascii="Aptos" w:eastAsia="Aptos" w:hAnsi="Aptos" w:cs="Aptos"/>
          <w:color w:val="000000" w:themeColor="text1"/>
        </w:rPr>
        <w:lastRenderedPageBreak/>
        <w:t>CDBG-DR funding has expanded substantially over the past two decades, allocating billions of dollars in response to major hurricanes, floods, wildfires, and other disasters</w:t>
      </w:r>
      <w:r w:rsidR="566959BB" w:rsidRPr="0FA9DDF5">
        <w:rPr>
          <w:rFonts w:ascii="Aptos" w:eastAsia="Aptos" w:hAnsi="Aptos" w:cs="Aptos"/>
          <w:color w:val="000000" w:themeColor="text1"/>
        </w:rPr>
        <w:t xml:space="preserve"> (Costa et al., 2026)</w:t>
      </w:r>
      <w:r w:rsidR="0CECEE93" w:rsidRPr="0FA9DDF5">
        <w:rPr>
          <w:rFonts w:ascii="Aptos" w:eastAsia="Aptos" w:hAnsi="Aptos" w:cs="Aptos"/>
          <w:color w:val="000000" w:themeColor="text1"/>
        </w:rPr>
        <w:t xml:space="preserve">. </w:t>
      </w:r>
      <w:r w:rsidR="68CA76B2" w:rsidRPr="0FA9DDF5">
        <w:rPr>
          <w:rFonts w:ascii="Aptos" w:eastAsia="Aptos" w:hAnsi="Aptos" w:cs="Aptos"/>
          <w:color w:val="000000" w:themeColor="text1"/>
        </w:rPr>
        <w:t>As a block</w:t>
      </w:r>
      <w:r w:rsidR="5678866C" w:rsidRPr="0FA9DDF5">
        <w:rPr>
          <w:rFonts w:ascii="Aptos" w:eastAsia="Aptos" w:hAnsi="Aptos" w:cs="Aptos"/>
          <w:color w:val="000000" w:themeColor="text1"/>
        </w:rPr>
        <w:t>-</w:t>
      </w:r>
      <w:r w:rsidR="68CA76B2" w:rsidRPr="0FA9DDF5">
        <w:rPr>
          <w:rFonts w:ascii="Aptos" w:eastAsia="Aptos" w:hAnsi="Aptos" w:cs="Aptos"/>
          <w:color w:val="000000" w:themeColor="text1"/>
        </w:rPr>
        <w:t>grant program, CDBG-DR provides grantees with considerable flexibility in designing and implementing recovery programs. However, this flexibility also introduces significant administrative burden, particularly in ensuring that funds are obligated, disbursed, and expended efficiently and in compliance with federal requirements. Numerous evaluations have documented persistent delays in grant implementation, including challenges related to procurement processes, environmental reviews, and program start-up activities</w:t>
      </w:r>
      <w:r w:rsidR="0CECEE93" w:rsidRPr="0FA9DDF5">
        <w:rPr>
          <w:rFonts w:ascii="Aptos" w:eastAsia="Aptos" w:hAnsi="Aptos" w:cs="Aptos"/>
          <w:color w:val="000000" w:themeColor="text1"/>
        </w:rPr>
        <w:t xml:space="preserve"> (</w:t>
      </w:r>
      <w:r w:rsidR="54AB1EC2" w:rsidRPr="0FA9DDF5">
        <w:rPr>
          <w:rFonts w:ascii="Aptos" w:eastAsia="Aptos" w:hAnsi="Aptos" w:cs="Aptos"/>
          <w:color w:val="000000" w:themeColor="text1"/>
        </w:rPr>
        <w:t xml:space="preserve">Costa et al., 2026; Martín, 2018; </w:t>
      </w:r>
      <w:r w:rsidR="6DEBD6A2" w:rsidRPr="0FA9DDF5">
        <w:rPr>
          <w:rFonts w:ascii="Aptos" w:eastAsia="Aptos" w:hAnsi="Aptos" w:cs="Aptos"/>
          <w:color w:val="000000" w:themeColor="text1"/>
        </w:rPr>
        <w:t xml:space="preserve">Miao et al., 2025; </w:t>
      </w:r>
      <w:r w:rsidR="6183D345" w:rsidRPr="0FA9DDF5">
        <w:rPr>
          <w:rFonts w:ascii="Aptos" w:eastAsia="Aptos" w:hAnsi="Aptos" w:cs="Aptos"/>
          <w:color w:val="000000" w:themeColor="text1"/>
        </w:rPr>
        <w:t>U.S. Department of Housing and Urban Development, 2026</w:t>
      </w:r>
      <w:r w:rsidR="0CECEE93" w:rsidRPr="0FA9DDF5">
        <w:rPr>
          <w:rFonts w:ascii="Aptos" w:eastAsia="Aptos" w:hAnsi="Aptos" w:cs="Aptos"/>
          <w:color w:val="000000" w:themeColor="text1"/>
        </w:rPr>
        <w:t xml:space="preserve">). </w:t>
      </w:r>
      <w:r w:rsidR="4D45795B" w:rsidRPr="0FA9DDF5">
        <w:rPr>
          <w:rFonts w:ascii="Aptos" w:eastAsia="Aptos" w:hAnsi="Aptos" w:cs="Aptos"/>
          <w:color w:val="000000" w:themeColor="text1"/>
        </w:rPr>
        <w:t>Additionally, g</w:t>
      </w:r>
      <w:r w:rsidR="0CECEE93" w:rsidRPr="0FA9DDF5">
        <w:rPr>
          <w:rFonts w:ascii="Aptos" w:eastAsia="Aptos" w:hAnsi="Aptos" w:cs="Aptos"/>
          <w:color w:val="000000" w:themeColor="text1"/>
        </w:rPr>
        <w:t>rantees</w:t>
      </w:r>
      <w:r w:rsidR="1B263CA4" w:rsidRPr="0FA9DDF5">
        <w:rPr>
          <w:rFonts w:ascii="Aptos" w:eastAsia="Aptos" w:hAnsi="Aptos" w:cs="Aptos"/>
          <w:color w:val="000000" w:themeColor="text1"/>
        </w:rPr>
        <w:t xml:space="preserve"> or governments</w:t>
      </w:r>
      <w:r w:rsidR="0CECEE93" w:rsidRPr="0FA9DDF5">
        <w:rPr>
          <w:rFonts w:ascii="Aptos" w:eastAsia="Aptos" w:hAnsi="Aptos" w:cs="Aptos"/>
          <w:color w:val="000000" w:themeColor="text1"/>
        </w:rPr>
        <w:t xml:space="preserve"> </w:t>
      </w:r>
      <w:r w:rsidR="149DC5FF" w:rsidRPr="0FA9DDF5">
        <w:rPr>
          <w:rFonts w:ascii="Aptos" w:eastAsia="Aptos" w:hAnsi="Aptos" w:cs="Aptos"/>
          <w:color w:val="000000" w:themeColor="text1"/>
        </w:rPr>
        <w:t>vary substantially in their prior experience with disaster recovery programs, staffing capacity, and administrative procedures – factors that can significantly influence the timeliness and effectiveness of fund deployment and program implementation</w:t>
      </w:r>
      <w:r w:rsidR="0CECEE93" w:rsidRPr="0FA9DDF5">
        <w:rPr>
          <w:rFonts w:ascii="Aptos" w:eastAsia="Aptos" w:hAnsi="Aptos" w:cs="Aptos"/>
          <w:color w:val="000000" w:themeColor="text1"/>
        </w:rPr>
        <w:t xml:space="preserve"> (</w:t>
      </w:r>
      <w:r w:rsidR="45C59423" w:rsidRPr="0FA9DDF5">
        <w:rPr>
          <w:rFonts w:ascii="Aptos" w:eastAsia="Aptos" w:hAnsi="Aptos" w:cs="Aptos"/>
          <w:color w:val="000000" w:themeColor="text1"/>
        </w:rPr>
        <w:t>Martin</w:t>
      </w:r>
      <w:r w:rsidR="1F3413C9" w:rsidRPr="0FA9DDF5">
        <w:rPr>
          <w:rFonts w:ascii="Aptos" w:eastAsia="Aptos" w:hAnsi="Aptos" w:cs="Aptos"/>
          <w:color w:val="000000" w:themeColor="text1"/>
        </w:rPr>
        <w:t xml:space="preserve"> et al.</w:t>
      </w:r>
      <w:r w:rsidR="2E635D50" w:rsidRPr="0FA9DDF5">
        <w:rPr>
          <w:rFonts w:ascii="Aptos" w:eastAsia="Aptos" w:hAnsi="Aptos" w:cs="Aptos"/>
          <w:color w:val="000000" w:themeColor="text1"/>
        </w:rPr>
        <w:t>, 20</w:t>
      </w:r>
      <w:r w:rsidR="71C5422E" w:rsidRPr="0FA9DDF5">
        <w:rPr>
          <w:rFonts w:ascii="Aptos" w:eastAsia="Aptos" w:hAnsi="Aptos" w:cs="Aptos"/>
          <w:color w:val="000000" w:themeColor="text1"/>
        </w:rPr>
        <w:t>22</w:t>
      </w:r>
      <w:r w:rsidR="2E635D50" w:rsidRPr="0FA9DDF5">
        <w:rPr>
          <w:rFonts w:ascii="Aptos" w:eastAsia="Aptos" w:hAnsi="Aptos" w:cs="Aptos"/>
          <w:color w:val="000000" w:themeColor="text1"/>
        </w:rPr>
        <w:t xml:space="preserve">; </w:t>
      </w:r>
      <w:r w:rsidR="795C6F5D" w:rsidRPr="0FA9DDF5">
        <w:rPr>
          <w:rFonts w:ascii="Aptos" w:eastAsia="Aptos" w:hAnsi="Aptos" w:cs="Aptos"/>
          <w:color w:val="000000" w:themeColor="text1"/>
        </w:rPr>
        <w:t xml:space="preserve">Melendez, 2020; </w:t>
      </w:r>
      <w:r w:rsidR="1F47B32B" w:rsidRPr="0FA9DDF5">
        <w:rPr>
          <w:rFonts w:ascii="Aptos" w:eastAsia="Aptos" w:hAnsi="Aptos" w:cs="Aptos"/>
          <w:color w:val="000000" w:themeColor="text1"/>
        </w:rPr>
        <w:t>Van Niekerk et al.</w:t>
      </w:r>
      <w:r w:rsidR="0CECEE93" w:rsidRPr="0FA9DDF5">
        <w:rPr>
          <w:rFonts w:ascii="Aptos" w:eastAsia="Aptos" w:hAnsi="Aptos" w:cs="Aptos"/>
          <w:color w:val="000000" w:themeColor="text1"/>
        </w:rPr>
        <w:t>, 201</w:t>
      </w:r>
      <w:r w:rsidR="30D3DFAC" w:rsidRPr="0FA9DDF5">
        <w:rPr>
          <w:rFonts w:ascii="Aptos" w:eastAsia="Aptos" w:hAnsi="Aptos" w:cs="Aptos"/>
          <w:color w:val="000000" w:themeColor="text1"/>
        </w:rPr>
        <w:t>8</w:t>
      </w:r>
      <w:r w:rsidR="0CECEE93" w:rsidRPr="0FA9DDF5">
        <w:rPr>
          <w:rFonts w:ascii="Aptos" w:eastAsia="Aptos" w:hAnsi="Aptos" w:cs="Aptos"/>
          <w:color w:val="000000" w:themeColor="text1"/>
        </w:rPr>
        <w:t>).</w:t>
      </w:r>
    </w:p>
    <w:p w14:paraId="1C317805" w14:textId="16101707" w:rsidR="0CECEE93" w:rsidRDefault="0442C3AB" w:rsidP="0FA9DDF5">
      <w:pPr>
        <w:rPr>
          <w:rFonts w:ascii="Aptos" w:eastAsia="Aptos" w:hAnsi="Aptos" w:cs="Aptos"/>
          <w:color w:val="000000" w:themeColor="text1"/>
        </w:rPr>
      </w:pPr>
      <w:r w:rsidRPr="0FA9DDF5">
        <w:rPr>
          <w:rFonts w:ascii="Aptos" w:eastAsia="Aptos" w:hAnsi="Aptos" w:cs="Aptos"/>
          <w:color w:val="000000" w:themeColor="text1"/>
        </w:rPr>
        <w:t>Despite the growing scale and importance of CDBG-DR funding, relatively limited research has systematically measured grantees’ governmental capacity or examined its role in shaping fund administration and program implementation. One major challenge is the historical lack of comprehensive, structured datasets that enable consistent analysis of CDBG-DR fund deployment. Although HUD requires quarterly reporting through the DRGR system via QPRs, which document obligated, disbursed, and expended amounts by grantee, activity, and reporting period, these data have not yet been widely leveraged by auditors, HUD practitioners, or researchers to model the latent dimensions or underlying determinants of administrative capacity.</w:t>
      </w:r>
      <w:r w:rsidR="0CECEE93" w:rsidRPr="0FA9DDF5">
        <w:rPr>
          <w:rFonts w:ascii="Aptos" w:eastAsia="Aptos" w:hAnsi="Aptos" w:cs="Aptos"/>
          <w:color w:val="000000" w:themeColor="text1"/>
        </w:rPr>
        <w:t xml:space="preserve"> </w:t>
      </w:r>
      <w:r w:rsidR="45CDC3D7" w:rsidRPr="0FA9DDF5">
        <w:rPr>
          <w:rFonts w:ascii="Aptos" w:eastAsia="Aptos" w:hAnsi="Aptos" w:cs="Aptos"/>
          <w:color w:val="000000" w:themeColor="text1"/>
        </w:rPr>
        <w:t xml:space="preserve">Instead, </w:t>
      </w:r>
      <w:r w:rsidR="30B18793" w:rsidRPr="0FA9DDF5">
        <w:rPr>
          <w:rFonts w:ascii="Aptos" w:eastAsia="Aptos" w:hAnsi="Aptos" w:cs="Aptos"/>
          <w:color w:val="000000" w:themeColor="text1"/>
        </w:rPr>
        <w:t>prior studies have generally relied on descriptive summaries or aggregate comparisons to evaluate financial performance</w:t>
      </w:r>
      <w:r w:rsidR="1038D506" w:rsidRPr="0FA9DDF5">
        <w:rPr>
          <w:rFonts w:ascii="Aptos" w:eastAsia="Aptos" w:hAnsi="Aptos" w:cs="Aptos"/>
          <w:color w:val="000000" w:themeColor="text1"/>
        </w:rPr>
        <w:t xml:space="preserve"> (Costa et al., 2026; Martín, 2018)</w:t>
      </w:r>
      <w:r w:rsidR="05766D16" w:rsidRPr="0FA9DDF5">
        <w:rPr>
          <w:rFonts w:ascii="Aptos" w:eastAsia="Aptos" w:hAnsi="Aptos" w:cs="Aptos"/>
          <w:color w:val="000000" w:themeColor="text1"/>
        </w:rPr>
        <w:t>. This limitation constrains a more comprehensive understanding of how governmental capacity influences fund utilization and, ultimately, the effectiveness and performance of disaster recovery efforts.</w:t>
      </w:r>
    </w:p>
    <w:p w14:paraId="0AB1F6BD" w14:textId="1B4FC473" w:rsidR="0CECEE93" w:rsidRDefault="5923CAA1" w:rsidP="0FA9DDF5">
      <w:pPr>
        <w:rPr>
          <w:rFonts w:ascii="Aptos" w:eastAsia="Aptos" w:hAnsi="Aptos" w:cs="Aptos"/>
          <w:b/>
          <w:bCs/>
          <w:color w:val="000000" w:themeColor="text1"/>
        </w:rPr>
      </w:pPr>
      <w:r w:rsidRPr="0FA9DDF5">
        <w:rPr>
          <w:rFonts w:ascii="Aptos" w:eastAsia="Aptos" w:hAnsi="Aptos" w:cs="Aptos"/>
          <w:b/>
          <w:bCs/>
          <w:color w:val="000000" w:themeColor="text1"/>
        </w:rPr>
        <w:t>2.</w:t>
      </w:r>
      <w:r w:rsidR="0EEB10A2" w:rsidRPr="0FA9DDF5">
        <w:rPr>
          <w:rFonts w:ascii="Aptos" w:eastAsia="Aptos" w:hAnsi="Aptos" w:cs="Aptos"/>
          <w:b/>
          <w:bCs/>
          <w:color w:val="000000" w:themeColor="text1"/>
        </w:rPr>
        <w:t>2</w:t>
      </w:r>
      <w:r w:rsidRPr="0FA9DDF5">
        <w:rPr>
          <w:rFonts w:ascii="Aptos" w:eastAsia="Aptos" w:hAnsi="Aptos" w:cs="Aptos"/>
          <w:b/>
          <w:bCs/>
          <w:color w:val="000000" w:themeColor="text1"/>
        </w:rPr>
        <w:t xml:space="preserve">. </w:t>
      </w:r>
      <w:r w:rsidR="4D5415DB" w:rsidRPr="0FA9DDF5">
        <w:rPr>
          <w:rFonts w:ascii="Aptos" w:eastAsia="Aptos" w:hAnsi="Aptos" w:cs="Aptos"/>
          <w:b/>
          <w:bCs/>
          <w:color w:val="000000" w:themeColor="text1"/>
        </w:rPr>
        <w:t>Methodological approaches for disaster recovery administration</w:t>
      </w:r>
      <w:r w:rsidR="22A2472A" w:rsidRPr="0FA9DDF5">
        <w:rPr>
          <w:rFonts w:ascii="Aptos" w:eastAsia="Aptos" w:hAnsi="Aptos" w:cs="Aptos"/>
          <w:b/>
          <w:bCs/>
          <w:color w:val="000000" w:themeColor="text1"/>
        </w:rPr>
        <w:t xml:space="preserve"> assessments</w:t>
      </w:r>
    </w:p>
    <w:p w14:paraId="6E25B24D" w14:textId="7C31D7AC" w:rsidR="0CECEE93" w:rsidRDefault="5F7C56F0" w:rsidP="0FA9DDF5">
      <w:pPr>
        <w:rPr>
          <w:rFonts w:ascii="Aptos" w:eastAsia="Aptos" w:hAnsi="Aptos" w:cs="Aptos"/>
          <w:color w:val="000000" w:themeColor="text1"/>
        </w:rPr>
      </w:pPr>
      <w:r w:rsidRPr="0FA9DDF5">
        <w:rPr>
          <w:rFonts w:ascii="Aptos" w:eastAsia="Aptos" w:hAnsi="Aptos" w:cs="Aptos"/>
        </w:rPr>
        <w:t>In general, four primary approaches have been used to evaluate fund administration performance in disaster recovery</w:t>
      </w:r>
      <w:r w:rsidR="5923CAA1" w:rsidRPr="0FA9DDF5">
        <w:rPr>
          <w:rFonts w:ascii="Aptos" w:eastAsia="Aptos" w:hAnsi="Aptos" w:cs="Aptos"/>
          <w:color w:val="000000" w:themeColor="text1"/>
        </w:rPr>
        <w:t xml:space="preserve">. </w:t>
      </w:r>
      <w:r w:rsidR="6A6B0D88" w:rsidRPr="0FA9DDF5">
        <w:rPr>
          <w:rFonts w:ascii="Aptos" w:eastAsia="Aptos" w:hAnsi="Aptos" w:cs="Aptos"/>
          <w:color w:val="000000" w:themeColor="text1"/>
        </w:rPr>
        <w:t>The first approach consists of descriptive and programmatic analyses. For example, the U.S. HUD and the Government Accountability Office (GAO) frequently publish summary reports that highlight variation in fund utilization rates across grantees</w:t>
      </w:r>
      <w:r w:rsidR="5923CAA1" w:rsidRPr="0FA9DDF5">
        <w:rPr>
          <w:rFonts w:ascii="Aptos" w:eastAsia="Aptos" w:hAnsi="Aptos" w:cs="Aptos"/>
          <w:color w:val="000000" w:themeColor="text1"/>
        </w:rPr>
        <w:t xml:space="preserve"> (U.S. Government Accountability Office, 2026; U.S. Department of Housing and Urban Development, 2026). </w:t>
      </w:r>
      <w:r w:rsidR="7DFAABA4" w:rsidRPr="0FA9DDF5">
        <w:rPr>
          <w:rFonts w:ascii="Aptos" w:eastAsia="Aptos" w:hAnsi="Aptos" w:cs="Aptos"/>
          <w:color w:val="000000" w:themeColor="text1"/>
        </w:rPr>
        <w:t>Academic and think-tank studies similarly document patterns in program launch timelines, housing completions, and expenditure trajectories</w:t>
      </w:r>
      <w:r w:rsidR="5923CAA1" w:rsidRPr="0FA9DDF5">
        <w:rPr>
          <w:rFonts w:ascii="Aptos" w:eastAsia="Aptos" w:hAnsi="Aptos" w:cs="Aptos"/>
          <w:color w:val="000000" w:themeColor="text1"/>
        </w:rPr>
        <w:t xml:space="preserve"> (Drew, 2024). </w:t>
      </w:r>
      <w:r w:rsidR="6478B232" w:rsidRPr="0FA9DDF5">
        <w:rPr>
          <w:rFonts w:ascii="Aptos" w:eastAsia="Aptos" w:hAnsi="Aptos" w:cs="Aptos"/>
          <w:color w:val="000000" w:themeColor="text1"/>
        </w:rPr>
        <w:t xml:space="preserve">While these studies reveal substantial variation in performance, </w:t>
      </w:r>
      <w:r w:rsidR="6478B232" w:rsidRPr="0FA9DDF5">
        <w:rPr>
          <w:rFonts w:ascii="Aptos" w:eastAsia="Aptos" w:hAnsi="Aptos" w:cs="Aptos"/>
          <w:color w:val="000000" w:themeColor="text1"/>
        </w:rPr>
        <w:lastRenderedPageBreak/>
        <w:t>they generally do not examine the institutional mechanisms that drive differences in disaster recovery outcomes.</w:t>
      </w:r>
      <w:r w:rsidR="5923CAA1" w:rsidRPr="0FA9DDF5">
        <w:rPr>
          <w:rFonts w:ascii="Aptos" w:eastAsia="Aptos" w:hAnsi="Aptos" w:cs="Aptos"/>
          <w:color w:val="000000" w:themeColor="text1"/>
        </w:rPr>
        <w:t xml:space="preserve"> </w:t>
      </w:r>
      <w:r w:rsidR="0219A9B0" w:rsidRPr="0FA9DDF5">
        <w:rPr>
          <w:rFonts w:ascii="Aptos" w:eastAsia="Aptos" w:hAnsi="Aptos" w:cs="Aptos"/>
          <w:color w:val="000000" w:themeColor="text1"/>
        </w:rPr>
        <w:t>The second approach involves regression-based and panel-data analyses. Many studies in public administration and planning apply regression or longitudinal panel models to examine how factors such as staffing levels, administrative experience, governance structure, or disaster severity influence the pace of fund implementation, recovery outcomes, and broader disaster resilience</w:t>
      </w:r>
      <w:r w:rsidR="5923CAA1" w:rsidRPr="0FA9DDF5">
        <w:rPr>
          <w:rFonts w:ascii="Aptos" w:eastAsia="Aptos" w:hAnsi="Aptos" w:cs="Aptos"/>
          <w:color w:val="000000" w:themeColor="text1"/>
        </w:rPr>
        <w:t xml:space="preserve"> (</w:t>
      </w:r>
      <w:r w:rsidR="6BFFC81C" w:rsidRPr="0FA9DDF5">
        <w:rPr>
          <w:rFonts w:ascii="Aptos" w:eastAsia="Aptos" w:hAnsi="Aptos" w:cs="Aptos"/>
          <w:color w:val="000000" w:themeColor="text1"/>
        </w:rPr>
        <w:t xml:space="preserve">Cutter et al., 2016; </w:t>
      </w:r>
      <w:r w:rsidR="54687DDA" w:rsidRPr="0FA9DDF5">
        <w:rPr>
          <w:rFonts w:ascii="Aptos" w:eastAsia="Aptos" w:hAnsi="Aptos" w:cs="Aptos"/>
          <w:color w:val="000000" w:themeColor="text1"/>
        </w:rPr>
        <w:t>Lee</w:t>
      </w:r>
      <w:r w:rsidR="5923CAA1" w:rsidRPr="0FA9DDF5">
        <w:rPr>
          <w:rFonts w:ascii="Aptos" w:eastAsia="Aptos" w:hAnsi="Aptos" w:cs="Aptos"/>
          <w:color w:val="000000" w:themeColor="text1"/>
        </w:rPr>
        <w:t>, 20</w:t>
      </w:r>
      <w:r w:rsidR="5995E8D8" w:rsidRPr="0FA9DDF5">
        <w:rPr>
          <w:rFonts w:ascii="Aptos" w:eastAsia="Aptos" w:hAnsi="Aptos" w:cs="Aptos"/>
          <w:color w:val="000000" w:themeColor="text1"/>
        </w:rPr>
        <w:t>19</w:t>
      </w:r>
      <w:r w:rsidR="5CABC284" w:rsidRPr="0FA9DDF5">
        <w:rPr>
          <w:rFonts w:ascii="Aptos" w:eastAsia="Aptos" w:hAnsi="Aptos" w:cs="Aptos"/>
          <w:color w:val="000000" w:themeColor="text1"/>
        </w:rPr>
        <w:t xml:space="preserve">; </w:t>
      </w:r>
      <w:r w:rsidR="5CABC284" w:rsidRPr="0FA9DDF5">
        <w:rPr>
          <w:rFonts w:ascii="Aptos" w:eastAsia="Aptos" w:hAnsi="Aptos" w:cs="Aptos"/>
        </w:rPr>
        <w:t>Nor, 2025</w:t>
      </w:r>
      <w:r w:rsidR="5923CAA1" w:rsidRPr="0FA9DDF5">
        <w:rPr>
          <w:rFonts w:ascii="Aptos" w:eastAsia="Aptos" w:hAnsi="Aptos" w:cs="Aptos"/>
          <w:color w:val="000000" w:themeColor="text1"/>
        </w:rPr>
        <w:t xml:space="preserve">). </w:t>
      </w:r>
      <w:r w:rsidR="26C86559" w:rsidRPr="0FA9DDF5">
        <w:rPr>
          <w:rFonts w:ascii="Aptos" w:eastAsia="Aptos" w:hAnsi="Aptos" w:cs="Aptos"/>
          <w:color w:val="000000" w:themeColor="text1"/>
        </w:rPr>
        <w:t>Although these approaches provide useful empirical insights, they typically treat financial indicators as directly observed outcome variables and do not account for the possibility that governmental capacity is a latent construct reflected through multiple interrelated indicators.</w:t>
      </w:r>
    </w:p>
    <w:p w14:paraId="5097AC98" w14:textId="63F43955" w:rsidR="0CECEE93" w:rsidRDefault="26C86559" w:rsidP="0FA9DDF5">
      <w:pPr>
        <w:rPr>
          <w:rFonts w:ascii="Aptos" w:eastAsia="Aptos" w:hAnsi="Aptos" w:cs="Aptos"/>
          <w:color w:val="000000" w:themeColor="text1"/>
        </w:rPr>
      </w:pPr>
      <w:r w:rsidRPr="0FA9DDF5">
        <w:rPr>
          <w:rFonts w:ascii="Aptos" w:eastAsia="Aptos" w:hAnsi="Aptos" w:cs="Aptos"/>
          <w:color w:val="000000" w:themeColor="text1"/>
        </w:rPr>
        <w:t>The third approach consists of case studies and qualitative evaluations. Qualitative research provides an in-depth understanding of administrative processes and identifies common implementation barriers, including complex procurement requirements, extensive environmental review procedures, and coordination challenges across agencies</w:t>
      </w:r>
      <w:r w:rsidR="5923CAA1" w:rsidRPr="0FA9DDF5">
        <w:rPr>
          <w:rFonts w:ascii="Aptos" w:eastAsia="Aptos" w:hAnsi="Aptos" w:cs="Aptos"/>
          <w:color w:val="000000" w:themeColor="text1"/>
        </w:rPr>
        <w:t xml:space="preserve"> (</w:t>
      </w:r>
      <w:r w:rsidR="0256DC2E" w:rsidRPr="0FA9DDF5">
        <w:rPr>
          <w:rFonts w:ascii="Aptos" w:eastAsia="Aptos" w:hAnsi="Aptos" w:cs="Aptos"/>
          <w:color w:val="000000" w:themeColor="text1"/>
        </w:rPr>
        <w:t xml:space="preserve">Jordan et al., 2014; </w:t>
      </w:r>
      <w:r w:rsidR="7668859E" w:rsidRPr="0FA9DDF5">
        <w:rPr>
          <w:rFonts w:ascii="Aptos" w:eastAsia="Aptos" w:hAnsi="Aptos" w:cs="Aptos"/>
        </w:rPr>
        <w:t>Ospina</w:t>
      </w:r>
      <w:r w:rsidR="7668859E" w:rsidRPr="0FA9DDF5">
        <w:rPr>
          <w:rFonts w:ascii="Aptos" w:eastAsia="Aptos" w:hAnsi="Aptos" w:cs="Aptos"/>
          <w:color w:val="000000" w:themeColor="text1"/>
        </w:rPr>
        <w:t xml:space="preserve"> et al., 2018; </w:t>
      </w:r>
      <w:r w:rsidR="282D2CC7" w:rsidRPr="0FA9DDF5">
        <w:rPr>
          <w:rFonts w:ascii="Aptos" w:eastAsia="Aptos" w:hAnsi="Aptos" w:cs="Aptos"/>
          <w:color w:val="000000" w:themeColor="text1"/>
        </w:rPr>
        <w:t>Rouhanizadeh et al., 2020</w:t>
      </w:r>
      <w:r w:rsidR="5923CAA1" w:rsidRPr="0FA9DDF5">
        <w:rPr>
          <w:rFonts w:ascii="Aptos" w:eastAsia="Aptos" w:hAnsi="Aptos" w:cs="Aptos"/>
          <w:color w:val="000000" w:themeColor="text1"/>
        </w:rPr>
        <w:t xml:space="preserve">). </w:t>
      </w:r>
      <w:r w:rsidR="13B28CC9" w:rsidRPr="0FA9DDF5">
        <w:rPr>
          <w:rFonts w:ascii="Aptos" w:eastAsia="Aptos" w:hAnsi="Aptos" w:cs="Aptos"/>
          <w:color w:val="000000" w:themeColor="text1"/>
        </w:rPr>
        <w:t>These studies offer valuable contextual insights but are generally limited in their ability to support systematic comparison across jurisdictions or disasters.</w:t>
      </w:r>
      <w:r w:rsidR="5923CAA1" w:rsidRPr="0FA9DDF5">
        <w:rPr>
          <w:rFonts w:ascii="Aptos" w:eastAsia="Aptos" w:hAnsi="Aptos" w:cs="Aptos"/>
          <w:color w:val="000000" w:themeColor="text1"/>
        </w:rPr>
        <w:t xml:space="preserve"> </w:t>
      </w:r>
      <w:r w:rsidR="1A7DAF2F" w:rsidRPr="0FA9DDF5">
        <w:rPr>
          <w:rFonts w:ascii="Aptos" w:eastAsia="Aptos" w:hAnsi="Aptos" w:cs="Aptos"/>
          <w:color w:val="000000" w:themeColor="text1"/>
        </w:rPr>
        <w:t>The fourth approach involves latent-variable methods, particularly Structural Equation Modeling (SEM). Within the broader disaster research literature, SEM has been applied to measure multidimensional constructs such as preparedness, perceived risk, institutional resilience, and adaptive capacity</w:t>
      </w:r>
      <w:r w:rsidR="5923CAA1" w:rsidRPr="0FA9DDF5">
        <w:rPr>
          <w:rFonts w:ascii="Aptos" w:eastAsia="Aptos" w:hAnsi="Aptos" w:cs="Aptos"/>
          <w:color w:val="000000" w:themeColor="text1"/>
        </w:rPr>
        <w:t xml:space="preserve"> (Geddam</w:t>
      </w:r>
      <w:r w:rsidR="2E698533" w:rsidRPr="0FA9DDF5">
        <w:rPr>
          <w:rFonts w:ascii="Aptos" w:eastAsia="Aptos" w:hAnsi="Aptos" w:cs="Aptos"/>
        </w:rPr>
        <w:t xml:space="preserve"> &amp; Kiran</w:t>
      </w:r>
      <w:r w:rsidR="5923CAA1" w:rsidRPr="0FA9DDF5">
        <w:rPr>
          <w:rFonts w:ascii="Aptos" w:eastAsia="Aptos" w:hAnsi="Aptos" w:cs="Aptos"/>
          <w:color w:val="000000" w:themeColor="text1"/>
        </w:rPr>
        <w:t xml:space="preserve">, 2024; </w:t>
      </w:r>
      <w:r w:rsidR="73B54B02" w:rsidRPr="0FA9DDF5">
        <w:rPr>
          <w:rFonts w:ascii="Aptos" w:eastAsia="Aptos" w:hAnsi="Aptos" w:cs="Aptos"/>
        </w:rPr>
        <w:t xml:space="preserve">Gendeshmin et al., 2025; </w:t>
      </w:r>
      <w:r w:rsidR="2A3314A0" w:rsidRPr="0FA9DDF5">
        <w:rPr>
          <w:rFonts w:ascii="Aptos" w:eastAsia="Aptos" w:hAnsi="Aptos" w:cs="Aptos"/>
        </w:rPr>
        <w:t>Gerona &amp; Nabe, 2026</w:t>
      </w:r>
      <w:r w:rsidR="5923CAA1" w:rsidRPr="0FA9DDF5">
        <w:rPr>
          <w:rFonts w:ascii="Aptos" w:eastAsia="Aptos" w:hAnsi="Aptos" w:cs="Aptos"/>
          <w:color w:val="000000" w:themeColor="text1"/>
        </w:rPr>
        <w:t xml:space="preserve">). </w:t>
      </w:r>
      <w:r w:rsidR="6CD0E349" w:rsidRPr="0FA9DDF5">
        <w:rPr>
          <w:rFonts w:ascii="Aptos" w:eastAsia="Aptos" w:hAnsi="Aptos" w:cs="Aptos"/>
          <w:color w:val="000000" w:themeColor="text1"/>
        </w:rPr>
        <w:t>However, applications of SEM to federal disaster recovery finance remain limited. In particular, few studies have utilized longitudinal QPR data to develop latent measures of governmental capacity in administering CDBG-DR funds. To date, no study has systematically constructed a latent representation of governmental capacity to examine its relationship with disaster recovery outcomes or to assess how contextual factors moderate the capacity-outcome relationship.</w:t>
      </w:r>
    </w:p>
    <w:p w14:paraId="464D94B6" w14:textId="3BF662AC" w:rsidR="0CECEE93" w:rsidRDefault="0CECEE93" w:rsidP="0FA9DDF5">
      <w:pPr>
        <w:rPr>
          <w:rFonts w:ascii="Aptos" w:eastAsia="Aptos" w:hAnsi="Aptos" w:cs="Aptos"/>
          <w:b/>
          <w:bCs/>
          <w:color w:val="000000" w:themeColor="text1"/>
        </w:rPr>
      </w:pPr>
      <w:r w:rsidRPr="0FA9DDF5">
        <w:rPr>
          <w:rFonts w:ascii="Aptos" w:eastAsia="Aptos" w:hAnsi="Aptos" w:cs="Aptos"/>
          <w:b/>
          <w:bCs/>
          <w:color w:val="000000" w:themeColor="text1"/>
        </w:rPr>
        <w:t>2.</w:t>
      </w:r>
      <w:r w:rsidR="4CAC5B1F" w:rsidRPr="0FA9DDF5">
        <w:rPr>
          <w:rFonts w:ascii="Aptos" w:eastAsia="Aptos" w:hAnsi="Aptos" w:cs="Aptos"/>
          <w:b/>
          <w:bCs/>
          <w:color w:val="000000" w:themeColor="text1"/>
        </w:rPr>
        <w:t>3</w:t>
      </w:r>
      <w:r w:rsidR="3F5BE076" w:rsidRPr="0FA9DDF5">
        <w:rPr>
          <w:rFonts w:ascii="Aptos" w:eastAsia="Aptos" w:hAnsi="Aptos" w:cs="Aptos"/>
          <w:b/>
          <w:bCs/>
          <w:color w:val="000000" w:themeColor="text1"/>
        </w:rPr>
        <w:t>.</w:t>
      </w:r>
      <w:r w:rsidRPr="0FA9DDF5">
        <w:rPr>
          <w:rFonts w:ascii="Aptos" w:eastAsia="Aptos" w:hAnsi="Aptos" w:cs="Aptos"/>
          <w:b/>
          <w:bCs/>
          <w:color w:val="000000" w:themeColor="text1"/>
        </w:rPr>
        <w:t xml:space="preserve"> </w:t>
      </w:r>
      <w:r w:rsidR="7ADE75AD" w:rsidRPr="0FA9DDF5">
        <w:rPr>
          <w:rFonts w:ascii="Aptos" w:eastAsia="Aptos" w:hAnsi="Aptos" w:cs="Aptos"/>
          <w:b/>
          <w:bCs/>
          <w:color w:val="000000" w:themeColor="text1"/>
        </w:rPr>
        <w:t>Administrative capacity in disaster recovery: Patterns, gaps, and research needs</w:t>
      </w:r>
    </w:p>
    <w:p w14:paraId="0BB69580" w14:textId="3607311E" w:rsidR="0CECEE93" w:rsidRDefault="7ADE75AD" w:rsidP="0FA9DDF5">
      <w:pPr>
        <w:rPr>
          <w:rFonts w:ascii="Aptos" w:eastAsia="Aptos" w:hAnsi="Aptos" w:cs="Aptos"/>
          <w:color w:val="000000" w:themeColor="text1"/>
        </w:rPr>
      </w:pPr>
      <w:r w:rsidRPr="0FA9DDF5">
        <w:rPr>
          <w:rFonts w:ascii="Aptos" w:eastAsia="Aptos" w:hAnsi="Aptos" w:cs="Aptos"/>
          <w:color w:val="000000" w:themeColor="text1"/>
        </w:rPr>
        <w:t>Building on the four approaches discussed above, two consistent patterns emerge in the study of disaster recovery administration. First, there is substantial variation across grantees in how disaster recovery funds are administered</w:t>
      </w:r>
      <w:r w:rsidR="09B8E4F3" w:rsidRPr="0FA9DDF5">
        <w:rPr>
          <w:rFonts w:ascii="Aptos" w:eastAsia="Aptos" w:hAnsi="Aptos" w:cs="Aptos"/>
          <w:color w:val="000000" w:themeColor="text1"/>
        </w:rPr>
        <w:t xml:space="preserve"> (Costa et al., 2026). </w:t>
      </w:r>
      <w:r w:rsidR="131E8F3E" w:rsidRPr="0FA9DDF5">
        <w:rPr>
          <w:rFonts w:ascii="Aptos" w:eastAsia="Aptos" w:hAnsi="Aptos" w:cs="Aptos"/>
          <w:color w:val="000000" w:themeColor="text1"/>
        </w:rPr>
        <w:t>For example, grantees differ widely in their pace of obligations, disbursements, and expenditures, as well as in the implementation and outcomes of disaster recovery programs</w:t>
      </w:r>
      <w:r w:rsidR="23091AB0" w:rsidRPr="0FA9DDF5">
        <w:rPr>
          <w:rFonts w:ascii="Aptos" w:eastAsia="Aptos" w:hAnsi="Aptos" w:cs="Aptos"/>
          <w:color w:val="000000" w:themeColor="text1"/>
        </w:rPr>
        <w:t xml:space="preserve"> (Martin, 2018)</w:t>
      </w:r>
      <w:r w:rsidR="0CECEE93" w:rsidRPr="0FA9DDF5">
        <w:rPr>
          <w:rFonts w:ascii="Aptos" w:eastAsia="Aptos" w:hAnsi="Aptos" w:cs="Aptos"/>
          <w:color w:val="000000" w:themeColor="text1"/>
        </w:rPr>
        <w:t xml:space="preserve">. </w:t>
      </w:r>
      <w:r w:rsidR="2E03BC86" w:rsidRPr="0FA9DDF5">
        <w:rPr>
          <w:rFonts w:ascii="Aptos" w:eastAsia="Aptos" w:hAnsi="Aptos" w:cs="Aptos"/>
          <w:color w:val="000000" w:themeColor="text1"/>
        </w:rPr>
        <w:t>Second,</w:t>
      </w:r>
      <w:r w:rsidR="0CECEE93" w:rsidRPr="0FA9DDF5">
        <w:rPr>
          <w:rFonts w:ascii="Aptos" w:eastAsia="Aptos" w:hAnsi="Aptos" w:cs="Aptos"/>
          <w:color w:val="000000" w:themeColor="text1"/>
        </w:rPr>
        <w:t xml:space="preserve"> </w:t>
      </w:r>
      <w:r w:rsidR="69CCE8CD" w:rsidRPr="0FA9DDF5">
        <w:rPr>
          <w:rFonts w:ascii="Aptos" w:eastAsia="Aptos" w:hAnsi="Aptos" w:cs="Aptos"/>
        </w:rPr>
        <w:t>administrative processes strongly influence recovery timelines</w:t>
      </w:r>
      <w:r w:rsidR="72088C56" w:rsidRPr="0FA9DDF5">
        <w:rPr>
          <w:rFonts w:ascii="Aptos" w:eastAsia="Aptos" w:hAnsi="Aptos" w:cs="Aptos"/>
          <w:color w:val="000000" w:themeColor="text1"/>
        </w:rPr>
        <w:t xml:space="preserve"> (Martin et al., 2019; Safapour et al., 2021)</w:t>
      </w:r>
      <w:r w:rsidR="25EF5C4E" w:rsidRPr="0FA9DDF5">
        <w:rPr>
          <w:rFonts w:ascii="Aptos" w:eastAsia="Aptos" w:hAnsi="Aptos" w:cs="Aptos"/>
          <w:color w:val="000000" w:themeColor="text1"/>
        </w:rPr>
        <w:t>.</w:t>
      </w:r>
      <w:r w:rsidR="4554CD2C" w:rsidRPr="0FA9DDF5">
        <w:rPr>
          <w:rFonts w:ascii="Aptos" w:eastAsia="Aptos" w:hAnsi="Aptos" w:cs="Aptos"/>
          <w:color w:val="000000" w:themeColor="text1"/>
        </w:rPr>
        <w:t xml:space="preserve"> </w:t>
      </w:r>
      <w:r w:rsidR="7A0A5342" w:rsidRPr="0FA9DDF5">
        <w:rPr>
          <w:rFonts w:ascii="Aptos" w:eastAsia="Aptos" w:hAnsi="Aptos" w:cs="Aptos"/>
          <w:color w:val="000000" w:themeColor="text1"/>
        </w:rPr>
        <w:t xml:space="preserve">Delays often arise from procurement rules, environmental reviews, inconsistent staffing, and challenges in inter-agency coordination. Moreover, </w:t>
      </w:r>
      <w:r w:rsidR="7A0A5342" w:rsidRPr="0FA9DDF5">
        <w:rPr>
          <w:rFonts w:ascii="Aptos" w:eastAsia="Aptos" w:hAnsi="Aptos" w:cs="Aptos"/>
          <w:color w:val="000000" w:themeColor="text1"/>
        </w:rPr>
        <w:lastRenderedPageBreak/>
        <w:t>institutional capacity and social vulnerability – not merely disaster severity – play a critical role in shaping the speed and effectiveness of recovery efforts</w:t>
      </w:r>
      <w:r w:rsidR="4270B79E" w:rsidRPr="0FA9DDF5">
        <w:rPr>
          <w:rFonts w:ascii="Aptos" w:eastAsia="Aptos" w:hAnsi="Aptos" w:cs="Aptos"/>
          <w:color w:val="000000" w:themeColor="text1"/>
        </w:rPr>
        <w:t xml:space="preserve"> (</w:t>
      </w:r>
      <w:r w:rsidR="58588127" w:rsidRPr="0FA9DDF5">
        <w:rPr>
          <w:rFonts w:ascii="Aptos" w:eastAsia="Aptos" w:hAnsi="Aptos" w:cs="Aptos"/>
          <w:color w:val="000000" w:themeColor="text1"/>
        </w:rPr>
        <w:t xml:space="preserve">Miao et al., 2025; </w:t>
      </w:r>
      <w:r w:rsidR="4270B79E" w:rsidRPr="0FA9DDF5">
        <w:rPr>
          <w:rFonts w:ascii="Aptos" w:eastAsia="Aptos" w:hAnsi="Aptos" w:cs="Aptos"/>
          <w:color w:val="000000" w:themeColor="text1"/>
        </w:rPr>
        <w:t>Peacock et al., 2014)</w:t>
      </w:r>
      <w:r w:rsidR="0CECEE93" w:rsidRPr="0FA9DDF5">
        <w:rPr>
          <w:rFonts w:ascii="Aptos" w:eastAsia="Aptos" w:hAnsi="Aptos" w:cs="Aptos"/>
          <w:color w:val="000000" w:themeColor="text1"/>
        </w:rPr>
        <w:t>.</w:t>
      </w:r>
    </w:p>
    <w:p w14:paraId="069D9395" w14:textId="687135C9" w:rsidR="0CECEE93" w:rsidRDefault="411EF73C" w:rsidP="0FA9DDF5">
      <w:pPr>
        <w:rPr>
          <w:rFonts w:ascii="Aptos" w:eastAsia="Aptos" w:hAnsi="Aptos" w:cs="Aptos"/>
          <w:color w:val="000000" w:themeColor="text1"/>
        </w:rPr>
      </w:pPr>
      <w:r w:rsidRPr="0FA9DDF5">
        <w:rPr>
          <w:rFonts w:ascii="Aptos" w:eastAsia="Aptos" w:hAnsi="Aptos" w:cs="Aptos"/>
          <w:color w:val="000000" w:themeColor="text1"/>
        </w:rPr>
        <w:t>Despite progress in understanding disaster recovery administration, several gaps remain. First, there is no latent, multidimensional measure of governmental capacity, as existing studies do not integrate multiple administrative indicators – such as staffing levels, resources, payroll, workload, recovery programs, and disaster events – into a unified construct. Second, cross-hazard and cross-jurisdiction comparisons are limited; few analyses systematically compare performance across disaster types or evaluate differences in administrative capacity between state and local governments. Third, the relationship between governmental capacity and disaster recovery outcomes, including the moderating effects of factors such as social vulnerability, remains insufficiently explored. Fourth, a weak operational linkage persists between research metrics and management tools. For instance, although QPR data are widely used, there are no validated diagnostic indicators that connect observed financial performance to underlying capacity metrics for HUD or grantees.</w:t>
      </w:r>
    </w:p>
    <w:p w14:paraId="7E621F53" w14:textId="6A5163AD" w:rsidR="0CECEE93" w:rsidRDefault="0A88A157" w:rsidP="0FA9DDF5">
      <w:pPr>
        <w:rPr>
          <w:rFonts w:ascii="Aptos" w:eastAsia="Aptos" w:hAnsi="Aptos" w:cs="Aptos"/>
          <w:color w:val="000000" w:themeColor="text1"/>
        </w:rPr>
      </w:pPr>
      <w:r w:rsidRPr="0FA9DDF5">
        <w:rPr>
          <w:rFonts w:ascii="Aptos" w:eastAsia="Aptos" w:hAnsi="Aptos" w:cs="Aptos"/>
          <w:color w:val="000000" w:themeColor="text1"/>
        </w:rPr>
        <w:t xml:space="preserve">In summary, a critical need exists to model governmental capacity and conduct comparative analyses to provide a comprehensive understanding of how state and local governments manage obligated, disbursed, and expended CDBG-DR funds, particularly regarding their impact on disaster recovery performance and timeliness across jurisdictions. This study addresses this gap by constructing a latent measure of governmental capacity using existing administrative resources and QPR data, and by applying an SEM approach to evaluate the relationship between administrative capacity and disaster recovery outcomes, as well as the influence of key moderating factors. Furthermore, this study </w:t>
      </w:r>
      <w:r w:rsidR="2278555F" w:rsidRPr="0FA9DDF5">
        <w:rPr>
          <w:rFonts w:ascii="Aptos" w:eastAsia="Aptos" w:hAnsi="Aptos" w:cs="Aptos"/>
          <w:color w:val="000000" w:themeColor="text1"/>
        </w:rPr>
        <w:t>develop</w:t>
      </w:r>
      <w:r w:rsidRPr="0FA9DDF5">
        <w:rPr>
          <w:rFonts w:ascii="Aptos" w:eastAsia="Aptos" w:hAnsi="Aptos" w:cs="Aptos"/>
          <w:color w:val="000000" w:themeColor="text1"/>
        </w:rPr>
        <w:t>s the capacity gap, implementation gap, performance gap, and governance risk index to analyze how different governments respond to disaster recovery following disaster events and to quantify capacity differences across jurisdictions. By integrating administrative resources, recovery</w:t>
      </w:r>
      <w:r w:rsidR="7135126D" w:rsidRPr="0FA9DDF5">
        <w:rPr>
          <w:rFonts w:ascii="Aptos" w:eastAsia="Aptos" w:hAnsi="Aptos" w:cs="Aptos"/>
          <w:color w:val="000000" w:themeColor="text1"/>
        </w:rPr>
        <w:t xml:space="preserve"> outcomes</w:t>
      </w:r>
      <w:r w:rsidRPr="0FA9DDF5">
        <w:rPr>
          <w:rFonts w:ascii="Aptos" w:eastAsia="Aptos" w:hAnsi="Aptos" w:cs="Aptos"/>
          <w:color w:val="000000" w:themeColor="text1"/>
        </w:rPr>
        <w:t>, and control variables (e.g., social vulnerability and jurisdiction size) into a unified analytic framework, the study establishes a rigorous, replicable, and policy-relevant method for understanding governmental capacity in the administration of CDBG-DR funds and supporting effective disaster recovery implementation.</w:t>
      </w:r>
    </w:p>
    <w:p w14:paraId="059F896A" w14:textId="3F6DA230" w:rsidR="64695413" w:rsidRDefault="03B59AAA" w:rsidP="13E108F8">
      <w:pPr>
        <w:rPr>
          <w:rFonts w:ascii="Aptos" w:eastAsia="Aptos" w:hAnsi="Aptos" w:cs="Aptos"/>
          <w:b/>
          <w:bCs/>
        </w:rPr>
      </w:pPr>
      <w:r w:rsidRPr="6CB66994">
        <w:rPr>
          <w:rFonts w:ascii="Aptos" w:eastAsia="Aptos" w:hAnsi="Aptos" w:cs="Aptos"/>
          <w:b/>
          <w:bCs/>
        </w:rPr>
        <w:t>3</w:t>
      </w:r>
      <w:r w:rsidR="64695413" w:rsidRPr="6CB66994">
        <w:rPr>
          <w:rFonts w:ascii="Aptos" w:eastAsia="Aptos" w:hAnsi="Aptos" w:cs="Aptos"/>
          <w:b/>
          <w:bCs/>
        </w:rPr>
        <w:t>. Data</w:t>
      </w:r>
    </w:p>
    <w:p w14:paraId="1516A9FE" w14:textId="562B99A4" w:rsidR="54A88059" w:rsidRDefault="54A88059" w:rsidP="15159F2C">
      <w:pPr>
        <w:rPr>
          <w:rFonts w:ascii="Aptos" w:eastAsia="Aptos" w:hAnsi="Aptos" w:cs="Aptos"/>
          <w:b/>
          <w:bCs/>
        </w:rPr>
      </w:pPr>
      <w:r w:rsidRPr="0FA9DDF5">
        <w:rPr>
          <w:rFonts w:ascii="Aptos" w:eastAsia="Aptos" w:hAnsi="Aptos" w:cs="Aptos"/>
          <w:b/>
          <w:bCs/>
        </w:rPr>
        <w:t>3.1 Data Description and Sources</w:t>
      </w:r>
    </w:p>
    <w:p w14:paraId="7BEEFFBF" w14:textId="7AC663C8" w:rsidR="1A4AEB85" w:rsidRDefault="297FF411" w:rsidP="0FA9DDF5">
      <w:pPr>
        <w:spacing w:before="240" w:after="240"/>
        <w:rPr>
          <w:rFonts w:ascii="Aptos" w:eastAsia="Aptos" w:hAnsi="Aptos" w:cs="Aptos"/>
        </w:rPr>
      </w:pPr>
      <w:r>
        <w:rPr>
          <w:rFonts w:ascii="Aptos" w:hAnsi="Aptos"/>
        </w:rPr>
        <w:t>The QPR dataset was obtained from the U.S. Department of Housing and Urban Development's DRGR reporting system and contains quarterly information on obligated, disbursed, and expended CDBG-DR funds for grants and reporting activities. In the raw archive, these records span 18 disaster contexts from 2003 through 2023 and include thousands of organization labels that appear in grantee and activity fields (U.S. Department of Housing and Urban Development, 2026). For the present manuscript, the quarterly records were first used to construct performance indicators at the jurisdiction-quarter level, including the disbursed-to-obligated ratio, the expended-to-disbursed ratio, the share of obligated funds fully expended, the proportion of programs completed, the duration of grant completion, and the average duration of program completion. In this manuscript, grant denotes the disaster-specific CDBG-DR allocation, whereas activity denotes the underlying DRGR/QPR reporting unit nested within a grantee's disaster portfolio. Those quarterly indicators were then aggregated to grantee-level profiles for the cross-sectional SEM.</w:t>
      </w:r>
    </w:p>
    <w:p w14:paraId="733B4680" w14:textId="608F10A6" w:rsidR="1A4AEB85" w:rsidRDefault="297FF411" w:rsidP="0FA9DDF5">
      <w:pPr>
        <w:spacing w:before="240" w:after="240"/>
      </w:pPr>
      <w:r>
        <w:rPr>
          <w:rFonts w:ascii="Aptos" w:hAnsi="Aptos"/>
        </w:rPr>
        <w:t>Administrative resource data were drawn from the U.S. Bureau of Labor Statistics Quarterly Census of Employment and Wages (QCEW). The later SEM workflow represented in the imported external export bundle uses employment and payroll measures tied to NAICS 925110 (Administration of Housing Programs) as indirect proxies for disaster-recovery administrative resources (U.S. Bureau of Labor Statistics, 2026). These measures are useful because they provide a standardized national frame, but they should not be interpreted as direct counts of staff assigned specifically to CDBG-DR. Disaster recovery administration may be distributed across agencies, temporary teams, contract support, and cross-departmental arrangements that are only partially captured by this industry code. Accordingly, employment and payroll are used here as coarse administrative-resource indicators rather than exact staffing measures.</w:t>
      </w:r>
    </w:p>
    <w:p w14:paraId="70F52DD0" w14:textId="15D2D628" w:rsidR="1A4AEB85" w:rsidRDefault="297FF411" w:rsidP="0FA9DDF5">
      <w:pPr>
        <w:spacing w:before="240" w:after="240"/>
      </w:pPr>
      <w:r>
        <w:rPr>
          <w:rFonts w:ascii="Aptos" w:hAnsi="Aptos"/>
        </w:rPr>
        <w:t>Finally, contextual measures of social vulnerability were derived from the CDC/ATSDR Social Vulnerability Index (SVI) at the state and county levels. The analysis uses the four standard SVI themes - socioeconomic status, household composition and disability, minority status and language, and housing type and transportation - as broad contextual covariates rather than as precise longitudinal trend measures (CDC/ATSDR, 2026). Because CDC warns against literal cross-vintage comparison of SVI percentiles without careful harmonization, the revised manuscript interprets these variables as standardized contextual descriptors in the final SEM-ready dataset, not as year-by-year measures of change.</w:t>
      </w:r>
    </w:p>
    <w:p w14:paraId="597018B2" w14:textId="2D325884" w:rsidR="3C6BB8CC" w:rsidRDefault="3C6BB8CC" w:rsidP="6128DC3F">
      <w:pPr>
        <w:rPr>
          <w:rFonts w:ascii="Aptos" w:eastAsia="Aptos" w:hAnsi="Aptos" w:cs="Aptos"/>
        </w:rPr>
      </w:pPr>
      <w:r w:rsidRPr="0FA9DDF5">
        <w:rPr>
          <w:rFonts w:ascii="Aptos" w:eastAsia="Aptos" w:hAnsi="Aptos" w:cs="Aptos"/>
          <w:b/>
          <w:bCs/>
        </w:rPr>
        <w:t>3.2. Data Cleaning and Preprocessing</w:t>
      </w:r>
    </w:p>
    <w:p w14:paraId="4D5E829A" w14:textId="69AB10B7" w:rsidR="3C6BB8CC" w:rsidRDefault="1B440CE3" w:rsidP="0FA9DDF5">
      <w:pPr>
        <w:rPr>
          <w:rFonts w:ascii="Aptos" w:eastAsia="Aptos" w:hAnsi="Aptos" w:cs="Aptos"/>
        </w:rPr>
      </w:pPr>
      <w:r w:rsidRPr="0FA9DDF5">
        <w:rPr>
          <w:rFonts w:ascii="Aptos" w:eastAsia="Aptos" w:hAnsi="Aptos" w:cs="Aptos"/>
        </w:rPr>
        <w:t>To prepare the QPR dataset for subsequent modeling analysis, a series of systematic data cleaning procedures were implemented to standardize key geographic and organizational variables and enhance data reliability.</w:t>
      </w:r>
      <w:r w:rsidR="3C6BB8CC" w:rsidRPr="0FA9DDF5">
        <w:rPr>
          <w:rFonts w:ascii="Aptos" w:eastAsia="Aptos" w:hAnsi="Aptos" w:cs="Aptos"/>
        </w:rPr>
        <w:t xml:space="preserve"> </w:t>
      </w:r>
      <w:r w:rsidR="730F1CBC" w:rsidRPr="0FA9DDF5">
        <w:rPr>
          <w:rFonts w:ascii="Aptos" w:eastAsia="Aptos" w:hAnsi="Aptos" w:cs="Aptos"/>
        </w:rPr>
        <w:t>First, the “</w:t>
      </w:r>
      <w:r w:rsidR="730F1CBC" w:rsidRPr="0FA9DDF5">
        <w:rPr>
          <w:rFonts w:ascii="Aptos" w:eastAsia="Aptos" w:hAnsi="Aptos" w:cs="Aptos"/>
          <w:i/>
          <w:iCs/>
        </w:rPr>
        <w:t>Grantee State</w:t>
      </w:r>
      <w:r w:rsidR="730F1CBC" w:rsidRPr="0FA9DDF5">
        <w:rPr>
          <w:rFonts w:ascii="Aptos" w:eastAsia="Aptos" w:hAnsi="Aptos" w:cs="Aptos"/>
        </w:rPr>
        <w:t>” variable was standardized to ensure consistent formatting across observations. State names were cleaned by removing extra whitespace and correcting inconsistent capitalization. A formatted state identifier was then generated by appending the suffix “state” (e.g., Texas state) to improve clarity and consistency in later processing steps. Second, the “</w:t>
      </w:r>
      <w:r w:rsidR="730F1CBC" w:rsidRPr="0FA9DDF5">
        <w:rPr>
          <w:rFonts w:ascii="Aptos" w:eastAsia="Aptos" w:hAnsi="Aptos" w:cs="Aptos"/>
          <w:i/>
          <w:iCs/>
        </w:rPr>
        <w:t>Activity Responsible Org</w:t>
      </w:r>
      <w:r w:rsidR="730F1CBC" w:rsidRPr="0FA9DDF5">
        <w:rPr>
          <w:rFonts w:ascii="Aptos" w:eastAsia="Aptos" w:hAnsi="Aptos" w:cs="Aptos"/>
        </w:rPr>
        <w:t xml:space="preserve">” field was normalized to reduce inconsistencies in organization names. This process included trimming leading and trailing whitespace, removing punctuation and special characters, and standardizing common abbreviations (e.g., Co. to County, Dept. to </w:t>
      </w:r>
      <w:r w:rsidR="730F1CBC" w:rsidRPr="0FA9DDF5">
        <w:rPr>
          <w:rFonts w:ascii="Aptos" w:eastAsia="Aptos" w:hAnsi="Aptos" w:cs="Aptos"/>
        </w:rPr>
        <w:lastRenderedPageBreak/>
        <w:t>Department, Auth. to Authority). These procedures improved naming consistency and reduced potential matching errors in subsequent geographic identification.</w:t>
      </w:r>
    </w:p>
    <w:p w14:paraId="18803F90" w14:textId="0FE22BDD" w:rsidR="3C6BB8CC" w:rsidRDefault="0AB6DC9D" w:rsidP="0FA9DDF5">
      <w:pPr>
        <w:rPr>
          <w:rFonts w:ascii="Aptos" w:eastAsia="Aptos" w:hAnsi="Aptos" w:cs="Aptos"/>
        </w:rPr>
      </w:pPr>
      <w:r>
        <w:rPr>
          <w:rFonts w:ascii="Aptos" w:hAnsi="Aptos"/>
        </w:rPr>
        <w:t>Third, a new geographic identifier was constructed to determine the county and state associated with each Activity Responsible Org. The matching workflow followed a hierarchical approach: explicit county or parish names embedded in organization titles were matched first, and remaining records were linked through city-to-county lookup tables and manual review of unresolved cases. City-level entities were then aggregated to counties, while statewide departments, agencies, authorities, and similar organizations were aggregated to state-agency profiles. This procedure provided a workable geography layer for descriptive mapping, but it should not be treated as a fully audited Census relationship-file reconstruction. Geography-dependent findings are therefore interpreted as informative spatial summaries rather than as exact administrative-boundary measures.</w:t>
      </w:r>
    </w:p>
    <w:p w14:paraId="53F760E3" w14:textId="551B92C7" w:rsidR="3C6BB8CC" w:rsidRDefault="2DA3A633" w:rsidP="0FA9DDF5">
      <w:pPr>
        <w:rPr>
          <w:rFonts w:ascii="Aptos" w:eastAsia="Aptos" w:hAnsi="Aptos" w:cs="Aptos"/>
        </w:rPr>
      </w:pPr>
      <w:r>
        <w:rPr>
          <w:rFonts w:ascii="Aptos" w:hAnsi="Aptos"/>
        </w:rPr>
        <w:t>Finally, a quality-control framework was implemented to evaluate the reliability of the inferred geographic information. Each record was categorized by match type (for example, explicit county match, city-to-county match, or unresolved) and flagged for manual review when automated inference was uncertain. Records with fewer than four quarterly observations were excluded from the cross-sectional SEM input because such short reporting histories do not provide enough information to summarize recovery performance or timeliness reliably. After filtering, the cleaned quarterly input contained 130,490 valid jurisdiction-quarter records. These records were subsequently aggregated to 573 grantee-level profiles - 30 state agencies and 543 local governments - which form the analytical sample used in the revised SEM reported below.</w:t>
      </w:r>
    </w:p>
    <w:p w14:paraId="12E2E119" w14:textId="20D60226" w:rsidR="64695413" w:rsidRDefault="6A3D90FA" w:rsidP="15159F2C">
      <w:pPr>
        <w:rPr>
          <w:rFonts w:ascii="Aptos" w:eastAsia="Aptos" w:hAnsi="Aptos" w:cs="Aptos"/>
          <w:b/>
          <w:bCs/>
        </w:rPr>
      </w:pPr>
      <w:r w:rsidRPr="0FA9DDF5">
        <w:rPr>
          <w:rFonts w:ascii="Aptos" w:eastAsia="Aptos" w:hAnsi="Aptos" w:cs="Aptos"/>
          <w:b/>
          <w:bCs/>
        </w:rPr>
        <w:t>4</w:t>
      </w:r>
      <w:r w:rsidR="79845318" w:rsidRPr="0FA9DDF5">
        <w:rPr>
          <w:rFonts w:ascii="Aptos" w:eastAsia="Aptos" w:hAnsi="Aptos" w:cs="Aptos"/>
          <w:b/>
          <w:bCs/>
        </w:rPr>
        <w:t>.</w:t>
      </w:r>
      <w:r w:rsidR="64695413" w:rsidRPr="0FA9DDF5">
        <w:rPr>
          <w:rFonts w:ascii="Aptos" w:eastAsia="Aptos" w:hAnsi="Aptos" w:cs="Aptos"/>
          <w:b/>
          <w:bCs/>
        </w:rPr>
        <w:t xml:space="preserve"> Methods</w:t>
      </w:r>
      <w:r w:rsidR="23C9307B" w:rsidRPr="0FA9DDF5">
        <w:rPr>
          <w:rFonts w:ascii="Aptos" w:eastAsia="Aptos" w:hAnsi="Aptos" w:cs="Aptos"/>
          <w:b/>
          <w:bCs/>
        </w:rPr>
        <w:t>: Structural Equation Modeling (SEM)</w:t>
      </w:r>
    </w:p>
    <w:p w14:paraId="283921DB" w14:textId="442E0176" w:rsidR="235092B6" w:rsidRDefault="235092B6" w:rsidP="0FA9DDF5">
      <w:pPr>
        <w:spacing w:before="240" w:after="240"/>
        <w:rPr>
          <w:rFonts w:ascii="Aptos" w:eastAsia="Aptos" w:hAnsi="Aptos" w:cs="Aptos"/>
          <w:b/>
          <w:bCs/>
        </w:rPr>
      </w:pPr>
      <w:r w:rsidRPr="0FA9DDF5">
        <w:rPr>
          <w:rFonts w:ascii="Aptos" w:eastAsia="Aptos" w:hAnsi="Aptos" w:cs="Aptos"/>
          <w:b/>
          <w:bCs/>
        </w:rPr>
        <w:t>4.1. Model selection and unit of analysis</w:t>
      </w:r>
    </w:p>
    <w:p w14:paraId="523A4876" w14:textId="74FE4FF8" w:rsidR="2464D659" w:rsidRDefault="3A803394" w:rsidP="0FA9DDF5">
      <w:pPr>
        <w:spacing w:before="240" w:after="240"/>
        <w:rPr>
          <w:rFonts w:ascii="Aptos" w:eastAsia="Aptos" w:hAnsi="Aptos" w:cs="Aptos"/>
        </w:rPr>
      </w:pPr>
      <w:r>
        <w:rPr>
          <w:rFonts w:ascii="Aptos" w:hAnsi="Aptos"/>
        </w:rPr>
        <w:t>This study employs structural equation modeling (SEM) to develop latent constructs representing governmental capacity and disaster recovery outcomes and to evaluate the cross-sectional associations among them. The revised design does not estimate moderation effects. Instead, the state-versus-local indicator, jurisdiction size, and social vulnerability measures enter the SEM as observed covariates, and any state/local contrasts discussed later in the paper are treated as descriptive subset comparisons rather than as formal interaction tests. SEM remains useful in this setting because both governmental capacity and recovery outcomes are not directly observable and must be inferred from multiple indicators measured on different scales.</w:t>
      </w:r>
    </w:p>
    <w:p w14:paraId="1BDEA3AC" w14:textId="35BA2CCE" w:rsidR="2464D659" w:rsidRDefault="45660053" w:rsidP="0FA9DDF5">
      <w:pPr>
        <w:spacing w:before="240" w:after="240"/>
        <w:rPr>
          <w:rFonts w:ascii="Aptos" w:eastAsia="Aptos" w:hAnsi="Aptos" w:cs="Aptos"/>
        </w:rPr>
      </w:pPr>
      <w:r w:rsidRPr="0FA9DDF5">
        <w:rPr>
          <w:rFonts w:ascii="Aptos" w:eastAsia="Aptos" w:hAnsi="Aptos" w:cs="Aptos"/>
        </w:rPr>
        <w:t>This approach is especially valuable because governmental capacity is not directly observable and must instead be inferred from measurable proxies, such as administrative resources and workload characteristics</w:t>
      </w:r>
      <w:r w:rsidR="756A76A9" w:rsidRPr="0FA9DDF5">
        <w:rPr>
          <w:rFonts w:ascii="Aptos" w:eastAsia="Aptos" w:hAnsi="Aptos" w:cs="Aptos"/>
        </w:rPr>
        <w:t xml:space="preserve"> (El-Taliawi &amp; Van Der Wal, 2019)</w:t>
      </w:r>
      <w:r w:rsidR="7E762389" w:rsidRPr="0FA9DDF5">
        <w:rPr>
          <w:rFonts w:ascii="Aptos" w:eastAsia="Aptos" w:hAnsi="Aptos" w:cs="Aptos"/>
        </w:rPr>
        <w:t>.</w:t>
      </w:r>
      <w:r w:rsidR="1E0706A8" w:rsidRPr="0FA9DDF5">
        <w:rPr>
          <w:rFonts w:ascii="Aptos" w:eastAsia="Aptos" w:hAnsi="Aptos" w:cs="Aptos"/>
        </w:rPr>
        <w:t xml:space="preserve"> By integrating measurement and structural components into a single analytical framework, SEM provides a rigorous method for evaluating both the validity of latent constructs and the strength of their relationships with disaster recovery performance outcomes</w:t>
      </w:r>
      <w:r w:rsidR="7E762389" w:rsidRPr="0FA9DDF5">
        <w:rPr>
          <w:rFonts w:ascii="Aptos" w:eastAsia="Aptos" w:hAnsi="Aptos" w:cs="Aptos"/>
        </w:rPr>
        <w:t>.</w:t>
      </w:r>
    </w:p>
    <w:p w14:paraId="35FF5347" w14:textId="165CB0B6" w:rsidR="7F55F639" w:rsidRDefault="7F55F639" w:rsidP="0FA9DDF5">
      <w:pPr>
        <w:spacing w:before="240" w:after="240"/>
        <w:rPr>
          <w:rFonts w:ascii="Aptos" w:eastAsia="Aptos" w:hAnsi="Aptos" w:cs="Aptos"/>
        </w:rPr>
      </w:pPr>
      <w:r>
        <w:rPr>
          <w:rFonts w:ascii="Aptos" w:hAnsi="Aptos"/>
        </w:rPr>
        <w:t>Building on that framework, the revised analysis uses a cross-sectional dataset of 573 grantee profiles, including 30 state agencies and 543 local governments. Each observation summarizes a grantee's administrative-resource and recovery-outcome profile across the study window rather than representing a single quarter or a single disaster episode. This aggregation permits a national SEM, but it is also a strong modeling assumption: it treats a jurisdiction's recovery administration as sufficiently stable to be summarized as one profile despite variation across disaster cohorts, federal policy periods, staffing arrangements, and portfolio complexity. The revised manuscript therefore interprets the SEM as a cross-sectional synthesis of grantee tendencies, not as a longitudinal model of within-jurisdiction change.</w:t>
      </w:r>
    </w:p>
    <w:p w14:paraId="004044DF" w14:textId="3DF7793A" w:rsidR="2464D659" w:rsidRDefault="7E762389" w:rsidP="6CB66994">
      <w:pPr>
        <w:spacing w:before="240" w:after="240"/>
        <w:rPr>
          <w:rFonts w:ascii="Aptos" w:eastAsia="Aptos" w:hAnsi="Aptos" w:cs="Aptos"/>
        </w:rPr>
      </w:pPr>
      <w:r w:rsidRPr="6CB66994">
        <w:rPr>
          <w:rFonts w:ascii="Aptos" w:eastAsia="Aptos" w:hAnsi="Aptos" w:cs="Aptos"/>
          <w:b/>
          <w:bCs/>
        </w:rPr>
        <w:t>4.2. Conceptualization of governmental capacity</w:t>
      </w:r>
    </w:p>
    <w:p w14:paraId="162645B8" w14:textId="55EE6FBF" w:rsidR="2464D659" w:rsidRDefault="2344D8F9" w:rsidP="0FA9DDF5">
      <w:pPr>
        <w:spacing w:before="240" w:after="240"/>
        <w:rPr>
          <w:rFonts w:ascii="Aptos" w:eastAsia="Aptos" w:hAnsi="Aptos" w:cs="Aptos"/>
        </w:rPr>
      </w:pPr>
      <w:r>
        <w:rPr>
          <w:rFonts w:ascii="Aptos" w:hAnsi="Aptos"/>
        </w:rPr>
        <w:t>In this study, governmental capacity is conceptualized as the institutional ability of public agencies to administer CDBG-DR funds under differing levels of workload and contextual constraint. The revised two-factor specification decomposes that capacity into Administrative Resources and Administrative Burden Capacity. Administrative Resources are represented by staffing and payroll intensity proxies derived from QCEW-based employment and payroll measures, while Administrative Burden Capacity is represented by workload ratios that scale the number of disaster programs and disaster events by available staffing. This two-part conceptualization makes the measurement logic more transparent than a one-factor specification because it separates resource levels from workload pressure.</w:t>
      </w:r>
    </w:p>
    <w:p w14:paraId="2412C78B" w14:textId="17E76798" w:rsidR="2464D659" w:rsidRDefault="19F76D75" w:rsidP="0FA9DDF5">
      <w:pPr>
        <w:spacing w:before="240" w:after="240"/>
        <w:rPr>
          <w:rFonts w:ascii="Aptos" w:eastAsia="Aptos" w:hAnsi="Aptos" w:cs="Aptos"/>
        </w:rPr>
      </w:pPr>
      <w:r>
        <w:rPr>
          <w:rFonts w:ascii="Aptos" w:hAnsi="Aptos"/>
        </w:rPr>
        <w:t>Two additional indicators reflect administrative workload intensity relative to staffing levels: the number of disaster recovery programs per staff (programs_per_staff) and the number of disaster events per staff (disasters_per_staff). Higher workload per staff implies greater administrative strain, not greater capacity. To keep coefficient signs interpretable, both workload measures are reverse-coded so that higher values on the SEM input correspond to lower relative burden and, therefore, more favorable workload conditions.</w:t>
      </w:r>
    </w:p>
    <w:p w14:paraId="44F54F2F" w14:textId="4B438257" w:rsidR="58F536AA" w:rsidRDefault="58F536AA" w:rsidP="0FA9DDF5">
      <w:pPr>
        <w:pStyle w:val="ListParagraph"/>
        <w:numPr>
          <w:ilvl w:val="0"/>
          <w:numId w:val="13"/>
        </w:numPr>
        <w:spacing w:before="240" w:after="240"/>
        <w:rPr>
          <w:rFonts w:ascii="Consolas" w:eastAsia="Consolas" w:hAnsi="Consolas" w:cs="Consolas"/>
        </w:rPr>
      </w:pPr>
      <w:r w:rsidRPr="0FA9DDF5">
        <w:rPr>
          <w:rFonts w:ascii="Consolas" w:eastAsia="Consolas" w:hAnsi="Consolas" w:cs="Consolas"/>
        </w:rPr>
        <w:t xml:space="preserve">avg_employment = </w:t>
      </w:r>
      <w:r w:rsidR="232FE773" w:rsidRPr="0FA9DDF5">
        <w:rPr>
          <w:rFonts w:ascii="Consolas" w:eastAsia="Consolas" w:hAnsi="Consolas" w:cs="Consolas"/>
        </w:rPr>
        <w:t>total_</w:t>
      </w:r>
      <w:r w:rsidRPr="0FA9DDF5">
        <w:rPr>
          <w:rFonts w:ascii="Consolas" w:eastAsia="Consolas" w:hAnsi="Consolas" w:cs="Consolas"/>
        </w:rPr>
        <w:t>employments / total_population</w:t>
      </w:r>
    </w:p>
    <w:p w14:paraId="513E49E0" w14:textId="01DB4FE6" w:rsidR="0BF3BE5F" w:rsidRDefault="0BF3BE5F" w:rsidP="0FA9DDF5">
      <w:pPr>
        <w:pStyle w:val="ListParagraph"/>
        <w:numPr>
          <w:ilvl w:val="0"/>
          <w:numId w:val="13"/>
        </w:numPr>
        <w:spacing w:before="240" w:after="240"/>
        <w:rPr>
          <w:rFonts w:ascii="Consolas" w:eastAsia="Consolas" w:hAnsi="Consolas" w:cs="Consolas"/>
        </w:rPr>
      </w:pPr>
      <w:r w:rsidRPr="0FA9DDF5">
        <w:rPr>
          <w:rFonts w:ascii="Consolas" w:eastAsia="Consolas" w:hAnsi="Consolas" w:cs="Consolas"/>
        </w:rPr>
        <w:t>a</w:t>
      </w:r>
      <w:r w:rsidR="4CC3E886" w:rsidRPr="0FA9DDF5">
        <w:rPr>
          <w:rFonts w:ascii="Consolas" w:eastAsia="Consolas" w:hAnsi="Consolas" w:cs="Consolas"/>
        </w:rPr>
        <w:t>vg_payroll = quarter</w:t>
      </w:r>
      <w:r w:rsidR="491ABD66" w:rsidRPr="0FA9DDF5">
        <w:rPr>
          <w:rFonts w:ascii="Consolas" w:eastAsia="Consolas" w:hAnsi="Consolas" w:cs="Consolas"/>
        </w:rPr>
        <w:t>_</w:t>
      </w:r>
      <w:r w:rsidR="4CC3E886" w:rsidRPr="0FA9DDF5">
        <w:rPr>
          <w:rFonts w:ascii="Consolas" w:eastAsia="Consolas" w:hAnsi="Consolas" w:cs="Consolas"/>
        </w:rPr>
        <w:t>total</w:t>
      </w:r>
      <w:r w:rsidR="36792B8E" w:rsidRPr="0FA9DDF5">
        <w:rPr>
          <w:rFonts w:ascii="Consolas" w:eastAsia="Consolas" w:hAnsi="Consolas" w:cs="Consolas"/>
        </w:rPr>
        <w:t>_</w:t>
      </w:r>
      <w:r w:rsidR="4CC3E886" w:rsidRPr="0FA9DDF5">
        <w:rPr>
          <w:rFonts w:ascii="Consolas" w:eastAsia="Consolas" w:hAnsi="Consolas" w:cs="Consolas"/>
        </w:rPr>
        <w:t>payroll</w:t>
      </w:r>
      <w:r w:rsidR="5CACCA94" w:rsidRPr="0FA9DDF5">
        <w:rPr>
          <w:rFonts w:ascii="Consolas" w:eastAsia="Consolas" w:hAnsi="Consolas" w:cs="Consolas"/>
        </w:rPr>
        <w:t xml:space="preserve"> / total_population</w:t>
      </w:r>
    </w:p>
    <w:p w14:paraId="45EBC3E5" w14:textId="5FFC3862" w:rsidR="2464D659" w:rsidRDefault="7E762389" w:rsidP="6CB66994">
      <w:pPr>
        <w:pStyle w:val="ListParagraph"/>
        <w:numPr>
          <w:ilvl w:val="0"/>
          <w:numId w:val="13"/>
        </w:numPr>
        <w:spacing w:before="240" w:after="240"/>
        <w:rPr>
          <w:rFonts w:ascii="Consolas" w:eastAsia="Consolas" w:hAnsi="Consolas" w:cs="Consolas"/>
        </w:rPr>
      </w:pPr>
      <w:r w:rsidRPr="0FA9DDF5">
        <w:rPr>
          <w:rFonts w:ascii="Consolas" w:eastAsia="Consolas" w:hAnsi="Consolas" w:cs="Consolas"/>
        </w:rPr>
        <w:t xml:space="preserve">programs_per_staff = Num_Program / </w:t>
      </w:r>
      <w:r w:rsidR="4E584A9B" w:rsidRPr="0FA9DDF5">
        <w:rPr>
          <w:rFonts w:ascii="Consolas" w:eastAsia="Consolas" w:hAnsi="Consolas" w:cs="Consolas"/>
        </w:rPr>
        <w:t>total_</w:t>
      </w:r>
      <w:r w:rsidRPr="0FA9DDF5">
        <w:rPr>
          <w:rFonts w:ascii="Consolas" w:eastAsia="Consolas" w:hAnsi="Consolas" w:cs="Consolas"/>
        </w:rPr>
        <w:t>employment</w:t>
      </w:r>
      <w:r w:rsidR="2F9BE6E0" w:rsidRPr="0FA9DDF5">
        <w:rPr>
          <w:rFonts w:ascii="Consolas" w:eastAsia="Consolas" w:hAnsi="Consolas" w:cs="Consolas"/>
        </w:rPr>
        <w:t>s</w:t>
      </w:r>
    </w:p>
    <w:p w14:paraId="67D4F488" w14:textId="68A10689" w:rsidR="2464D659" w:rsidRDefault="7E762389" w:rsidP="6CB66994">
      <w:pPr>
        <w:pStyle w:val="ListParagraph"/>
        <w:numPr>
          <w:ilvl w:val="0"/>
          <w:numId w:val="13"/>
        </w:numPr>
        <w:spacing w:before="240" w:after="240"/>
        <w:rPr>
          <w:rFonts w:ascii="Consolas" w:eastAsia="Consolas" w:hAnsi="Consolas" w:cs="Consolas"/>
        </w:rPr>
      </w:pPr>
      <w:r w:rsidRPr="0FA9DDF5">
        <w:rPr>
          <w:rFonts w:ascii="Consolas" w:eastAsia="Consolas" w:hAnsi="Consolas" w:cs="Consolas"/>
        </w:rPr>
        <w:t xml:space="preserve">disasters_per_staff = Num_Disaster / </w:t>
      </w:r>
      <w:r w:rsidR="52261B6F" w:rsidRPr="0FA9DDF5">
        <w:rPr>
          <w:rFonts w:ascii="Consolas" w:eastAsia="Consolas" w:hAnsi="Consolas" w:cs="Consolas"/>
        </w:rPr>
        <w:t>total</w:t>
      </w:r>
      <w:r w:rsidRPr="0FA9DDF5">
        <w:rPr>
          <w:rFonts w:ascii="Consolas" w:eastAsia="Consolas" w:hAnsi="Consolas" w:cs="Consolas"/>
        </w:rPr>
        <w:t>_employment</w:t>
      </w:r>
      <w:r w:rsidR="1ABEF71E" w:rsidRPr="0FA9DDF5">
        <w:rPr>
          <w:rFonts w:ascii="Consolas" w:eastAsia="Consolas" w:hAnsi="Consolas" w:cs="Consolas"/>
        </w:rPr>
        <w:t>s</w:t>
      </w:r>
    </w:p>
    <w:p w14:paraId="1A101ADC" w14:textId="66C4CF25" w:rsidR="2464D659" w:rsidRDefault="7E762389" w:rsidP="6CB66994">
      <w:pPr>
        <w:pStyle w:val="ListParagraph"/>
        <w:numPr>
          <w:ilvl w:val="0"/>
          <w:numId w:val="13"/>
        </w:numPr>
        <w:spacing w:before="240" w:after="240"/>
        <w:rPr>
          <w:rFonts w:ascii="Consolas" w:eastAsia="Consolas" w:hAnsi="Consolas" w:cs="Consolas"/>
        </w:rPr>
      </w:pPr>
      <w:r w:rsidRPr="6CB66994">
        <w:rPr>
          <w:rFonts w:ascii="Consolas" w:eastAsia="Consolas" w:hAnsi="Consolas" w:cs="Consolas"/>
        </w:rPr>
        <w:t>rev_programs_per_staff = - programs_per_staff</w:t>
      </w:r>
    </w:p>
    <w:p w14:paraId="1DD542AA" w14:textId="56AD46B6" w:rsidR="2464D659" w:rsidRDefault="7E762389" w:rsidP="0FA9DDF5">
      <w:pPr>
        <w:pStyle w:val="ListParagraph"/>
        <w:numPr>
          <w:ilvl w:val="0"/>
          <w:numId w:val="13"/>
        </w:numPr>
        <w:spacing w:before="240" w:after="240"/>
        <w:rPr>
          <w:rFonts w:ascii="Consolas" w:eastAsia="Consolas" w:hAnsi="Consolas" w:cs="Consolas"/>
        </w:rPr>
      </w:pPr>
      <w:r w:rsidRPr="0FA9DDF5">
        <w:rPr>
          <w:rFonts w:ascii="Consolas" w:eastAsia="Consolas" w:hAnsi="Consolas" w:cs="Consolas"/>
        </w:rPr>
        <w:t>rev_disasters_per_staff = - disasters_per_staff</w:t>
      </w:r>
    </w:p>
    <w:p w14:paraId="3B1EFE1F" w14:textId="05771746" w:rsidR="2464D659" w:rsidRDefault="52A355AD" w:rsidP="6CB66994">
      <w:pPr>
        <w:spacing w:before="240" w:after="240"/>
        <w:rPr>
          <w:rFonts w:eastAsiaTheme="minorEastAsia"/>
          <w:b/>
          <w:bCs/>
        </w:rPr>
      </w:pPr>
      <w:r w:rsidRPr="6CB66994">
        <w:rPr>
          <w:rFonts w:eastAsiaTheme="minorEastAsia"/>
          <w:b/>
          <w:bCs/>
        </w:rPr>
        <w:t>4.3. Conceptualization of disaster recovery outcomes</w:t>
      </w:r>
    </w:p>
    <w:p w14:paraId="7A66D2BA" w14:textId="3F2DE645" w:rsidR="2464D659" w:rsidRDefault="3097E396" w:rsidP="0FA9DDF5">
      <w:pPr>
        <w:spacing w:before="240" w:after="240"/>
        <w:rPr>
          <w:rFonts w:ascii="Aptos" w:eastAsia="Aptos" w:hAnsi="Aptos" w:cs="Aptos"/>
        </w:rPr>
      </w:pPr>
      <w:r>
        <w:rPr>
          <w:rFonts w:ascii="Aptos" w:hAnsi="Aptos"/>
        </w:rPr>
        <w:t>Disaster recovery outcomes are modeled as two latent constructs: Recovery Performance and Recovery Timeliness. Recovery Performance captures the effectiveness of financial management and program implementation and is measured using four indicators: the disbursed-to-obligated ratio, the expended-to-disbursed ratio, the share of obligated funds fully expended, and the proportion of programs completed. Together, these measures summarize how effectively jurisdictions move funds through the recovery pipeline and convert those funds into completed programs.</w:t>
      </w:r>
    </w:p>
    <w:p w14:paraId="2C628ED9" w14:textId="147C39AA" w:rsidR="2464D659" w:rsidRDefault="2BAA8A76" w:rsidP="0FA9DDF5">
      <w:pPr>
        <w:spacing w:before="240" w:after="240"/>
        <w:rPr>
          <w:rFonts w:ascii="Aptos" w:eastAsia="Aptos" w:hAnsi="Aptos" w:cs="Aptos"/>
          <w:color w:val="000000" w:themeColor="text1"/>
        </w:rPr>
      </w:pPr>
      <w:r>
        <w:rPr>
          <w:rFonts w:ascii="Aptos" w:hAnsi="Aptos"/>
        </w:rPr>
        <w:t>Recovery Timeliness represents the speed and consistency of program and grant implementation. It is measured using the duration of grant completion and the average duration of program completion, both reverse-coded so that higher values indicate faster implementation. These are useful summary indicators, but they are also sensitive to maturity and right-censoring. Newer grants and ongoing portfolios have had less time to close out, so the revised manuscript treats timeliness as a cross-sectional summary of observed completion pace, not as a fully uncensored event-history outcome.</w:t>
      </w:r>
    </w:p>
    <w:p w14:paraId="1706080D" w14:textId="7734DE65" w:rsidR="241F553F" w:rsidRDefault="241F553F" w:rsidP="0FA9DDF5">
      <w:pPr>
        <w:spacing w:before="240" w:after="240"/>
      </w:pPr>
      <w:r w:rsidRPr="3C60AEA8">
        <w:rPr>
          <w:rFonts w:ascii="Aptos" w:eastAsia="Aptos" w:hAnsi="Aptos" w:cs="Aptos"/>
        </w:rPr>
        <w:lastRenderedPageBreak/>
        <w:t>Because longer completion durations indicate slower implementation and therefore weaker performance, both duration variables are reverse-coded prior to model estimation. After reverse coding, higher values for all Recovery Timeliness indicators consistently represent faster and more efficient disaster recovery implementation.</w:t>
      </w:r>
    </w:p>
    <w:p w14:paraId="32A14509" w14:textId="0EDF5684" w:rsidR="2464D659" w:rsidRDefault="7E762389" w:rsidP="6CB66994">
      <w:pPr>
        <w:pStyle w:val="ListParagraph"/>
        <w:numPr>
          <w:ilvl w:val="0"/>
          <w:numId w:val="9"/>
        </w:numPr>
        <w:spacing w:before="240" w:after="240"/>
        <w:rPr>
          <w:rFonts w:ascii="Consolas" w:eastAsia="Consolas" w:hAnsi="Consolas" w:cs="Consolas"/>
        </w:rPr>
      </w:pPr>
      <w:r w:rsidRPr="0FA9DDF5">
        <w:rPr>
          <w:rFonts w:ascii="Consolas" w:eastAsia="Consolas" w:hAnsi="Consolas" w:cs="Consolas"/>
        </w:rPr>
        <w:t>rev_</w:t>
      </w:r>
      <w:r w:rsidR="233015C9" w:rsidRPr="0FA9DDF5">
        <w:rPr>
          <w:rFonts w:ascii="Consolas" w:eastAsia="Consolas" w:hAnsi="Consolas" w:cs="Consolas"/>
        </w:rPr>
        <w:t>d</w:t>
      </w:r>
      <w:r w:rsidRPr="0FA9DDF5">
        <w:rPr>
          <w:rFonts w:ascii="Consolas" w:eastAsia="Consolas" w:hAnsi="Consolas" w:cs="Consolas"/>
        </w:rPr>
        <w:t>uration_of_</w:t>
      </w:r>
      <w:r w:rsidR="65EDF4AE" w:rsidRPr="0FA9DDF5">
        <w:rPr>
          <w:rFonts w:ascii="Consolas" w:eastAsia="Consolas" w:hAnsi="Consolas" w:cs="Consolas"/>
        </w:rPr>
        <w:t>grant_</w:t>
      </w:r>
      <w:r w:rsidRPr="0FA9DDF5">
        <w:rPr>
          <w:rFonts w:ascii="Consolas" w:eastAsia="Consolas" w:hAnsi="Consolas" w:cs="Consolas"/>
        </w:rPr>
        <w:t xml:space="preserve">completion = - </w:t>
      </w:r>
      <w:r w:rsidR="2D2BCEE1" w:rsidRPr="0FA9DDF5">
        <w:rPr>
          <w:rFonts w:ascii="Consolas" w:eastAsia="Consolas" w:hAnsi="Consolas" w:cs="Consolas"/>
        </w:rPr>
        <w:t>d</w:t>
      </w:r>
      <w:r w:rsidRPr="0FA9DDF5">
        <w:rPr>
          <w:rFonts w:ascii="Consolas" w:eastAsia="Consolas" w:hAnsi="Consolas" w:cs="Consolas"/>
        </w:rPr>
        <w:t>uration_of_</w:t>
      </w:r>
      <w:r w:rsidR="28A4A59B" w:rsidRPr="0FA9DDF5">
        <w:rPr>
          <w:rFonts w:ascii="Consolas" w:eastAsia="Consolas" w:hAnsi="Consolas" w:cs="Consolas"/>
        </w:rPr>
        <w:t>grant_</w:t>
      </w:r>
      <w:r w:rsidRPr="0FA9DDF5">
        <w:rPr>
          <w:rFonts w:ascii="Consolas" w:eastAsia="Consolas" w:hAnsi="Consolas" w:cs="Consolas"/>
        </w:rPr>
        <w:t>completion</w:t>
      </w:r>
    </w:p>
    <w:p w14:paraId="626E06A3" w14:textId="79AAB8D4" w:rsidR="2464D659" w:rsidRDefault="7E762389" w:rsidP="6CB66994">
      <w:pPr>
        <w:pStyle w:val="ListParagraph"/>
        <w:numPr>
          <w:ilvl w:val="0"/>
          <w:numId w:val="9"/>
        </w:numPr>
        <w:spacing w:before="240" w:after="240"/>
        <w:rPr>
          <w:rFonts w:ascii="Consolas" w:eastAsia="Consolas" w:hAnsi="Consolas" w:cs="Consolas"/>
        </w:rPr>
      </w:pPr>
      <w:r w:rsidRPr="0FA9DDF5">
        <w:rPr>
          <w:rFonts w:ascii="Consolas" w:eastAsia="Consolas" w:hAnsi="Consolas" w:cs="Consolas"/>
        </w:rPr>
        <w:t>rev_</w:t>
      </w:r>
      <w:r w:rsidR="31AF6260" w:rsidRPr="0FA9DDF5">
        <w:rPr>
          <w:rFonts w:ascii="Consolas" w:eastAsia="Consolas" w:hAnsi="Consolas" w:cs="Consolas"/>
        </w:rPr>
        <w:t>a</w:t>
      </w:r>
      <w:r w:rsidRPr="0FA9DDF5">
        <w:rPr>
          <w:rFonts w:ascii="Consolas" w:eastAsia="Consolas" w:hAnsi="Consolas" w:cs="Consolas"/>
        </w:rPr>
        <w:t>verage_</w:t>
      </w:r>
      <w:r w:rsidR="2D6B74D2" w:rsidRPr="0FA9DDF5">
        <w:rPr>
          <w:rFonts w:ascii="Consolas" w:eastAsia="Consolas" w:hAnsi="Consolas" w:cs="Consolas"/>
        </w:rPr>
        <w:t>d</w:t>
      </w:r>
      <w:r w:rsidRPr="0FA9DDF5">
        <w:rPr>
          <w:rFonts w:ascii="Consolas" w:eastAsia="Consolas" w:hAnsi="Consolas" w:cs="Consolas"/>
        </w:rPr>
        <w:t>uration_</w:t>
      </w:r>
      <w:r w:rsidR="2A1D29D5" w:rsidRPr="0FA9DDF5">
        <w:rPr>
          <w:rFonts w:ascii="Consolas" w:eastAsia="Consolas" w:hAnsi="Consolas" w:cs="Consolas"/>
        </w:rPr>
        <w:t>p</w:t>
      </w:r>
      <w:r w:rsidRPr="0FA9DDF5">
        <w:rPr>
          <w:rFonts w:ascii="Consolas" w:eastAsia="Consolas" w:hAnsi="Consolas" w:cs="Consolas"/>
        </w:rPr>
        <w:t>rogram_</w:t>
      </w:r>
      <w:r w:rsidR="4D5B01CC" w:rsidRPr="0FA9DDF5">
        <w:rPr>
          <w:rFonts w:ascii="Consolas" w:eastAsia="Consolas" w:hAnsi="Consolas" w:cs="Consolas"/>
        </w:rPr>
        <w:t>c</w:t>
      </w:r>
      <w:r w:rsidRPr="0FA9DDF5">
        <w:rPr>
          <w:rFonts w:ascii="Consolas" w:eastAsia="Consolas" w:hAnsi="Consolas" w:cs="Consolas"/>
        </w:rPr>
        <w:t xml:space="preserve">ompletion = - </w:t>
      </w:r>
      <w:r w:rsidR="173C246E" w:rsidRPr="0FA9DDF5">
        <w:rPr>
          <w:rFonts w:ascii="Consolas" w:eastAsia="Consolas" w:hAnsi="Consolas" w:cs="Consolas"/>
        </w:rPr>
        <w:t>a</w:t>
      </w:r>
      <w:r w:rsidRPr="0FA9DDF5">
        <w:rPr>
          <w:rFonts w:ascii="Consolas" w:eastAsia="Consolas" w:hAnsi="Consolas" w:cs="Consolas"/>
        </w:rPr>
        <w:t>verage_</w:t>
      </w:r>
      <w:r w:rsidR="4E6BE0FC" w:rsidRPr="0FA9DDF5">
        <w:rPr>
          <w:rFonts w:ascii="Consolas" w:eastAsia="Consolas" w:hAnsi="Consolas" w:cs="Consolas"/>
        </w:rPr>
        <w:t>d</w:t>
      </w:r>
      <w:r w:rsidRPr="0FA9DDF5">
        <w:rPr>
          <w:rFonts w:ascii="Consolas" w:eastAsia="Consolas" w:hAnsi="Consolas" w:cs="Consolas"/>
        </w:rPr>
        <w:t>uration_</w:t>
      </w:r>
      <w:r w:rsidR="62C79531" w:rsidRPr="0FA9DDF5">
        <w:rPr>
          <w:rFonts w:ascii="Consolas" w:eastAsia="Consolas" w:hAnsi="Consolas" w:cs="Consolas"/>
        </w:rPr>
        <w:t>p</w:t>
      </w:r>
      <w:r w:rsidRPr="0FA9DDF5">
        <w:rPr>
          <w:rFonts w:ascii="Consolas" w:eastAsia="Consolas" w:hAnsi="Consolas" w:cs="Consolas"/>
        </w:rPr>
        <w:t>rogram_</w:t>
      </w:r>
      <w:r w:rsidR="351F707E" w:rsidRPr="0FA9DDF5">
        <w:rPr>
          <w:rFonts w:ascii="Consolas" w:eastAsia="Consolas" w:hAnsi="Consolas" w:cs="Consolas"/>
        </w:rPr>
        <w:t>c</w:t>
      </w:r>
      <w:r w:rsidRPr="0FA9DDF5">
        <w:rPr>
          <w:rFonts w:ascii="Consolas" w:eastAsia="Consolas" w:hAnsi="Consolas" w:cs="Consolas"/>
        </w:rPr>
        <w:t>ompletion</w:t>
      </w:r>
    </w:p>
    <w:p w14:paraId="0D70D739" w14:textId="7212FE43" w:rsidR="2464D659" w:rsidRDefault="3C1C99A6" w:rsidP="6CB66994">
      <w:pPr>
        <w:spacing w:before="240" w:after="240"/>
        <w:rPr>
          <w:rFonts w:ascii="Aptos" w:eastAsia="Aptos" w:hAnsi="Aptos" w:cs="Aptos"/>
        </w:rPr>
      </w:pPr>
      <w:r w:rsidRPr="6CB66994">
        <w:rPr>
          <w:rFonts w:ascii="Aptos" w:eastAsia="Aptos" w:hAnsi="Aptos" w:cs="Aptos"/>
          <w:b/>
          <w:bCs/>
        </w:rPr>
        <w:t>4.4. Control variables</w:t>
      </w:r>
    </w:p>
    <w:p w14:paraId="6463CA43" w14:textId="0DE621C6" w:rsidR="2464D659" w:rsidRDefault="4A6F7FB4" w:rsidP="0FA9DDF5">
      <w:pPr>
        <w:spacing w:before="240" w:after="240"/>
        <w:rPr>
          <w:rFonts w:ascii="Aptos" w:eastAsia="Aptos" w:hAnsi="Aptos" w:cs="Aptos"/>
        </w:rPr>
      </w:pPr>
      <w:r>
        <w:rPr>
          <w:rFonts w:ascii="Aptos" w:hAnsi="Aptos"/>
        </w:rPr>
        <w:t>To account for contextual differences across jurisdictions, the SEM includes governmental level, jurisdiction size, and social vulnerability covariates (Peacock et al., 2014; CDC/ATSDR, 2026). Governmental level is represented by a binary indicator coded 1 for state agencies and 0 for local governments. This variable is modeled as a direct predictor and later used to organize descriptive subset comparisons; it is not a moderation term. Jurisdiction size is captured through total population, and the four SVI themes are included as broad contextual controls. Because the final SEM-ready dataset stores these covariates in standardized form, coefficients reflect cross-sectional associations within the aggregated grantee sample rather than temporal effects of changing population or SVI conditions.</w:t>
      </w:r>
    </w:p>
    <w:p w14:paraId="6B0423E0" w14:textId="4416751D" w:rsidR="78C1B7CB" w:rsidRDefault="78C1B7CB" w:rsidP="0FA9DDF5">
      <w:pPr>
        <w:spacing w:before="240" w:after="240"/>
        <w:rPr>
          <w:rFonts w:ascii="Aptos" w:eastAsia="Aptos" w:hAnsi="Aptos" w:cs="Aptos"/>
          <w:b/>
          <w:bCs/>
        </w:rPr>
      </w:pPr>
      <w:r w:rsidRPr="0FA9DDF5">
        <w:rPr>
          <w:rFonts w:ascii="Aptos" w:eastAsia="Aptos" w:hAnsi="Aptos" w:cs="Aptos"/>
          <w:b/>
          <w:bCs/>
        </w:rPr>
        <w:t>4.</w:t>
      </w:r>
      <w:r w:rsidR="277E9D05" w:rsidRPr="0FA9DDF5">
        <w:rPr>
          <w:rFonts w:ascii="Aptos" w:eastAsia="Aptos" w:hAnsi="Aptos" w:cs="Aptos"/>
          <w:b/>
          <w:bCs/>
        </w:rPr>
        <w:t>5</w:t>
      </w:r>
      <w:r w:rsidRPr="0FA9DDF5">
        <w:rPr>
          <w:rFonts w:ascii="Aptos" w:eastAsia="Aptos" w:hAnsi="Aptos" w:cs="Aptos"/>
          <w:b/>
          <w:bCs/>
        </w:rPr>
        <w:t>. SEM</w:t>
      </w:r>
      <w:r w:rsidR="0E4D2F37" w:rsidRPr="0FA9DDF5">
        <w:rPr>
          <w:rFonts w:ascii="Aptos" w:eastAsia="Aptos" w:hAnsi="Aptos" w:cs="Aptos"/>
          <w:b/>
          <w:bCs/>
        </w:rPr>
        <w:t xml:space="preserve"> modeling framework</w:t>
      </w:r>
    </w:p>
    <w:p w14:paraId="54F3F4A6" w14:textId="2652AD65" w:rsidR="78C1B7CB" w:rsidRDefault="64182799" w:rsidP="0FA9DDF5">
      <w:pPr>
        <w:spacing w:before="240" w:after="240"/>
        <w:rPr>
          <w:rFonts w:ascii="Aptos" w:eastAsia="Aptos" w:hAnsi="Aptos" w:cs="Aptos"/>
        </w:rPr>
      </w:pPr>
      <w:r>
        <w:rPr>
          <w:rFonts w:ascii="Aptos" w:hAnsi="Aptos"/>
        </w:rPr>
        <w:t>The primary SEM specification decomposes governmental capacity into two related latent dimensions - Administrative Resources and Administrative Burden Capacity - while representing disaster recovery outcomes as two related latent constructs - Recovery Performance and Recovery Timeliness. This specification is used as the main interpretive model because it better separates resource levels from workload pressure and produces stronger conventional fit indices than the one-factor alternative, even though the alternative retains lower AIC and BIC.</w:t>
      </w:r>
    </w:p>
    <w:p w14:paraId="04292E2F" w14:textId="3CCF7907" w:rsidR="78C1B7CB" w:rsidRDefault="1CED6B6A" w:rsidP="0FA9DDF5">
      <w:pPr>
        <w:spacing w:before="240" w:after="240"/>
        <w:rPr>
          <w:rFonts w:ascii="Aptos" w:eastAsia="Aptos" w:hAnsi="Aptos" w:cs="Aptos"/>
        </w:rPr>
      </w:pPr>
      <w:r w:rsidRPr="0FA9DDF5">
        <w:rPr>
          <w:rFonts w:ascii="Aptos" w:eastAsia="Aptos" w:hAnsi="Aptos" w:cs="Aptos"/>
        </w:rPr>
        <w:t>Figure 1 presents the integrated conceptual and empirical framework guiding this study. The framework conceptualizes disaster recovery outcomes as the result of interactions among contextual conditions, governmental capacity, and administrative processes. Specifically, jurisdiction size, social vulnerability, and governmental level define the contextual environment within which recovery administration occurs and may influence both governmental capacity and recovery outcomes. These relationships ultimately shape variation in recovery performance and recovery timeliness across jurisdictions, as well as the spatial distribution of administrative governance risk.</w:t>
      </w:r>
    </w:p>
    <w:p w14:paraId="043A68EF" w14:textId="1F898B2B" w:rsidR="75ADE057" w:rsidRDefault="75ADE057" w:rsidP="0FA9DDF5">
      <w:pPr>
        <w:spacing w:before="240" w:after="240"/>
        <w:rPr>
          <w:rFonts w:ascii="Aptos" w:eastAsia="Aptos" w:hAnsi="Aptos" w:cs="Aptos"/>
        </w:rPr>
      </w:pPr>
      <w:r>
        <w:rPr>
          <w:rFonts w:ascii="Aptos" w:hAnsi="Aptos"/>
        </w:rPr>
        <w:t>The SEM framework enables the analysis to distinguish between the effects of greater administrative resources and those associated with lower relative workload burdens. Both latent capacity dimensions are specified as predictors of Recovery Performance and Recovery Timeliness while controlling for governmental level, jurisdiction size, and the four SVI dimensions. The two capacity dimensions are allowed to covary, as are the two outcome constructs. These are modeled as direct relationships rather than as interaction or moderation effects.</w:t>
      </w:r>
    </w:p>
    <w:p w14:paraId="7539D575" w14:textId="462E6A39" w:rsidR="78C1B7CB" w:rsidRDefault="78C1B7CB" w:rsidP="41D8F452">
      <w:pPr>
        <w:spacing w:before="240" w:after="240"/>
        <w:jc w:val="center"/>
        <w:rPr>
          <w:rFonts w:ascii="Aptos" w:eastAsia="Aptos" w:hAnsi="Aptos" w:cs="Aptos"/>
        </w:rPr>
      </w:pPr>
      <w:r>
        <w:rPr>
          <w:noProof/>
        </w:rPr>
        <w:lastRenderedPageBreak/>
        <w:drawing>
          <wp:inline distT="0" distB="0" distL="0" distR="0" wp14:anchorId="64C3F0C9" wp14:editId="4BEEBA7A">
            <wp:extent cx="5879604" cy="4864618"/>
            <wp:effectExtent l="0" t="0" r="0" b="0"/>
            <wp:docPr id="192871920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3014971" name="Picture 1743014971"/>
                    <pic:cNvPicPr/>
                  </pic:nvPicPr>
                  <pic:blipFill>
                    <a:blip r:embed="rId7">
                      <a:extLst>
                        <a:ext uri="{28A0092B-C50C-407E-A947-70E740481C1C}">
                          <a14:useLocalDpi xmlns:a14="http://schemas.microsoft.com/office/drawing/2010/main"/>
                        </a:ext>
                      </a:extLst>
                    </a:blip>
                    <a:stretch>
                      <a:fillRect/>
                    </a:stretch>
                  </pic:blipFill>
                  <pic:spPr>
                    <a:xfrm>
                      <a:off x="0" y="0"/>
                      <a:ext cx="5879604" cy="4864618"/>
                    </a:xfrm>
                    <a:prstGeom prst="rect">
                      <a:avLst/>
                    </a:prstGeom>
                  </pic:spPr>
                </pic:pic>
              </a:graphicData>
            </a:graphic>
          </wp:inline>
        </w:drawing>
      </w:r>
    </w:p>
    <w:p w14:paraId="0FCFEA28" w14:textId="5648FF70" w:rsidR="78C1B7CB" w:rsidRDefault="78C1B7CB" w:rsidP="0FA9DDF5">
      <w:pPr>
        <w:spacing w:before="240" w:after="240"/>
        <w:rPr>
          <w:rFonts w:ascii="Aptos" w:eastAsia="Aptos" w:hAnsi="Aptos" w:cs="Aptos"/>
        </w:rPr>
      </w:pPr>
      <w:r w:rsidRPr="0FA9DDF5">
        <w:rPr>
          <w:rFonts w:ascii="Aptos" w:eastAsia="Aptos" w:hAnsi="Aptos" w:cs="Aptos"/>
          <w:b/>
          <w:bCs/>
        </w:rPr>
        <w:t xml:space="preserve">Figure 1. </w:t>
      </w:r>
      <w:r w:rsidRPr="0FA9DDF5">
        <w:rPr>
          <w:rFonts w:ascii="Aptos" w:eastAsia="Aptos" w:hAnsi="Aptos" w:cs="Aptos"/>
        </w:rPr>
        <w:t>Structural equation model of governmental capacity and disaster recovery outcomes</w:t>
      </w:r>
      <w:r w:rsidR="4FCF6513" w:rsidRPr="0FA9DDF5">
        <w:rPr>
          <w:rFonts w:ascii="Aptos" w:eastAsia="Aptos" w:hAnsi="Aptos" w:cs="Aptos"/>
        </w:rPr>
        <w:t>.</w:t>
      </w:r>
    </w:p>
    <w:p w14:paraId="07C3EB4C" w14:textId="41020A5E" w:rsidR="716257BA" w:rsidRDefault="716257BA" w:rsidP="0FA9DDF5">
      <w:pPr>
        <w:spacing w:before="240" w:after="240"/>
        <w:rPr>
          <w:rFonts w:ascii="Aptos" w:eastAsia="Aptos" w:hAnsi="Aptos" w:cs="Aptos"/>
        </w:rPr>
      </w:pPr>
      <w:r w:rsidRPr="0FA9DDF5">
        <w:rPr>
          <w:rFonts w:ascii="Aptos" w:eastAsia="Aptos" w:hAnsi="Aptos" w:cs="Aptos"/>
        </w:rPr>
        <w:t>Specifically, the SEM framework consists of two components: a measurement model and a structural model, which together are used to examine the mechanisms influencing disaster recovery program outcomes. The measurement model defines the relationships between latent constructs and their observed indicators, ensuring that key concepts – such as governmental capacity and recovery outcomes – are reliably represented by multiple empirical measures.</w:t>
      </w:r>
    </w:p>
    <w:p w14:paraId="7628F133" w14:textId="7338BB7B" w:rsidR="78C1B7CB" w:rsidRDefault="78C1B7CB" w:rsidP="0FA9DDF5">
      <w:pPr>
        <w:pStyle w:val="ListParagraph"/>
        <w:numPr>
          <w:ilvl w:val="0"/>
          <w:numId w:val="3"/>
        </w:numPr>
        <w:spacing w:before="240" w:after="240"/>
        <w:rPr>
          <w:rFonts w:ascii="Consolas" w:eastAsia="Consolas" w:hAnsi="Consolas" w:cs="Consolas"/>
        </w:rPr>
      </w:pPr>
      <w:r w:rsidRPr="0FA9DDF5">
        <w:rPr>
          <w:rFonts w:ascii="Consolas" w:eastAsia="Consolas" w:hAnsi="Consolas" w:cs="Consolas"/>
        </w:rPr>
        <w:t>AdminResources ← avg_employment, avg_payroll</w:t>
      </w:r>
    </w:p>
    <w:p w14:paraId="1AE3AE64" w14:textId="76913A86" w:rsidR="78C1B7CB" w:rsidRDefault="78C1B7CB" w:rsidP="0FA9DDF5">
      <w:pPr>
        <w:pStyle w:val="ListParagraph"/>
        <w:numPr>
          <w:ilvl w:val="0"/>
          <w:numId w:val="3"/>
        </w:numPr>
        <w:spacing w:before="240" w:after="240"/>
        <w:rPr>
          <w:rFonts w:ascii="Consolas" w:eastAsia="Consolas" w:hAnsi="Consolas" w:cs="Consolas"/>
        </w:rPr>
      </w:pPr>
      <w:r w:rsidRPr="0FA9DDF5">
        <w:rPr>
          <w:rFonts w:ascii="Consolas" w:eastAsia="Consolas" w:hAnsi="Consolas" w:cs="Consolas"/>
        </w:rPr>
        <w:t>AdminBurdenCapacity ← rev_programs_per_staff, rev_disasters_per_staff</w:t>
      </w:r>
    </w:p>
    <w:p w14:paraId="0F5DDFB0" w14:textId="2F7106AE" w:rsidR="78C1B7CB" w:rsidRDefault="78C1B7CB" w:rsidP="0FA9DDF5">
      <w:pPr>
        <w:pStyle w:val="ListParagraph"/>
        <w:numPr>
          <w:ilvl w:val="0"/>
          <w:numId w:val="3"/>
        </w:numPr>
        <w:spacing w:before="240" w:after="240"/>
        <w:rPr>
          <w:rFonts w:ascii="Consolas" w:eastAsia="Consolas" w:hAnsi="Consolas" w:cs="Consolas"/>
        </w:rPr>
      </w:pPr>
      <w:r w:rsidRPr="0FA9DDF5">
        <w:rPr>
          <w:rFonts w:ascii="Consolas" w:eastAsia="Consolas" w:hAnsi="Consolas" w:cs="Consolas"/>
        </w:rPr>
        <w:t xml:space="preserve">RecoveryPerformance ← </w:t>
      </w:r>
      <w:r w:rsidR="41317F54" w:rsidRPr="0FA9DDF5">
        <w:rPr>
          <w:rFonts w:ascii="Consolas" w:eastAsia="Consolas" w:hAnsi="Consolas" w:cs="Consolas"/>
        </w:rPr>
        <w:t>r</w:t>
      </w:r>
      <w:r w:rsidRPr="0FA9DDF5">
        <w:rPr>
          <w:rFonts w:ascii="Consolas" w:eastAsia="Consolas" w:hAnsi="Consolas" w:cs="Consolas"/>
        </w:rPr>
        <w:t xml:space="preserve">atio_disbursed_to_obligated, </w:t>
      </w:r>
      <w:r w:rsidR="778EF062" w:rsidRPr="0FA9DDF5">
        <w:rPr>
          <w:rFonts w:ascii="Consolas" w:eastAsia="Consolas" w:hAnsi="Consolas" w:cs="Consolas"/>
        </w:rPr>
        <w:t>ra</w:t>
      </w:r>
      <w:r w:rsidRPr="0FA9DDF5">
        <w:rPr>
          <w:rFonts w:ascii="Consolas" w:eastAsia="Consolas" w:hAnsi="Consolas" w:cs="Consolas"/>
        </w:rPr>
        <w:t xml:space="preserve">tio_expended_to_disbursed, </w:t>
      </w:r>
      <w:r w:rsidR="1731D6EB" w:rsidRPr="0FA9DDF5">
        <w:rPr>
          <w:rFonts w:ascii="Consolas" w:eastAsia="Consolas" w:hAnsi="Consolas" w:cs="Consolas"/>
        </w:rPr>
        <w:lastRenderedPageBreak/>
        <w:t>r</w:t>
      </w:r>
      <w:r w:rsidRPr="0FA9DDF5">
        <w:rPr>
          <w:rFonts w:ascii="Consolas" w:eastAsia="Consolas" w:hAnsi="Consolas" w:cs="Consolas"/>
        </w:rPr>
        <w:t>atio_</w:t>
      </w:r>
      <w:r w:rsidR="6F474238" w:rsidRPr="0FA9DDF5">
        <w:rPr>
          <w:rFonts w:ascii="Consolas" w:eastAsia="Consolas" w:hAnsi="Consolas" w:cs="Consolas"/>
        </w:rPr>
        <w:t>total_</w:t>
      </w:r>
      <w:r w:rsidRPr="0FA9DDF5">
        <w:rPr>
          <w:rFonts w:ascii="Consolas" w:eastAsia="Consolas" w:hAnsi="Consolas" w:cs="Consolas"/>
        </w:rPr>
        <w:t xml:space="preserve">obligated_funds_fully_expended, </w:t>
      </w:r>
      <w:r w:rsidR="0E6C0640" w:rsidRPr="0FA9DDF5">
        <w:rPr>
          <w:rFonts w:ascii="Consolas" w:eastAsia="Consolas" w:hAnsi="Consolas" w:cs="Consolas"/>
        </w:rPr>
        <w:t>r</w:t>
      </w:r>
      <w:r w:rsidRPr="0FA9DDF5">
        <w:rPr>
          <w:rFonts w:ascii="Consolas" w:eastAsia="Consolas" w:hAnsi="Consolas" w:cs="Consolas"/>
        </w:rPr>
        <w:t>atio_</w:t>
      </w:r>
      <w:r w:rsidR="3EFCFD53" w:rsidRPr="0FA9DDF5">
        <w:rPr>
          <w:rFonts w:ascii="Consolas" w:eastAsia="Consolas" w:hAnsi="Consolas" w:cs="Consolas"/>
        </w:rPr>
        <w:t>p</w:t>
      </w:r>
      <w:r w:rsidRPr="0FA9DDF5">
        <w:rPr>
          <w:rFonts w:ascii="Consolas" w:eastAsia="Consolas" w:hAnsi="Consolas" w:cs="Consolas"/>
        </w:rPr>
        <w:t>rogram_</w:t>
      </w:r>
      <w:r w:rsidR="15A9DAE6" w:rsidRPr="0FA9DDF5">
        <w:rPr>
          <w:rFonts w:ascii="Consolas" w:eastAsia="Consolas" w:hAnsi="Consolas" w:cs="Consolas"/>
        </w:rPr>
        <w:t>c</w:t>
      </w:r>
      <w:r w:rsidRPr="0FA9DDF5">
        <w:rPr>
          <w:rFonts w:ascii="Consolas" w:eastAsia="Consolas" w:hAnsi="Consolas" w:cs="Consolas"/>
        </w:rPr>
        <w:t>ompleted</w:t>
      </w:r>
    </w:p>
    <w:p w14:paraId="279F811A" w14:textId="27767ADB" w:rsidR="78C1B7CB" w:rsidRDefault="78C1B7CB" w:rsidP="0FA9DDF5">
      <w:pPr>
        <w:pStyle w:val="ListParagraph"/>
        <w:numPr>
          <w:ilvl w:val="0"/>
          <w:numId w:val="3"/>
        </w:numPr>
        <w:spacing w:before="240" w:after="240"/>
        <w:rPr>
          <w:rFonts w:ascii="Consolas" w:eastAsia="Consolas" w:hAnsi="Consolas" w:cs="Consolas"/>
        </w:rPr>
      </w:pPr>
      <w:r w:rsidRPr="0FA9DDF5">
        <w:rPr>
          <w:rFonts w:ascii="Consolas" w:eastAsia="Consolas" w:hAnsi="Consolas" w:cs="Consolas"/>
        </w:rPr>
        <w:t>RecoveryTimeliness ← rev_</w:t>
      </w:r>
      <w:r w:rsidR="5B090965" w:rsidRPr="0FA9DDF5">
        <w:rPr>
          <w:rFonts w:ascii="Consolas" w:eastAsia="Consolas" w:hAnsi="Consolas" w:cs="Consolas"/>
        </w:rPr>
        <w:t>d</w:t>
      </w:r>
      <w:r w:rsidRPr="0FA9DDF5">
        <w:rPr>
          <w:rFonts w:ascii="Consolas" w:eastAsia="Consolas" w:hAnsi="Consolas" w:cs="Consolas"/>
        </w:rPr>
        <w:t>uration_of_</w:t>
      </w:r>
      <w:r w:rsidR="457CB350" w:rsidRPr="0FA9DDF5">
        <w:rPr>
          <w:rFonts w:ascii="Consolas" w:eastAsia="Consolas" w:hAnsi="Consolas" w:cs="Consolas"/>
        </w:rPr>
        <w:t>grant_</w:t>
      </w:r>
      <w:r w:rsidRPr="0FA9DDF5">
        <w:rPr>
          <w:rFonts w:ascii="Consolas" w:eastAsia="Consolas" w:hAnsi="Consolas" w:cs="Consolas"/>
        </w:rPr>
        <w:t>completion, rev_</w:t>
      </w:r>
      <w:r w:rsidR="795A372D" w:rsidRPr="0FA9DDF5">
        <w:rPr>
          <w:rFonts w:ascii="Consolas" w:eastAsia="Consolas" w:hAnsi="Consolas" w:cs="Consolas"/>
        </w:rPr>
        <w:t>a</w:t>
      </w:r>
      <w:r w:rsidRPr="0FA9DDF5">
        <w:rPr>
          <w:rFonts w:ascii="Consolas" w:eastAsia="Consolas" w:hAnsi="Consolas" w:cs="Consolas"/>
        </w:rPr>
        <w:t>verage_</w:t>
      </w:r>
      <w:r w:rsidR="3A122A39" w:rsidRPr="0FA9DDF5">
        <w:rPr>
          <w:rFonts w:ascii="Consolas" w:eastAsia="Consolas" w:hAnsi="Consolas" w:cs="Consolas"/>
        </w:rPr>
        <w:t>d</w:t>
      </w:r>
      <w:r w:rsidRPr="0FA9DDF5">
        <w:rPr>
          <w:rFonts w:ascii="Consolas" w:eastAsia="Consolas" w:hAnsi="Consolas" w:cs="Consolas"/>
        </w:rPr>
        <w:t>uration_</w:t>
      </w:r>
      <w:r w:rsidR="7AD79087" w:rsidRPr="0FA9DDF5">
        <w:rPr>
          <w:rFonts w:ascii="Consolas" w:eastAsia="Consolas" w:hAnsi="Consolas" w:cs="Consolas"/>
        </w:rPr>
        <w:t>p</w:t>
      </w:r>
      <w:r w:rsidRPr="0FA9DDF5">
        <w:rPr>
          <w:rFonts w:ascii="Consolas" w:eastAsia="Consolas" w:hAnsi="Consolas" w:cs="Consolas"/>
        </w:rPr>
        <w:t>rogram_</w:t>
      </w:r>
      <w:r w:rsidR="77027C4E" w:rsidRPr="0FA9DDF5">
        <w:rPr>
          <w:rFonts w:ascii="Consolas" w:eastAsia="Consolas" w:hAnsi="Consolas" w:cs="Consolas"/>
        </w:rPr>
        <w:t>c</w:t>
      </w:r>
      <w:r w:rsidRPr="0FA9DDF5">
        <w:rPr>
          <w:rFonts w:ascii="Consolas" w:eastAsia="Consolas" w:hAnsi="Consolas" w:cs="Consolas"/>
        </w:rPr>
        <w:t>ompletion</w:t>
      </w:r>
    </w:p>
    <w:p w14:paraId="599FDB22" w14:textId="46FDA979" w:rsidR="758804D7" w:rsidRDefault="758804D7" w:rsidP="0FA9DDF5">
      <w:pPr>
        <w:spacing w:before="240" w:after="240"/>
      </w:pPr>
      <w:r w:rsidRPr="0FA9DDF5">
        <w:rPr>
          <w:rFonts w:ascii="Aptos" w:eastAsia="Aptos" w:hAnsi="Aptos" w:cs="Aptos"/>
        </w:rPr>
        <w:t>The structural model specifies the relationships between governmental capacity, control variables, and the latent outcome constructs of Recovery Performance and Recovery Timeliness, and is defined as follows:</w:t>
      </w:r>
    </w:p>
    <w:p w14:paraId="56F09D90" w14:textId="0CB2C813" w:rsidR="2464D659" w:rsidRDefault="78C1B7CB" w:rsidP="0FA9DDF5">
      <w:pPr>
        <w:pStyle w:val="ListParagraph"/>
        <w:numPr>
          <w:ilvl w:val="0"/>
          <w:numId w:val="2"/>
        </w:numPr>
        <w:spacing w:before="240" w:after="240"/>
        <w:rPr>
          <w:rFonts w:ascii="Consolas" w:eastAsia="Consolas" w:hAnsi="Consolas" w:cs="Consolas"/>
        </w:rPr>
      </w:pPr>
      <w:r w:rsidRPr="0FA9DDF5">
        <w:rPr>
          <w:rFonts w:ascii="Consolas" w:eastAsia="Consolas" w:hAnsi="Consolas" w:cs="Consolas"/>
        </w:rPr>
        <w:t>RecoveryPerformance ∼ AdminResources + AdminBurdenCapacity + state_</w:t>
      </w:r>
      <w:r w:rsidR="41D8B321" w:rsidRPr="0FA9DDF5">
        <w:rPr>
          <w:rFonts w:ascii="Consolas" w:eastAsia="Consolas" w:hAnsi="Consolas" w:cs="Consolas"/>
        </w:rPr>
        <w:t>or_local</w:t>
      </w:r>
      <w:r w:rsidRPr="0FA9DDF5">
        <w:rPr>
          <w:rFonts w:ascii="Consolas" w:eastAsia="Consolas" w:hAnsi="Consolas" w:cs="Consolas"/>
        </w:rPr>
        <w:t xml:space="preserve"> + total_population + SVI controls</w:t>
      </w:r>
    </w:p>
    <w:p w14:paraId="60BC05AC" w14:textId="65A4EB9D" w:rsidR="2464D659" w:rsidRDefault="78C1B7CB" w:rsidP="0FA9DDF5">
      <w:pPr>
        <w:pStyle w:val="ListParagraph"/>
        <w:numPr>
          <w:ilvl w:val="0"/>
          <w:numId w:val="2"/>
        </w:numPr>
        <w:spacing w:before="240" w:after="240"/>
        <w:rPr>
          <w:rFonts w:ascii="Consolas" w:eastAsia="Consolas" w:hAnsi="Consolas" w:cs="Consolas"/>
        </w:rPr>
      </w:pPr>
      <w:r w:rsidRPr="0FA9DDF5">
        <w:rPr>
          <w:rFonts w:ascii="Consolas" w:eastAsia="Consolas" w:hAnsi="Consolas" w:cs="Consolas"/>
        </w:rPr>
        <w:t>RecoveryTimeliness ∼ AdminResources + AdminBurdenCapacity + state_</w:t>
      </w:r>
      <w:r w:rsidR="4F0FFE10" w:rsidRPr="0FA9DDF5">
        <w:rPr>
          <w:rFonts w:ascii="Consolas" w:eastAsia="Consolas" w:hAnsi="Consolas" w:cs="Consolas"/>
        </w:rPr>
        <w:t>or_local</w:t>
      </w:r>
      <w:r w:rsidRPr="0FA9DDF5">
        <w:rPr>
          <w:rFonts w:ascii="Consolas" w:eastAsia="Consolas" w:hAnsi="Consolas" w:cs="Consolas"/>
        </w:rPr>
        <w:t xml:space="preserve"> + total_population + SVI controls</w:t>
      </w:r>
    </w:p>
    <w:p w14:paraId="79D96FF2" w14:textId="24A4E754" w:rsidR="2464D659" w:rsidRDefault="5469FDAB" w:rsidP="0FA9DDF5">
      <w:pPr>
        <w:spacing w:before="240" w:after="240"/>
        <w:rPr>
          <w:rFonts w:ascii="Aptos" w:eastAsia="Aptos" w:hAnsi="Aptos" w:cs="Aptos"/>
        </w:rPr>
      </w:pPr>
      <w:r>
        <w:rPr>
          <w:rFonts w:ascii="Aptos" w:hAnsi="Aptos"/>
        </w:rPr>
        <w:t>The working expectation is that jurisdictions with greater administrative resources and lower relative workload pressure will exhibit stronger recovery outcomes. In the revised manuscript, however, this expectation is treated as a cross-sectional associational hypothesis rather than as a claim of causal identification.</w:t>
      </w:r>
    </w:p>
    <w:p w14:paraId="398B178C" w14:textId="1B66B183" w:rsidR="2464D659" w:rsidRDefault="11081DEB" w:rsidP="0FA9DDF5">
      <w:pPr>
        <w:spacing w:before="240" w:after="240"/>
        <w:rPr>
          <w:rFonts w:ascii="Aptos" w:eastAsia="Aptos" w:hAnsi="Aptos" w:cs="Aptos"/>
          <w:b/>
          <w:bCs/>
        </w:rPr>
      </w:pPr>
      <w:r w:rsidRPr="0FA9DDF5">
        <w:rPr>
          <w:rFonts w:ascii="Aptos" w:eastAsia="Aptos" w:hAnsi="Aptos" w:cs="Aptos"/>
          <w:b/>
          <w:bCs/>
        </w:rPr>
        <w:t xml:space="preserve">4.6. </w:t>
      </w:r>
      <w:r w:rsidR="353F891F" w:rsidRPr="0FA9DDF5">
        <w:rPr>
          <w:rFonts w:ascii="Aptos" w:eastAsia="Aptos" w:hAnsi="Aptos" w:cs="Aptos"/>
          <w:b/>
          <w:bCs/>
        </w:rPr>
        <w:t>Experimental design</w:t>
      </w:r>
      <w:r w:rsidR="74861359" w:rsidRPr="0FA9DDF5">
        <w:rPr>
          <w:rFonts w:ascii="Aptos" w:eastAsia="Aptos" w:hAnsi="Aptos" w:cs="Aptos"/>
          <w:b/>
          <w:bCs/>
        </w:rPr>
        <w:t xml:space="preserve"> and </w:t>
      </w:r>
      <w:r w:rsidR="7B475BED" w:rsidRPr="0FA9DDF5">
        <w:rPr>
          <w:rFonts w:ascii="Aptos" w:eastAsia="Aptos" w:hAnsi="Aptos" w:cs="Aptos"/>
          <w:b/>
          <w:bCs/>
        </w:rPr>
        <w:t xml:space="preserve">model </w:t>
      </w:r>
      <w:r w:rsidR="74861359" w:rsidRPr="0FA9DDF5">
        <w:rPr>
          <w:rFonts w:ascii="Aptos" w:eastAsia="Aptos" w:hAnsi="Aptos" w:cs="Aptos"/>
          <w:b/>
          <w:bCs/>
        </w:rPr>
        <w:t>estimation</w:t>
      </w:r>
    </w:p>
    <w:p w14:paraId="23A6BA9E" w14:textId="366922F3" w:rsidR="01D0B7D9" w:rsidRDefault="01D0B7D9" w:rsidP="0FA9DDF5">
      <w:pPr>
        <w:spacing w:before="240" w:after="240"/>
        <w:rPr>
          <w:rFonts w:ascii="Aptos" w:eastAsia="Aptos" w:hAnsi="Aptos" w:cs="Aptos"/>
        </w:rPr>
      </w:pPr>
      <w:r>
        <w:rPr>
          <w:rFonts w:ascii="Aptos" w:hAnsi="Aptos"/>
        </w:rPr>
        <w:t>Two model-comparison and sensitivity strategies were implemented. First, the analysis compares a two-factor SEM, in which Administrative Resources and Administrative Burden Capacity are estimated separately, with a one-factor SEM that combines all four indicators into a single Governmental Capacity factor. Second, the manuscript reviews a smaller imported robustness bundle (baseline_sem_admin_4; N = 169) that preserves an alternative cleaned sample from the later Kaifa workflow. Because the original filtering script for that smaller sample is not currently recovered, it is interpreted as a secondary robustness check rather than as a fully auditable outlier-removal procedure.</w:t>
      </w:r>
    </w:p>
    <w:p w14:paraId="0BE5B09C" w14:textId="104F7C8B" w:rsidR="23714B09" w:rsidRDefault="23714B09" w:rsidP="0FA9DDF5">
      <w:pPr>
        <w:spacing w:before="240" w:after="240"/>
        <w:rPr>
          <w:rFonts w:ascii="Aptos" w:eastAsia="Aptos" w:hAnsi="Aptos" w:cs="Aptos"/>
        </w:rPr>
      </w:pPr>
      <w:r w:rsidRPr="3C60AEA8">
        <w:rPr>
          <w:rFonts w:ascii="Aptos" w:eastAsia="Aptos" w:hAnsi="Aptos" w:cs="Aptos"/>
        </w:rPr>
        <w:t>In the alternative SEM framework, the measurement model for Governmental Capacity (</w:t>
      </w:r>
      <w:r w:rsidRPr="3C60AEA8">
        <w:rPr>
          <w:rFonts w:ascii="Consolas" w:eastAsia="Consolas" w:hAnsi="Consolas" w:cs="Consolas"/>
        </w:rPr>
        <w:t>GovCapacity</w:t>
      </w:r>
      <w:r w:rsidRPr="3C60AEA8">
        <w:rPr>
          <w:rFonts w:ascii="Aptos" w:eastAsia="Aptos" w:hAnsi="Aptos" w:cs="Aptos"/>
        </w:rPr>
        <w:t>) is defined using four observed indicators:</w:t>
      </w:r>
      <w:r w:rsidR="12E38066" w:rsidRPr="3C60AEA8">
        <w:rPr>
          <w:rFonts w:ascii="Aptos" w:eastAsia="Aptos" w:hAnsi="Aptos" w:cs="Aptos"/>
        </w:rPr>
        <w:t xml:space="preserve"> </w:t>
      </w:r>
      <w:r w:rsidR="18A2DF47" w:rsidRPr="3C60AEA8">
        <w:rPr>
          <w:rFonts w:ascii="Consolas" w:eastAsia="Consolas" w:hAnsi="Consolas" w:cs="Consolas"/>
        </w:rPr>
        <w:t>avg_employment</w:t>
      </w:r>
      <w:r w:rsidR="18A2DF47" w:rsidRPr="3C60AEA8">
        <w:rPr>
          <w:rFonts w:eastAsiaTheme="minorEastAsia"/>
        </w:rPr>
        <w:t>,</w:t>
      </w:r>
      <w:r w:rsidR="18A2DF47" w:rsidRPr="3C60AEA8">
        <w:rPr>
          <w:rFonts w:ascii="Consolas" w:eastAsia="Consolas" w:hAnsi="Consolas" w:cs="Consolas"/>
        </w:rPr>
        <w:t xml:space="preserve"> avg_payroll</w:t>
      </w:r>
      <w:r w:rsidR="18A2DF47" w:rsidRPr="3C60AEA8">
        <w:rPr>
          <w:rFonts w:eastAsiaTheme="minorEastAsia"/>
        </w:rPr>
        <w:t>,</w:t>
      </w:r>
      <w:r w:rsidR="18A2DF47" w:rsidRPr="3C60AEA8">
        <w:rPr>
          <w:rFonts w:ascii="Consolas" w:eastAsia="Consolas" w:hAnsi="Consolas" w:cs="Consolas"/>
        </w:rPr>
        <w:t xml:space="preserve"> rev_programs_per_staff</w:t>
      </w:r>
      <w:r w:rsidR="18A2DF47" w:rsidRPr="3C60AEA8">
        <w:rPr>
          <w:rFonts w:eastAsiaTheme="minorEastAsia"/>
        </w:rPr>
        <w:t>,</w:t>
      </w:r>
      <w:r w:rsidR="569530E4" w:rsidRPr="3C60AEA8">
        <w:rPr>
          <w:rFonts w:eastAsiaTheme="minorEastAsia"/>
        </w:rPr>
        <w:t xml:space="preserve"> and</w:t>
      </w:r>
      <w:r w:rsidR="18A2DF47" w:rsidRPr="3C60AEA8">
        <w:rPr>
          <w:rFonts w:ascii="Consolas" w:eastAsia="Consolas" w:hAnsi="Consolas" w:cs="Consolas"/>
        </w:rPr>
        <w:t xml:space="preserve"> rev_disasters_per_staff</w:t>
      </w:r>
      <w:r w:rsidR="2F9D3CAC" w:rsidRPr="3C60AEA8">
        <w:rPr>
          <w:rFonts w:ascii="Aptos" w:eastAsia="Aptos" w:hAnsi="Aptos" w:cs="Aptos"/>
        </w:rPr>
        <w:t>,</w:t>
      </w:r>
      <w:r w:rsidR="7FA728AA" w:rsidRPr="3C60AEA8">
        <w:rPr>
          <w:rFonts w:ascii="Aptos" w:eastAsia="Aptos" w:hAnsi="Aptos" w:cs="Aptos"/>
        </w:rPr>
        <w:t xml:space="preserve"> </w:t>
      </w:r>
      <w:r w:rsidR="6A3059BC" w:rsidRPr="3C60AEA8">
        <w:rPr>
          <w:rFonts w:ascii="Aptos" w:eastAsia="Aptos" w:hAnsi="Aptos" w:cs="Aptos"/>
        </w:rPr>
        <w:t>while the measurement models for the disaster recovery outcome constructs remain unchanged. The structural model then estimates the extent to which governmental capacity influences recovery outcomes – Recovery Performance and Recovery Timeliness – while controlling for governmental level, jurisdiction size, and social vulnerability. The structural relationships are specified as follows:</w:t>
      </w:r>
    </w:p>
    <w:p w14:paraId="3EDB90E5" w14:textId="1A0C982C" w:rsidR="18A2DF47" w:rsidRDefault="18A2DF47" w:rsidP="0FA9DDF5">
      <w:pPr>
        <w:pStyle w:val="ListParagraph"/>
        <w:numPr>
          <w:ilvl w:val="0"/>
          <w:numId w:val="1"/>
        </w:numPr>
        <w:rPr>
          <w:rFonts w:ascii="Consolas" w:eastAsia="Consolas" w:hAnsi="Consolas" w:cs="Consolas"/>
        </w:rPr>
      </w:pPr>
      <w:r w:rsidRPr="0FA9DDF5">
        <w:rPr>
          <w:rFonts w:ascii="Consolas" w:eastAsia="Consolas" w:hAnsi="Consolas" w:cs="Consolas"/>
        </w:rPr>
        <w:lastRenderedPageBreak/>
        <w:t>RecoveryPerformance ∼ GovCapacity + state_</w:t>
      </w:r>
      <w:r w:rsidR="35FAF158" w:rsidRPr="0FA9DDF5">
        <w:rPr>
          <w:rFonts w:ascii="Consolas" w:eastAsia="Consolas" w:hAnsi="Consolas" w:cs="Consolas"/>
        </w:rPr>
        <w:t>or_local</w:t>
      </w:r>
      <w:r w:rsidRPr="0FA9DDF5">
        <w:rPr>
          <w:rFonts w:ascii="Consolas" w:eastAsia="Consolas" w:hAnsi="Consolas" w:cs="Consolas"/>
        </w:rPr>
        <w:t xml:space="preserve"> + total_population + SVI controls</w:t>
      </w:r>
    </w:p>
    <w:p w14:paraId="4CBBCF0B" w14:textId="0821389F" w:rsidR="18A2DF47" w:rsidRDefault="18A2DF47" w:rsidP="0FA9DDF5">
      <w:pPr>
        <w:pStyle w:val="ListParagraph"/>
        <w:numPr>
          <w:ilvl w:val="0"/>
          <w:numId w:val="1"/>
        </w:numPr>
        <w:rPr>
          <w:rFonts w:ascii="Consolas" w:eastAsia="Consolas" w:hAnsi="Consolas" w:cs="Consolas"/>
        </w:rPr>
      </w:pPr>
      <w:r w:rsidRPr="0FA9DDF5">
        <w:rPr>
          <w:rFonts w:ascii="Consolas" w:eastAsia="Consolas" w:hAnsi="Consolas" w:cs="Consolas"/>
        </w:rPr>
        <w:t>RecoveryTimeliness ∼ GovCapacity + state_</w:t>
      </w:r>
      <w:r w:rsidR="1DA4C3D9" w:rsidRPr="0FA9DDF5">
        <w:rPr>
          <w:rFonts w:ascii="Consolas" w:eastAsia="Consolas" w:hAnsi="Consolas" w:cs="Consolas"/>
        </w:rPr>
        <w:t>or_loca</w:t>
      </w:r>
      <w:r w:rsidRPr="0FA9DDF5">
        <w:rPr>
          <w:rFonts w:ascii="Consolas" w:eastAsia="Consolas" w:hAnsi="Consolas" w:cs="Consolas"/>
        </w:rPr>
        <w:t>l + total_population + SVI controls</w:t>
      </w:r>
    </w:p>
    <w:p w14:paraId="59A3A9E3" w14:textId="13F7AC55" w:rsidR="57F5A20D" w:rsidRDefault="57F5A20D" w:rsidP="0FA9DDF5">
      <w:pPr>
        <w:spacing w:after="0"/>
      </w:pPr>
      <w:r>
        <w:rPr>
          <w:rFonts w:ascii="Aptos" w:hAnsi="Aptos"/>
        </w:rPr>
        <w:t>Prior to SEM estimation, all continuous indicators were standardized as z-scores to improve comparability across variables and to support model convergence. Workload measures use staff-scaled denominators, and the imported later-model bundle indicates that small denominator protections were used where necessary. The SEMs were estimated with maximum likelihood estimation (Lee &amp; Zhu, 2002). Model evaluation relies on a combination of fit statistics - chi-square, CFI, TLI, RMSEA, AIC, and BIC - rather than on a single threshold. The revision therefore treats model comparison as a tradeoff exercise: the two-factor model is substantively more informative and fits better on the main incremental and absolute fit measures, while the one-factor model remains more parsimonious by information criteria.</w:t>
      </w:r>
    </w:p>
    <w:p w14:paraId="4447D751" w14:textId="13F80412" w:rsidR="0FA9DDF5" w:rsidRDefault="0FA9DDF5" w:rsidP="0FA9DDF5">
      <w:pPr>
        <w:spacing w:after="0"/>
        <w:rPr>
          <w:rFonts w:ascii="Aptos" w:eastAsia="Aptos" w:hAnsi="Aptos" w:cs="Aptos"/>
        </w:rPr>
      </w:pPr>
    </w:p>
    <w:p w14:paraId="2CF6F839" w14:textId="1CF8AFDB" w:rsidR="375C155A" w:rsidRDefault="375C155A" w:rsidP="0FA9DDF5">
      <w:pPr>
        <w:rPr>
          <w:rFonts w:ascii="Aptos" w:eastAsia="Aptos" w:hAnsi="Aptos" w:cs="Aptos"/>
          <w:b/>
          <w:bCs/>
        </w:rPr>
      </w:pPr>
      <w:r w:rsidRPr="0FA9DDF5">
        <w:rPr>
          <w:rFonts w:ascii="Aptos" w:eastAsia="Aptos" w:hAnsi="Aptos" w:cs="Aptos"/>
          <w:b/>
          <w:bCs/>
        </w:rPr>
        <w:t>5. Results</w:t>
      </w:r>
    </w:p>
    <w:p w14:paraId="0A4730C4" w14:textId="62538C13" w:rsidR="1ECC39F7" w:rsidRDefault="075415DB" w:rsidP="41D8F452">
      <w:pPr>
        <w:rPr>
          <w:rFonts w:ascii="Aptos" w:eastAsia="Aptos" w:hAnsi="Aptos" w:cs="Aptos"/>
          <w:b/>
          <w:bCs/>
        </w:rPr>
      </w:pPr>
      <w:r w:rsidRPr="0FA9DDF5">
        <w:rPr>
          <w:rFonts w:ascii="Aptos" w:eastAsia="Aptos" w:hAnsi="Aptos" w:cs="Aptos"/>
          <w:b/>
          <w:bCs/>
        </w:rPr>
        <w:t>5</w:t>
      </w:r>
      <w:r w:rsidR="074C0253" w:rsidRPr="0FA9DDF5">
        <w:rPr>
          <w:rFonts w:ascii="Aptos" w:eastAsia="Aptos" w:hAnsi="Aptos" w:cs="Aptos"/>
          <w:b/>
          <w:bCs/>
        </w:rPr>
        <w:t>.</w:t>
      </w:r>
      <w:r w:rsidR="55536F8D" w:rsidRPr="0FA9DDF5">
        <w:rPr>
          <w:rFonts w:ascii="Aptos" w:eastAsia="Aptos" w:hAnsi="Aptos" w:cs="Aptos"/>
          <w:b/>
          <w:bCs/>
        </w:rPr>
        <w:t>1</w:t>
      </w:r>
      <w:r w:rsidR="074C0253" w:rsidRPr="0FA9DDF5">
        <w:rPr>
          <w:rFonts w:ascii="Aptos" w:eastAsia="Aptos" w:hAnsi="Aptos" w:cs="Aptos"/>
          <w:b/>
          <w:bCs/>
        </w:rPr>
        <w:t xml:space="preserve">. SEM </w:t>
      </w:r>
      <w:r w:rsidR="71E1BF61" w:rsidRPr="0FA9DDF5">
        <w:rPr>
          <w:rFonts w:ascii="Aptos" w:eastAsia="Aptos" w:hAnsi="Aptos" w:cs="Aptos"/>
          <w:b/>
          <w:bCs/>
        </w:rPr>
        <w:t>model comparison</w:t>
      </w:r>
    </w:p>
    <w:p w14:paraId="54A8F33A" w14:textId="0E8AF5DE" w:rsidR="1184AF56" w:rsidRDefault="1184AF56" w:rsidP="0FA9DDF5">
      <w:pPr>
        <w:spacing w:before="240" w:after="240"/>
        <w:rPr>
          <w:rFonts w:ascii="Aptos" w:eastAsia="Aptos" w:hAnsi="Aptos" w:cs="Aptos"/>
        </w:rPr>
      </w:pPr>
      <w:r>
        <w:rPr>
          <w:rFonts w:ascii="Aptos" w:hAnsi="Aptos"/>
        </w:rPr>
        <w:t>Both SEM specifications were estimated to examine the relationship between governmental capacity and disaster recovery outcomes: (1) a one-factor model in which all four capacity indicators load on a single Governmental Capacity factor and (2) a two-factor model that separates Administrative Resources from Administrative Burden Capacity. Table 1 reports the comparison using the imported later-model SEM export bundle that best matches the current Word manuscript.</w:t>
      </w:r>
    </w:p>
    <w:p w14:paraId="0448409B" w14:textId="372316B1" w:rsidR="694BF16A" w:rsidRDefault="694BF16A" w:rsidP="6CB66994">
      <w:pPr>
        <w:spacing w:before="240" w:after="240"/>
        <w:rPr>
          <w:rFonts w:ascii="Aptos" w:eastAsia="Aptos" w:hAnsi="Aptos" w:cs="Aptos"/>
        </w:rPr>
      </w:pPr>
      <w:r w:rsidRPr="0FA9DDF5">
        <w:rPr>
          <w:rFonts w:ascii="Aptos" w:eastAsia="Aptos" w:hAnsi="Aptos" w:cs="Aptos"/>
          <w:b/>
          <w:bCs/>
        </w:rPr>
        <w:t>Table 1</w:t>
      </w:r>
      <w:r w:rsidRPr="0FA9DDF5">
        <w:rPr>
          <w:rFonts w:ascii="Aptos" w:eastAsia="Aptos" w:hAnsi="Aptos" w:cs="Aptos"/>
        </w:rPr>
        <w:t xml:space="preserve">. SEM </w:t>
      </w:r>
      <w:r w:rsidR="4E9446DC" w:rsidRPr="0FA9DDF5">
        <w:rPr>
          <w:rFonts w:ascii="Aptos" w:eastAsia="Aptos" w:hAnsi="Aptos" w:cs="Aptos"/>
        </w:rPr>
        <w:t>m</w:t>
      </w:r>
      <w:r w:rsidRPr="0FA9DDF5">
        <w:rPr>
          <w:rFonts w:ascii="Aptos" w:eastAsia="Aptos" w:hAnsi="Aptos" w:cs="Aptos"/>
        </w:rPr>
        <w:t xml:space="preserve">odel </w:t>
      </w:r>
      <w:r w:rsidR="4DFEBF82" w:rsidRPr="0FA9DDF5">
        <w:rPr>
          <w:rFonts w:ascii="Aptos" w:eastAsia="Aptos" w:hAnsi="Aptos" w:cs="Aptos"/>
        </w:rPr>
        <w:t>f</w:t>
      </w:r>
      <w:r w:rsidRPr="0FA9DDF5">
        <w:rPr>
          <w:rFonts w:ascii="Aptos" w:eastAsia="Aptos" w:hAnsi="Aptos" w:cs="Aptos"/>
        </w:rPr>
        <w:t xml:space="preserve">it </w:t>
      </w:r>
      <w:r w:rsidR="3D6E899A" w:rsidRPr="0FA9DDF5">
        <w:rPr>
          <w:rFonts w:ascii="Aptos" w:eastAsia="Aptos" w:hAnsi="Aptos" w:cs="Aptos"/>
        </w:rPr>
        <w:t>c</w:t>
      </w:r>
      <w:r w:rsidRPr="0FA9DDF5">
        <w:rPr>
          <w:rFonts w:ascii="Aptos" w:eastAsia="Aptos" w:hAnsi="Aptos" w:cs="Aptos"/>
        </w:rPr>
        <w:t>omparison</w:t>
      </w:r>
    </w:p>
    <w:tbl>
      <w:tblPr>
        <w:tblStyle w:val="TableGrid"/>
        <w:tblW w:w="0" w:type="auto"/>
        <w:tblLook w:val="06A0" w:firstRow="1" w:lastRow="0" w:firstColumn="1" w:lastColumn="0" w:noHBand="1" w:noVBand="1"/>
      </w:tblPr>
      <w:tblGrid>
        <w:gridCol w:w="2561"/>
        <w:gridCol w:w="1139"/>
        <w:gridCol w:w="1004"/>
        <w:gridCol w:w="1064"/>
        <w:gridCol w:w="1148"/>
        <w:gridCol w:w="1098"/>
        <w:gridCol w:w="1336"/>
      </w:tblGrid>
      <w:tr w:rsidR="0FA9DDF5" w14:paraId="4E0472C8" w14:textId="77777777" w:rsidTr="0FA9DDF5">
        <w:trPr>
          <w:trHeight w:val="300"/>
        </w:trPr>
        <w:tc>
          <w:tcPr>
            <w:tcW w:w="2565" w:type="dxa"/>
          </w:tcPr>
          <w:p w14:paraId="3AE4F332" w14:textId="765E1E65" w:rsidR="1C851E4A" w:rsidRDefault="1C851E4A" w:rsidP="0FA9DDF5">
            <w:pPr>
              <w:rPr>
                <w:rFonts w:ascii="Aptos" w:eastAsia="Aptos" w:hAnsi="Aptos" w:cs="Aptos"/>
              </w:rPr>
            </w:pPr>
            <w:r>
              <w:rPr>
                <w:rFonts w:ascii="Aptos" w:hAnsi="Aptos"/>
              </w:rPr>
              <w:t>Fit index</w:t>
            </w:r>
          </w:p>
        </w:tc>
        <w:tc>
          <w:tcPr>
            <w:tcW w:w="1140" w:type="dxa"/>
          </w:tcPr>
          <w:p w14:paraId="00C2D74E" w14:textId="0C961284" w:rsidR="5FC3B8BC" w:rsidRDefault="5FC3B8BC" w:rsidP="0FA9DDF5">
            <w:r>
              <w:rPr/>
              <w:t>chi-square</w:t>
            </w:r>
          </w:p>
        </w:tc>
        <w:tc>
          <w:tcPr>
            <w:tcW w:w="1005" w:type="dxa"/>
          </w:tcPr>
          <w:p w14:paraId="1C9B596E" w14:textId="076B94C0" w:rsidR="5FC3B8BC" w:rsidRDefault="5FC3B8BC" w:rsidP="0FA9DDF5">
            <w:pPr>
              <w:rPr>
                <w:rFonts w:ascii="Aptos" w:eastAsia="Aptos" w:hAnsi="Aptos" w:cs="Aptos"/>
              </w:rPr>
            </w:pPr>
            <w:r>
              <w:rPr>
                <w:rFonts w:ascii="Aptos" w:hAnsi="Aptos"/>
              </w:rPr>
              <w:t>CFI</w:t>
            </w:r>
          </w:p>
        </w:tc>
        <w:tc>
          <w:tcPr>
            <w:tcW w:w="1065" w:type="dxa"/>
          </w:tcPr>
          <w:p w14:paraId="7D8E1AEA" w14:textId="3562894A" w:rsidR="5FC3B8BC" w:rsidRDefault="5FC3B8BC" w:rsidP="0FA9DDF5">
            <w:pPr>
              <w:rPr>
                <w:rFonts w:ascii="Aptos" w:eastAsia="Aptos" w:hAnsi="Aptos" w:cs="Aptos"/>
              </w:rPr>
            </w:pPr>
            <w:r>
              <w:rPr>
                <w:rFonts w:ascii="Aptos" w:hAnsi="Aptos"/>
              </w:rPr>
              <w:t>TLI</w:t>
            </w:r>
          </w:p>
        </w:tc>
        <w:tc>
          <w:tcPr>
            <w:tcW w:w="1149" w:type="dxa"/>
          </w:tcPr>
          <w:p w14:paraId="1FA8FE79" w14:textId="024478DB" w:rsidR="5FC3B8BC" w:rsidRDefault="5FC3B8BC" w:rsidP="0FA9DDF5">
            <w:pPr>
              <w:rPr>
                <w:rFonts w:ascii="Aptos" w:eastAsia="Aptos" w:hAnsi="Aptos" w:cs="Aptos"/>
              </w:rPr>
            </w:pPr>
            <w:r>
              <w:rPr>
                <w:rFonts w:ascii="Aptos" w:hAnsi="Aptos"/>
              </w:rPr>
              <w:t>RMSEA</w:t>
            </w:r>
          </w:p>
        </w:tc>
        <w:tc>
          <w:tcPr>
            <w:tcW w:w="1099" w:type="dxa"/>
          </w:tcPr>
          <w:p w14:paraId="0FB94DA3" w14:textId="5674E160" w:rsidR="5FC3B8BC" w:rsidRDefault="5FC3B8BC" w:rsidP="0FA9DDF5">
            <w:pPr>
              <w:rPr>
                <w:rFonts w:ascii="Aptos" w:eastAsia="Aptos" w:hAnsi="Aptos" w:cs="Aptos"/>
              </w:rPr>
            </w:pPr>
            <w:r>
              <w:rPr>
                <w:rFonts w:ascii="Aptos" w:hAnsi="Aptos"/>
              </w:rPr>
              <w:t>AIC</w:t>
            </w:r>
          </w:p>
        </w:tc>
        <w:tc>
          <w:tcPr>
            <w:tcW w:w="1337" w:type="dxa"/>
          </w:tcPr>
          <w:p w14:paraId="1ECA7861" w14:textId="560CB25D" w:rsidR="5FC3B8BC" w:rsidRDefault="5FC3B8BC" w:rsidP="0FA9DDF5">
            <w:pPr>
              <w:rPr>
                <w:rFonts w:ascii="Aptos" w:eastAsia="Aptos" w:hAnsi="Aptos" w:cs="Aptos"/>
              </w:rPr>
            </w:pPr>
            <w:r>
              <w:rPr>
                <w:rFonts w:ascii="Aptos" w:hAnsi="Aptos"/>
              </w:rPr>
              <w:t>BIC</w:t>
            </w:r>
          </w:p>
        </w:tc>
      </w:tr>
      <w:tr w:rsidR="0FA9DDF5" w14:paraId="1D7D239C" w14:textId="77777777" w:rsidTr="0FA9DDF5">
        <w:trPr>
          <w:trHeight w:val="300"/>
        </w:trPr>
        <w:tc>
          <w:tcPr>
            <w:tcW w:w="2565" w:type="dxa"/>
          </w:tcPr>
          <w:p w14:paraId="020B2D9E" w14:textId="27FD1EDC" w:rsidR="1C851E4A" w:rsidRDefault="1C851E4A" w:rsidP="0FA9DDF5">
            <w:pPr>
              <w:rPr>
                <w:rFonts w:ascii="Aptos" w:eastAsia="Aptos" w:hAnsi="Aptos" w:cs="Aptos"/>
              </w:rPr>
            </w:pPr>
            <w:r>
              <w:rPr>
                <w:rFonts w:ascii="Aptos" w:hAnsi="Aptos"/>
              </w:rPr>
              <w:t>One-factor capacity model</w:t>
            </w:r>
          </w:p>
        </w:tc>
        <w:tc>
          <w:tcPr>
            <w:tcW w:w="1140" w:type="dxa"/>
          </w:tcPr>
          <w:p w14:paraId="37CFE44F" w14:textId="23B417D6" w:rsidR="705A85D0" w:rsidRDefault="705A85D0" w:rsidP="0FA9DDF5">
            <w:pPr>
              <w:rPr>
                <w:rFonts w:ascii="Aptos" w:eastAsia="Aptos" w:hAnsi="Aptos" w:cs="Aptos"/>
              </w:rPr>
            </w:pPr>
            <w:r>
              <w:rPr>
                <w:rFonts w:ascii="Aptos" w:hAnsi="Aptos"/>
              </w:rPr>
              <w:t>741.72</w:t>
            </w:r>
          </w:p>
        </w:tc>
        <w:tc>
          <w:tcPr>
            <w:tcW w:w="1005" w:type="dxa"/>
          </w:tcPr>
          <w:p w14:paraId="58FD1539" w14:textId="0C0073A1" w:rsidR="705A85D0" w:rsidRDefault="705A85D0" w:rsidP="0FA9DDF5">
            <w:pPr>
              <w:rPr>
                <w:rFonts w:ascii="Aptos" w:eastAsia="Aptos" w:hAnsi="Aptos" w:cs="Aptos"/>
              </w:rPr>
            </w:pPr>
            <w:r>
              <w:rPr>
                <w:rFonts w:ascii="Aptos" w:hAnsi="Aptos"/>
              </w:rPr>
              <w:t>0.854</w:t>
            </w:r>
          </w:p>
        </w:tc>
        <w:tc>
          <w:tcPr>
            <w:tcW w:w="1065" w:type="dxa"/>
          </w:tcPr>
          <w:p w14:paraId="436DD8B3" w14:textId="15E856DE" w:rsidR="705A85D0" w:rsidRDefault="705A85D0" w:rsidP="0FA9DDF5">
            <w:pPr>
              <w:rPr>
                <w:rFonts w:ascii="Aptos" w:eastAsia="Aptos" w:hAnsi="Aptos" w:cs="Aptos"/>
              </w:rPr>
            </w:pPr>
            <w:r>
              <w:rPr>
                <w:rFonts w:ascii="Aptos" w:hAnsi="Aptos"/>
              </w:rPr>
              <w:t>0.818</w:t>
            </w:r>
          </w:p>
        </w:tc>
        <w:tc>
          <w:tcPr>
            <w:tcW w:w="1149" w:type="dxa"/>
          </w:tcPr>
          <w:p w14:paraId="0B884EBC" w14:textId="12CB8D76" w:rsidR="705A85D0" w:rsidRDefault="705A85D0" w:rsidP="0FA9DDF5">
            <w:pPr>
              <w:rPr>
                <w:rFonts w:ascii="Aptos" w:eastAsia="Aptos" w:hAnsi="Aptos" w:cs="Aptos"/>
              </w:rPr>
            </w:pPr>
            <w:r>
              <w:rPr>
                <w:rFonts w:ascii="Aptos" w:hAnsi="Aptos"/>
              </w:rPr>
              <w:t>0.105</w:t>
            </w:r>
          </w:p>
        </w:tc>
        <w:tc>
          <w:tcPr>
            <w:tcW w:w="1099" w:type="dxa"/>
          </w:tcPr>
          <w:p w14:paraId="7789BA60" w14:textId="6D95AD5D" w:rsidR="705A85D0" w:rsidRDefault="705A85D0" w:rsidP="0FA9DDF5">
            <w:pPr>
              <w:rPr>
                <w:rFonts w:ascii="Aptos" w:eastAsia="Aptos" w:hAnsi="Aptos" w:cs="Aptos"/>
              </w:rPr>
            </w:pPr>
            <w:r>
              <w:rPr>
                <w:rFonts w:ascii="Aptos" w:hAnsi="Aptos"/>
              </w:rPr>
              <w:t>67.41</w:t>
            </w:r>
          </w:p>
        </w:tc>
        <w:tc>
          <w:tcPr>
            <w:tcW w:w="1337" w:type="dxa"/>
          </w:tcPr>
          <w:p w14:paraId="67E4E7E8" w14:textId="3915BA87" w:rsidR="705A85D0" w:rsidRDefault="705A85D0" w:rsidP="0FA9DDF5">
            <w:pPr>
              <w:rPr>
                <w:rFonts w:ascii="Aptos" w:eastAsia="Aptos" w:hAnsi="Aptos" w:cs="Aptos"/>
              </w:rPr>
            </w:pPr>
            <w:r>
              <w:rPr>
                <w:rFonts w:ascii="Aptos" w:hAnsi="Aptos"/>
              </w:rPr>
              <w:t>219.69</w:t>
            </w:r>
          </w:p>
        </w:tc>
      </w:tr>
      <w:tr w:rsidR="0FA9DDF5" w14:paraId="2D5680BC" w14:textId="77777777" w:rsidTr="0FA9DDF5">
        <w:trPr>
          <w:trHeight w:val="300"/>
        </w:trPr>
        <w:tc>
          <w:tcPr>
            <w:tcW w:w="2565" w:type="dxa"/>
          </w:tcPr>
          <w:p w14:paraId="0B3B042B" w14:textId="5BC22881" w:rsidR="1C851E4A" w:rsidRDefault="1C851E4A" w:rsidP="0FA9DDF5">
            <w:pPr>
              <w:rPr>
                <w:rFonts w:ascii="Aptos" w:eastAsia="Aptos" w:hAnsi="Aptos" w:cs="Aptos"/>
              </w:rPr>
            </w:pPr>
            <w:r>
              <w:rPr>
                <w:rFonts w:ascii="Aptos" w:hAnsi="Aptos"/>
              </w:rPr>
              <w:t>Two-factor capacity model</w:t>
            </w:r>
          </w:p>
        </w:tc>
        <w:tc>
          <w:tcPr>
            <w:tcW w:w="1140" w:type="dxa"/>
          </w:tcPr>
          <w:p w14:paraId="7C6F6040" w14:textId="176041E2" w:rsidR="179868C2" w:rsidRDefault="179868C2" w:rsidP="0FA9DDF5">
            <w:pPr>
              <w:rPr>
                <w:rFonts w:ascii="Aptos" w:eastAsia="Aptos" w:hAnsi="Aptos" w:cs="Aptos"/>
              </w:rPr>
            </w:pPr>
            <w:r>
              <w:rPr>
                <w:rFonts w:ascii="Aptos" w:hAnsi="Aptos"/>
              </w:rPr>
              <w:t>469.82</w:t>
            </w:r>
          </w:p>
        </w:tc>
        <w:tc>
          <w:tcPr>
            <w:tcW w:w="1005" w:type="dxa"/>
          </w:tcPr>
          <w:p w14:paraId="2B7EE68C" w14:textId="7787599F" w:rsidR="179868C2" w:rsidRDefault="179868C2" w:rsidP="0FA9DDF5">
            <w:pPr>
              <w:rPr>
                <w:rFonts w:ascii="Aptos" w:eastAsia="Aptos" w:hAnsi="Aptos" w:cs="Aptos"/>
              </w:rPr>
            </w:pPr>
            <w:r>
              <w:rPr>
                <w:rFonts w:ascii="Aptos" w:hAnsi="Aptos"/>
              </w:rPr>
              <w:t>0.915</w:t>
            </w:r>
          </w:p>
        </w:tc>
        <w:tc>
          <w:tcPr>
            <w:tcW w:w="1065" w:type="dxa"/>
          </w:tcPr>
          <w:p w14:paraId="2443E00A" w14:textId="0D3D52B3" w:rsidR="179868C2" w:rsidRDefault="179868C2" w:rsidP="0FA9DDF5">
            <w:pPr>
              <w:rPr>
                <w:rFonts w:ascii="Aptos" w:eastAsia="Aptos" w:hAnsi="Aptos" w:cs="Aptos"/>
              </w:rPr>
            </w:pPr>
            <w:r>
              <w:rPr>
                <w:rFonts w:ascii="Aptos" w:hAnsi="Aptos"/>
              </w:rPr>
              <w:t>0.891</w:t>
            </w:r>
          </w:p>
        </w:tc>
        <w:tc>
          <w:tcPr>
            <w:tcW w:w="1149" w:type="dxa"/>
          </w:tcPr>
          <w:p w14:paraId="35895486" w14:textId="7C4959A4" w:rsidR="179868C2" w:rsidRDefault="179868C2" w:rsidP="0FA9DDF5">
            <w:pPr>
              <w:rPr>
                <w:rFonts w:ascii="Aptos" w:eastAsia="Aptos" w:hAnsi="Aptos" w:cs="Aptos"/>
              </w:rPr>
            </w:pPr>
            <w:r>
              <w:rPr>
                <w:rFonts w:ascii="Aptos" w:hAnsi="Aptos"/>
              </w:rPr>
              <w:t>0.081</w:t>
            </w:r>
          </w:p>
        </w:tc>
        <w:tc>
          <w:tcPr>
            <w:tcW w:w="1099" w:type="dxa"/>
          </w:tcPr>
          <w:p w14:paraId="5CAFD16B" w14:textId="7E173CCF" w:rsidR="179868C2" w:rsidRDefault="179868C2" w:rsidP="0FA9DDF5">
            <w:pPr>
              <w:rPr>
                <w:rFonts w:ascii="Aptos" w:eastAsia="Aptos" w:hAnsi="Aptos" w:cs="Aptos"/>
              </w:rPr>
            </w:pPr>
            <w:r>
              <w:rPr>
                <w:rFonts w:ascii="Aptos" w:hAnsi="Aptos"/>
              </w:rPr>
              <w:t>74.36</w:t>
            </w:r>
          </w:p>
        </w:tc>
        <w:tc>
          <w:tcPr>
            <w:tcW w:w="1337" w:type="dxa"/>
          </w:tcPr>
          <w:p w14:paraId="0D12872D" w14:textId="774589B7" w:rsidR="179868C2" w:rsidRDefault="179868C2" w:rsidP="0FA9DDF5">
            <w:pPr>
              <w:rPr>
                <w:rFonts w:ascii="Aptos" w:eastAsia="Aptos" w:hAnsi="Aptos" w:cs="Aptos"/>
              </w:rPr>
            </w:pPr>
            <w:r>
              <w:rPr>
                <w:rFonts w:ascii="Aptos" w:hAnsi="Aptos"/>
              </w:rPr>
              <w:t>239.69</w:t>
            </w:r>
          </w:p>
        </w:tc>
      </w:tr>
    </w:tbl>
    <w:p w14:paraId="45BBD756" w14:textId="7073577C" w:rsidR="45DE8FF0" w:rsidRDefault="2A565203" w:rsidP="0FA9DDF5">
      <w:pPr>
        <w:spacing w:before="240" w:after="240"/>
        <w:rPr>
          <w:rFonts w:ascii="Aptos" w:eastAsia="Aptos" w:hAnsi="Aptos" w:cs="Aptos"/>
        </w:rPr>
      </w:pPr>
      <w:r>
        <w:rPr>
          <w:rFonts w:ascii="Aptos" w:hAnsi="Aptos"/>
        </w:rPr>
        <w:t>The model comparison reveals a genuine tradeoff rather than an unambiguous winner. The one-factor model has lower information criteria (AIC = 67.41; BIC = 219.69), but the two-factor model fits the covariance structure more convincingly on the conventional SEM diagnostics (chi-square = 469.82 versus 741.72; CFI = 0.915 versus 0.854; TLI = 0.891 versus 0.818; RMSEA = 0.081 versus 0.105). Because the two-factor model aligns more closely with the theory that resources and workload are distinct dimensions of administrative capacity, and because it improves the main fit indices materially, it is used as the primary substantive model in the remainder of the paper. At the same time, the revision explicitly acknowledges that the one-factor alternative is more parsimonious by AIC/BIC, so the two-factor model should be interpreted as preferred conditionally rather than as definitively superior on every criterion.</w:t>
      </w:r>
    </w:p>
    <w:p w14:paraId="536E4131" w14:textId="342AF268" w:rsidR="45DE8FF0" w:rsidRDefault="1A866E72" w:rsidP="0FA9DDF5">
      <w:pPr>
        <w:spacing w:before="240" w:after="240"/>
        <w:rPr>
          <w:rFonts w:ascii="Aptos" w:eastAsia="Aptos" w:hAnsi="Aptos" w:cs="Aptos"/>
        </w:rPr>
      </w:pPr>
      <w:r>
        <w:rPr>
          <w:rFonts w:ascii="Aptos" w:hAnsi="Aptos"/>
        </w:rPr>
        <w:t>The measurement parameters of the two-factor model also motivate a cautious but interpretable reading. Within Administrative Resources, standardized loadings are strong for employment (0.953) and payroll (0.992). Within Administrative Burden Capacity, the reverse-coded disasters-per-staff and programs-per-staff indicators load positively, although the programs-per-staff indicator is notably weaker. The two latent capacity dimensions are positively correlated (standardized covariance = 0.402), suggesting that better-resourced jurisdictions also tend to face somewhat more manageable workloads. Outcome measurement is more mixed: three Recovery Performance indicators load positively, but the expended-to-disbursed ratio has a weak negative loading, and the timeliness factor remains heavily duration-based. In the smaller baseline_sem_admin_4 robustness bundle, fit weakens and the burden-capacity paths are no longer statistically distinguishable from zero. These features do not invalidate the two-factor model, but they do argue for interpreting it as an exploratory cross-sectional measurement structure rather than as a final, fully settled confirmatory SEM.</w:t>
      </w:r>
    </w:p>
    <w:p w14:paraId="60D3877E" w14:textId="7CA6CA99" w:rsidR="45DE8FF0" w:rsidRDefault="45DE8FF0" w:rsidP="41D8F452">
      <w:pPr>
        <w:spacing w:before="240" w:after="240"/>
        <w:rPr>
          <w:rFonts w:ascii="Aptos" w:eastAsia="Aptos" w:hAnsi="Aptos" w:cs="Aptos"/>
          <w:b/>
          <w:bCs/>
        </w:rPr>
      </w:pPr>
      <w:r w:rsidRPr="3C60AEA8">
        <w:rPr>
          <w:rFonts w:ascii="Aptos" w:eastAsia="Aptos" w:hAnsi="Aptos" w:cs="Aptos"/>
          <w:b/>
          <w:bCs/>
        </w:rPr>
        <w:t xml:space="preserve">5.2. </w:t>
      </w:r>
      <w:r w:rsidR="11F7DF8A" w:rsidRPr="3C60AEA8">
        <w:rPr>
          <w:rFonts w:ascii="Aptos" w:eastAsia="Aptos" w:hAnsi="Aptos" w:cs="Aptos"/>
          <w:b/>
          <w:bCs/>
        </w:rPr>
        <w:t>Structural relationships between governmental capacity and recovery outcomes</w:t>
      </w:r>
    </w:p>
    <w:p w14:paraId="589C8D44" w14:textId="74804565" w:rsidR="520C9C3C" w:rsidRDefault="520C9C3C" w:rsidP="3C60AEA8">
      <w:pPr>
        <w:spacing w:before="240" w:after="240"/>
        <w:rPr>
          <w:rFonts w:ascii="Aptos" w:eastAsia="Aptos" w:hAnsi="Aptos" w:cs="Aptos"/>
        </w:rPr>
      </w:pPr>
      <w:r>
        <w:rPr>
          <w:rFonts w:ascii="Aptos" w:hAnsi="Aptos"/>
        </w:rPr>
        <w:t>The structural results indicate that Administrative Resources and Administrative Burden Capacity relate to different recovery outcomes in different ways. Table 2 reports the standardized structural path coefficients from the two-factor SEM. Figures 2 and 3 show SEM-implied predicted relationship plots to illustrate the direction and relative strength of the main associations.</w:t>
      </w:r>
    </w:p>
    <w:p w14:paraId="3EFFC439" w14:textId="6F21260E" w:rsidR="56E006AA" w:rsidRDefault="56E006AA" w:rsidP="0FA9DDF5">
      <w:pPr>
        <w:spacing w:before="240" w:after="240"/>
        <w:rPr>
          <w:rFonts w:ascii="Aptos" w:eastAsia="Aptos" w:hAnsi="Aptos" w:cs="Aptos"/>
        </w:rPr>
      </w:pPr>
      <w:r w:rsidRPr="0FA9DDF5">
        <w:rPr>
          <w:rFonts w:ascii="Aptos" w:eastAsia="Aptos" w:hAnsi="Aptos" w:cs="Aptos"/>
          <w:b/>
          <w:bCs/>
        </w:rPr>
        <w:t>Table 2</w:t>
      </w:r>
      <w:r w:rsidRPr="0FA9DDF5">
        <w:rPr>
          <w:rFonts w:ascii="Aptos" w:eastAsia="Aptos" w:hAnsi="Aptos" w:cs="Aptos"/>
        </w:rPr>
        <w:t xml:space="preserve">. Structural </w:t>
      </w:r>
      <w:r w:rsidR="6F713B87" w:rsidRPr="0FA9DDF5">
        <w:rPr>
          <w:rFonts w:ascii="Aptos" w:eastAsia="Aptos" w:hAnsi="Aptos" w:cs="Aptos"/>
        </w:rPr>
        <w:t>p</w:t>
      </w:r>
      <w:r w:rsidRPr="0FA9DDF5">
        <w:rPr>
          <w:rFonts w:ascii="Aptos" w:eastAsia="Aptos" w:hAnsi="Aptos" w:cs="Aptos"/>
        </w:rPr>
        <w:t xml:space="preserve">ath </w:t>
      </w:r>
      <w:r w:rsidR="2CC6EF30" w:rsidRPr="0FA9DDF5">
        <w:rPr>
          <w:rFonts w:ascii="Aptos" w:eastAsia="Aptos" w:hAnsi="Aptos" w:cs="Aptos"/>
        </w:rPr>
        <w:t>e</w:t>
      </w:r>
      <w:r w:rsidRPr="0FA9DDF5">
        <w:rPr>
          <w:rFonts w:ascii="Aptos" w:eastAsia="Aptos" w:hAnsi="Aptos" w:cs="Aptos"/>
        </w:rPr>
        <w:t>stimates</w:t>
      </w:r>
      <w:r w:rsidR="226C0EFA" w:rsidRPr="0FA9DDF5">
        <w:rPr>
          <w:rFonts w:ascii="Aptos" w:eastAsia="Aptos" w:hAnsi="Aptos" w:cs="Aptos"/>
        </w:rPr>
        <w:t xml:space="preserve"> in the standard SEM framework</w:t>
      </w:r>
    </w:p>
    <w:tbl>
      <w:tblPr>
        <w:tblW w:w="0" w:type="auto"/>
        <w:tblBorders>
          <w:top w:val="single" w:sz="12" w:space="0" w:color="000000" w:themeColor="text1"/>
          <w:bottom w:val="single" w:sz="12" w:space="0" w:color="000000" w:themeColor="text1"/>
        </w:tblBorders>
        <w:tblLook w:val="06A0" w:firstRow="1" w:lastRow="0" w:firstColumn="1" w:lastColumn="0" w:noHBand="1" w:noVBand="1"/>
      </w:tblPr>
      <w:tblGrid>
        <w:gridCol w:w="2685"/>
        <w:gridCol w:w="3270"/>
        <w:gridCol w:w="1845"/>
        <w:gridCol w:w="1045"/>
      </w:tblGrid>
      <w:tr w:rsidR="6CB66994" w14:paraId="3C17BD80" w14:textId="77777777" w:rsidTr="3C60AEA8">
        <w:trPr>
          <w:trHeight w:val="300"/>
        </w:trPr>
        <w:tc>
          <w:tcPr>
            <w:tcW w:w="2685" w:type="dxa"/>
            <w:tcBorders>
              <w:bottom w:val="single" w:sz="12" w:space="0" w:color="000000" w:themeColor="text1"/>
            </w:tcBorders>
            <w:vAlign w:val="center"/>
          </w:tcPr>
          <w:p w14:paraId="0A8E68B1" w14:textId="27011B57" w:rsidR="6CB66994" w:rsidRDefault="226C0EFA" w:rsidP="0FA9DDF5">
            <w:pPr>
              <w:spacing w:after="0"/>
              <w:jc w:val="center"/>
            </w:pPr>
            <w:r>
              <w:rPr/>
              <w:t>Recovery outcome</w:t>
            </w:r>
          </w:p>
        </w:tc>
        <w:tc>
          <w:tcPr>
            <w:tcW w:w="3270" w:type="dxa"/>
            <w:tcBorders>
              <w:bottom w:val="single" w:sz="12" w:space="0" w:color="000000" w:themeColor="text1"/>
            </w:tcBorders>
            <w:vAlign w:val="center"/>
          </w:tcPr>
          <w:p w14:paraId="07242EA1" w14:textId="02C4D03D" w:rsidR="6CB66994" w:rsidRDefault="6CB66994" w:rsidP="6CB66994">
            <w:pPr>
              <w:spacing w:after="0"/>
              <w:jc w:val="center"/>
            </w:pPr>
            <w:r>
              <w:rPr/>
              <w:t>Predictor</w:t>
            </w:r>
          </w:p>
        </w:tc>
        <w:tc>
          <w:tcPr>
            <w:tcW w:w="1845" w:type="dxa"/>
            <w:tcBorders>
              <w:bottom w:val="single" w:sz="12" w:space="0" w:color="000000" w:themeColor="text1"/>
            </w:tcBorders>
            <w:vAlign w:val="center"/>
          </w:tcPr>
          <w:p w14:paraId="7265C6EB" w14:textId="7DDD1C26" w:rsidR="6CB66994" w:rsidRDefault="6CB66994" w:rsidP="6CB66994">
            <w:pPr>
              <w:spacing w:after="0"/>
              <w:jc w:val="center"/>
            </w:pPr>
            <w:r>
              <w:rPr/>
              <w:t>Standardized beta</w:t>
            </w:r>
          </w:p>
        </w:tc>
        <w:tc>
          <w:tcPr>
            <w:tcW w:w="1045" w:type="dxa"/>
            <w:tcBorders>
              <w:bottom w:val="single" w:sz="12" w:space="0" w:color="000000" w:themeColor="text1"/>
            </w:tcBorders>
            <w:vAlign w:val="center"/>
          </w:tcPr>
          <w:p w14:paraId="38F48EB0" w14:textId="11D74B29" w:rsidR="6CB66994" w:rsidRDefault="53C794AF" w:rsidP="6CB66994">
            <w:pPr>
              <w:spacing w:after="0"/>
              <w:jc w:val="center"/>
            </w:pPr>
            <w:r>
              <w:rPr>
                <w:i/>
              </w:rPr>
              <w:t>p-value</w:t>
            </w:r>
          </w:p>
        </w:tc>
      </w:tr>
      <w:tr w:rsidR="6CB66994" w14:paraId="129EC120" w14:textId="77777777" w:rsidTr="3C60AEA8">
        <w:trPr>
          <w:trHeight w:val="300"/>
        </w:trPr>
        <w:tc>
          <w:tcPr>
            <w:tcW w:w="2685" w:type="dxa"/>
            <w:tcBorders>
              <w:top w:val="single" w:sz="12" w:space="0" w:color="000000" w:themeColor="text1"/>
            </w:tcBorders>
            <w:vAlign w:val="center"/>
          </w:tcPr>
          <w:p w14:paraId="7744EA91" w14:textId="5AEA8436" w:rsidR="6CB66994" w:rsidRDefault="6CB66994" w:rsidP="6CB66994">
            <w:pPr>
              <w:spacing w:after="0"/>
            </w:pPr>
            <w:r>
              <w:rPr/>
              <w:t>Recovery Performance</w:t>
            </w:r>
          </w:p>
        </w:tc>
        <w:tc>
          <w:tcPr>
            <w:tcW w:w="3270" w:type="dxa"/>
            <w:tcBorders>
              <w:top w:val="single" w:sz="12" w:space="0" w:color="000000" w:themeColor="text1"/>
            </w:tcBorders>
            <w:vAlign w:val="center"/>
          </w:tcPr>
          <w:p w14:paraId="716E39E2" w14:textId="0A539227" w:rsidR="6CB66994" w:rsidRDefault="6CB66994" w:rsidP="6CB66994">
            <w:pPr>
              <w:spacing w:after="0"/>
            </w:pPr>
            <w:r>
              <w:rPr/>
              <w:t>Administrative Resources</w:t>
            </w:r>
          </w:p>
        </w:tc>
        <w:tc>
          <w:tcPr>
            <w:tcW w:w="1845" w:type="dxa"/>
            <w:tcBorders>
              <w:top w:val="single" w:sz="12" w:space="0" w:color="000000" w:themeColor="text1"/>
            </w:tcBorders>
            <w:vAlign w:val="center"/>
          </w:tcPr>
          <w:p w14:paraId="380B5924" w14:textId="54EC23C8" w:rsidR="6CB66994" w:rsidRDefault="6CB66994" w:rsidP="6CB66994">
            <w:pPr>
              <w:spacing w:after="0"/>
            </w:pPr>
            <w:r>
              <w:rPr/>
              <w:t>-0.170</w:t>
            </w:r>
          </w:p>
        </w:tc>
        <w:tc>
          <w:tcPr>
            <w:tcW w:w="1045" w:type="dxa"/>
            <w:tcBorders>
              <w:top w:val="single" w:sz="12" w:space="0" w:color="000000" w:themeColor="text1"/>
            </w:tcBorders>
            <w:vAlign w:val="center"/>
          </w:tcPr>
          <w:p w14:paraId="2CF76636" w14:textId="3AD51184" w:rsidR="6CB66994" w:rsidRDefault="6CB66994" w:rsidP="6CB66994">
            <w:pPr>
              <w:spacing w:after="0"/>
            </w:pPr>
            <w:r>
              <w:rPr/>
              <w:t>&lt;0.001</w:t>
            </w:r>
          </w:p>
        </w:tc>
      </w:tr>
      <w:tr w:rsidR="6CB66994" w14:paraId="67DD6122" w14:textId="77777777" w:rsidTr="3C60AEA8">
        <w:trPr>
          <w:trHeight w:val="300"/>
        </w:trPr>
        <w:tc>
          <w:tcPr>
            <w:tcW w:w="2685" w:type="dxa"/>
            <w:vAlign w:val="center"/>
          </w:tcPr>
          <w:p w14:paraId="0C579EF4" w14:textId="658840EF" w:rsidR="6CB66994" w:rsidRDefault="6CB66994" w:rsidP="6CB66994">
            <w:pPr>
              <w:spacing w:after="0"/>
            </w:pPr>
            <w:r>
              <w:rPr/>
              <w:t>Recovery Performance</w:t>
            </w:r>
          </w:p>
        </w:tc>
        <w:tc>
          <w:tcPr>
            <w:tcW w:w="3270" w:type="dxa"/>
            <w:vAlign w:val="center"/>
          </w:tcPr>
          <w:p w14:paraId="6349CA38" w14:textId="2E72E4DC" w:rsidR="6CB66994" w:rsidRDefault="6CB66994" w:rsidP="6CB66994">
            <w:pPr>
              <w:spacing w:after="0"/>
            </w:pPr>
            <w:r>
              <w:rPr/>
              <w:t>Administrative Burden Capacity</w:t>
            </w:r>
          </w:p>
        </w:tc>
        <w:tc>
          <w:tcPr>
            <w:tcW w:w="1845" w:type="dxa"/>
            <w:vAlign w:val="center"/>
          </w:tcPr>
          <w:p w14:paraId="4ADBC2F7" w14:textId="75291058" w:rsidR="6CB66994" w:rsidRDefault="6CB66994" w:rsidP="6CB66994">
            <w:pPr>
              <w:spacing w:after="0"/>
            </w:pPr>
            <w:r>
              <w:rPr/>
              <w:t>0.077</w:t>
            </w:r>
          </w:p>
        </w:tc>
        <w:tc>
          <w:tcPr>
            <w:tcW w:w="1045" w:type="dxa"/>
            <w:vAlign w:val="center"/>
          </w:tcPr>
          <w:p w14:paraId="1D3FAA04" w14:textId="7A83D570" w:rsidR="6CB66994" w:rsidRDefault="6CB66994" w:rsidP="6CB66994">
            <w:pPr>
              <w:spacing w:after="0"/>
            </w:pPr>
            <w:r>
              <w:rPr/>
              <w:t>0.086</w:t>
            </w:r>
          </w:p>
        </w:tc>
      </w:tr>
      <w:tr w:rsidR="6CB66994" w14:paraId="74F321C0" w14:textId="77777777" w:rsidTr="3C60AEA8">
        <w:trPr>
          <w:trHeight w:val="300"/>
        </w:trPr>
        <w:tc>
          <w:tcPr>
            <w:tcW w:w="2685" w:type="dxa"/>
            <w:vAlign w:val="center"/>
          </w:tcPr>
          <w:p w14:paraId="317BC63E" w14:textId="46F661BA" w:rsidR="6CB66994" w:rsidRDefault="6CB66994" w:rsidP="6CB66994">
            <w:pPr>
              <w:spacing w:after="0"/>
            </w:pPr>
            <w:r>
              <w:rPr/>
              <w:t>Recovery Performance</w:t>
            </w:r>
          </w:p>
        </w:tc>
        <w:tc>
          <w:tcPr>
            <w:tcW w:w="3270" w:type="dxa"/>
            <w:vAlign w:val="center"/>
          </w:tcPr>
          <w:p w14:paraId="1598F741" w14:textId="0F1EC9C1" w:rsidR="6CB66994" w:rsidRDefault="6CB66994" w:rsidP="6CB66994">
            <w:pPr>
              <w:spacing w:after="0"/>
            </w:pPr>
            <w:r>
              <w:rPr/>
              <w:t>State or local government</w:t>
            </w:r>
          </w:p>
        </w:tc>
        <w:tc>
          <w:tcPr>
            <w:tcW w:w="1845" w:type="dxa"/>
            <w:vAlign w:val="center"/>
          </w:tcPr>
          <w:p w14:paraId="2F519403" w14:textId="5BC58468" w:rsidR="6CB66994" w:rsidRDefault="6CB66994" w:rsidP="6CB66994">
            <w:pPr>
              <w:spacing w:after="0"/>
            </w:pPr>
            <w:r>
              <w:rPr/>
              <w:t>-0.038</w:t>
            </w:r>
          </w:p>
        </w:tc>
        <w:tc>
          <w:tcPr>
            <w:tcW w:w="1045" w:type="dxa"/>
            <w:vAlign w:val="center"/>
          </w:tcPr>
          <w:p w14:paraId="0F03C907" w14:textId="186C4644" w:rsidR="6CB66994" w:rsidRDefault="6CB66994" w:rsidP="6CB66994">
            <w:pPr>
              <w:spacing w:after="0"/>
            </w:pPr>
            <w:r>
              <w:rPr/>
              <w:t>0.505</w:t>
            </w:r>
          </w:p>
        </w:tc>
      </w:tr>
      <w:tr w:rsidR="6CB66994" w14:paraId="67CC7F37" w14:textId="77777777" w:rsidTr="3C60AEA8">
        <w:trPr>
          <w:trHeight w:val="300"/>
        </w:trPr>
        <w:tc>
          <w:tcPr>
            <w:tcW w:w="2685" w:type="dxa"/>
            <w:vAlign w:val="center"/>
          </w:tcPr>
          <w:p w14:paraId="00738000" w14:textId="33DD19BF" w:rsidR="6CB66994" w:rsidRDefault="6CB66994" w:rsidP="6CB66994">
            <w:pPr>
              <w:spacing w:after="0"/>
            </w:pPr>
            <w:r>
              <w:rPr/>
              <w:t>Recovery Performance</w:t>
            </w:r>
          </w:p>
        </w:tc>
        <w:tc>
          <w:tcPr>
            <w:tcW w:w="3270" w:type="dxa"/>
            <w:vAlign w:val="center"/>
          </w:tcPr>
          <w:p w14:paraId="1E95914A" w14:textId="74856925" w:rsidR="6CB66994" w:rsidRDefault="53C794AF" w:rsidP="6CB66994">
            <w:pPr>
              <w:spacing w:after="0"/>
            </w:pPr>
            <w:r>
              <w:rPr/>
              <w:t>SVI Theme 3: Minority status &amp; language</w:t>
            </w:r>
          </w:p>
        </w:tc>
        <w:tc>
          <w:tcPr>
            <w:tcW w:w="1845" w:type="dxa"/>
            <w:vAlign w:val="center"/>
          </w:tcPr>
          <w:p w14:paraId="77104703" w14:textId="7F3F07D3" w:rsidR="6CB66994" w:rsidRDefault="6CB66994" w:rsidP="6CB66994">
            <w:pPr>
              <w:spacing w:after="0"/>
            </w:pPr>
            <w:r>
              <w:rPr/>
              <w:t>-0.226</w:t>
            </w:r>
          </w:p>
        </w:tc>
        <w:tc>
          <w:tcPr>
            <w:tcW w:w="1045" w:type="dxa"/>
            <w:vAlign w:val="center"/>
          </w:tcPr>
          <w:p w14:paraId="3456FC25" w14:textId="20721893" w:rsidR="6CB66994" w:rsidRDefault="6CB66994" w:rsidP="6CB66994">
            <w:pPr>
              <w:spacing w:after="0"/>
            </w:pPr>
            <w:r>
              <w:rPr/>
              <w:t>&lt;0.001</w:t>
            </w:r>
          </w:p>
        </w:tc>
      </w:tr>
      <w:tr w:rsidR="6CB66994" w14:paraId="09D5E532" w14:textId="77777777" w:rsidTr="3C60AEA8">
        <w:trPr>
          <w:trHeight w:val="300"/>
        </w:trPr>
        <w:tc>
          <w:tcPr>
            <w:tcW w:w="2685" w:type="dxa"/>
            <w:vAlign w:val="center"/>
          </w:tcPr>
          <w:p w14:paraId="1B67953A" w14:textId="3F8226DF" w:rsidR="6CB66994" w:rsidRDefault="6CB66994" w:rsidP="6CB66994">
            <w:pPr>
              <w:spacing w:after="0"/>
            </w:pPr>
            <w:r>
              <w:rPr/>
              <w:t>Recovery Timeliness</w:t>
            </w:r>
          </w:p>
        </w:tc>
        <w:tc>
          <w:tcPr>
            <w:tcW w:w="3270" w:type="dxa"/>
            <w:vAlign w:val="center"/>
          </w:tcPr>
          <w:p w14:paraId="23CA0ADC" w14:textId="33B524CC" w:rsidR="6CB66994" w:rsidRDefault="6CB66994" w:rsidP="6CB66994">
            <w:pPr>
              <w:spacing w:after="0"/>
            </w:pPr>
            <w:r>
              <w:rPr/>
              <w:t>Administrative Resources</w:t>
            </w:r>
          </w:p>
        </w:tc>
        <w:tc>
          <w:tcPr>
            <w:tcW w:w="1845" w:type="dxa"/>
            <w:vAlign w:val="center"/>
          </w:tcPr>
          <w:p w14:paraId="5DD16F97" w14:textId="1AE1C6EA" w:rsidR="6CB66994" w:rsidRDefault="6CB66994" w:rsidP="6CB66994">
            <w:pPr>
              <w:spacing w:after="0"/>
            </w:pPr>
            <w:r>
              <w:rPr/>
              <w:t>0.080</w:t>
            </w:r>
          </w:p>
        </w:tc>
        <w:tc>
          <w:tcPr>
            <w:tcW w:w="1045" w:type="dxa"/>
            <w:vAlign w:val="center"/>
          </w:tcPr>
          <w:p w14:paraId="29B7F938" w14:textId="19F5D2C9" w:rsidR="6CB66994" w:rsidRDefault="6CB66994" w:rsidP="6CB66994">
            <w:pPr>
              <w:spacing w:after="0"/>
            </w:pPr>
            <w:r>
              <w:rPr/>
              <w:t>0.072</w:t>
            </w:r>
          </w:p>
        </w:tc>
      </w:tr>
      <w:tr w:rsidR="6CB66994" w14:paraId="01259E3A" w14:textId="77777777" w:rsidTr="3C60AEA8">
        <w:trPr>
          <w:trHeight w:val="300"/>
        </w:trPr>
        <w:tc>
          <w:tcPr>
            <w:tcW w:w="2685" w:type="dxa"/>
            <w:vAlign w:val="center"/>
          </w:tcPr>
          <w:p w14:paraId="68298D8F" w14:textId="0C74EAE8" w:rsidR="6CB66994" w:rsidRDefault="6CB66994" w:rsidP="6CB66994">
            <w:pPr>
              <w:spacing w:after="0"/>
            </w:pPr>
            <w:r>
              <w:rPr/>
              <w:t>Recovery Timeliness</w:t>
            </w:r>
          </w:p>
        </w:tc>
        <w:tc>
          <w:tcPr>
            <w:tcW w:w="3270" w:type="dxa"/>
            <w:vAlign w:val="center"/>
          </w:tcPr>
          <w:p w14:paraId="52349D53" w14:textId="5F54189B" w:rsidR="6CB66994" w:rsidRDefault="6CB66994" w:rsidP="6CB66994">
            <w:pPr>
              <w:spacing w:after="0"/>
            </w:pPr>
            <w:r>
              <w:rPr/>
              <w:t>Administrative Burden Capacity</w:t>
            </w:r>
          </w:p>
        </w:tc>
        <w:tc>
          <w:tcPr>
            <w:tcW w:w="1845" w:type="dxa"/>
            <w:vAlign w:val="center"/>
          </w:tcPr>
          <w:p w14:paraId="06D53E0A" w14:textId="174575A9" w:rsidR="6CB66994" w:rsidRDefault="6CB66994" w:rsidP="6CB66994">
            <w:pPr>
              <w:spacing w:after="0"/>
            </w:pPr>
            <w:r>
              <w:rPr/>
              <w:t>0.266</w:t>
            </w:r>
          </w:p>
        </w:tc>
        <w:tc>
          <w:tcPr>
            <w:tcW w:w="1045" w:type="dxa"/>
            <w:vAlign w:val="center"/>
          </w:tcPr>
          <w:p w14:paraId="1F227517" w14:textId="52BA8123" w:rsidR="6CB66994" w:rsidRDefault="6CB66994" w:rsidP="6CB66994">
            <w:pPr>
              <w:spacing w:after="0"/>
            </w:pPr>
            <w:r>
              <w:rPr/>
              <w:t>&lt;0.001</w:t>
            </w:r>
          </w:p>
        </w:tc>
      </w:tr>
      <w:tr w:rsidR="6CB66994" w14:paraId="091803DD" w14:textId="77777777" w:rsidTr="3C60AEA8">
        <w:trPr>
          <w:trHeight w:val="300"/>
        </w:trPr>
        <w:tc>
          <w:tcPr>
            <w:tcW w:w="2685" w:type="dxa"/>
            <w:vAlign w:val="center"/>
          </w:tcPr>
          <w:p w14:paraId="44A4E6E8" w14:textId="4F1A07B4" w:rsidR="6CB66994" w:rsidRDefault="6CB66994" w:rsidP="6CB66994">
            <w:pPr>
              <w:spacing w:after="0"/>
            </w:pPr>
            <w:r>
              <w:rPr/>
              <w:t>Recovery Timeliness</w:t>
            </w:r>
          </w:p>
        </w:tc>
        <w:tc>
          <w:tcPr>
            <w:tcW w:w="3270" w:type="dxa"/>
            <w:vAlign w:val="center"/>
          </w:tcPr>
          <w:p w14:paraId="5FC149E7" w14:textId="2331634B" w:rsidR="6CB66994" w:rsidRDefault="6CB66994" w:rsidP="6CB66994">
            <w:pPr>
              <w:spacing w:after="0"/>
            </w:pPr>
            <w:r>
              <w:rPr/>
              <w:t>State or local government</w:t>
            </w:r>
          </w:p>
        </w:tc>
        <w:tc>
          <w:tcPr>
            <w:tcW w:w="1845" w:type="dxa"/>
            <w:vAlign w:val="center"/>
          </w:tcPr>
          <w:p w14:paraId="39E918E7" w14:textId="770F7C22" w:rsidR="6CB66994" w:rsidRDefault="6CB66994" w:rsidP="6CB66994">
            <w:pPr>
              <w:spacing w:after="0"/>
            </w:pPr>
            <w:r>
              <w:rPr/>
              <w:t>-0.106</w:t>
            </w:r>
          </w:p>
        </w:tc>
        <w:tc>
          <w:tcPr>
            <w:tcW w:w="1045" w:type="dxa"/>
            <w:vAlign w:val="center"/>
          </w:tcPr>
          <w:p w14:paraId="15A0A3EF" w14:textId="09DF305E" w:rsidR="6CB66994" w:rsidRDefault="6CB66994" w:rsidP="6CB66994">
            <w:pPr>
              <w:spacing w:after="0"/>
            </w:pPr>
            <w:r>
              <w:rPr/>
              <w:t>0.050</w:t>
            </w:r>
          </w:p>
        </w:tc>
      </w:tr>
      <w:tr w:rsidR="6CB66994" w14:paraId="4D92C655" w14:textId="77777777" w:rsidTr="3C60AEA8">
        <w:trPr>
          <w:trHeight w:val="300"/>
        </w:trPr>
        <w:tc>
          <w:tcPr>
            <w:tcW w:w="2685" w:type="dxa"/>
            <w:vAlign w:val="center"/>
          </w:tcPr>
          <w:p w14:paraId="7900AADC" w14:textId="04489656" w:rsidR="6CB66994" w:rsidRDefault="6CB66994" w:rsidP="6CB66994">
            <w:pPr>
              <w:spacing w:after="0"/>
            </w:pPr>
            <w:r>
              <w:rPr/>
              <w:t>Recovery Timeliness</w:t>
            </w:r>
          </w:p>
        </w:tc>
        <w:tc>
          <w:tcPr>
            <w:tcW w:w="3270" w:type="dxa"/>
            <w:vAlign w:val="center"/>
          </w:tcPr>
          <w:p w14:paraId="425E34E1" w14:textId="65A49F72" w:rsidR="6CB66994" w:rsidRDefault="53C794AF" w:rsidP="6CB66994">
            <w:pPr>
              <w:spacing w:after="0"/>
            </w:pPr>
            <w:r>
              <w:rPr/>
              <w:t>SVI Theme 1: Socioeconomic</w:t>
            </w:r>
          </w:p>
        </w:tc>
        <w:tc>
          <w:tcPr>
            <w:tcW w:w="1845" w:type="dxa"/>
            <w:vAlign w:val="center"/>
          </w:tcPr>
          <w:p w14:paraId="460D5DF3" w14:textId="30F58C08" w:rsidR="6CB66994" w:rsidRDefault="6CB66994" w:rsidP="6CB66994">
            <w:pPr>
              <w:spacing w:after="0"/>
            </w:pPr>
            <w:r>
              <w:rPr/>
              <w:t>-0.194</w:t>
            </w:r>
          </w:p>
        </w:tc>
        <w:tc>
          <w:tcPr>
            <w:tcW w:w="1045" w:type="dxa"/>
            <w:vAlign w:val="center"/>
          </w:tcPr>
          <w:p w14:paraId="1C619A7C" w14:textId="24A4BA84" w:rsidR="6CB66994" w:rsidRDefault="6CB66994" w:rsidP="6CB66994">
            <w:pPr>
              <w:spacing w:after="0"/>
            </w:pPr>
            <w:r>
              <w:rPr/>
              <w:t>0.004</w:t>
            </w:r>
          </w:p>
        </w:tc>
      </w:tr>
      <w:tr w:rsidR="6CB66994" w14:paraId="1706BD25" w14:textId="77777777" w:rsidTr="3C60AEA8">
        <w:trPr>
          <w:trHeight w:val="300"/>
        </w:trPr>
        <w:tc>
          <w:tcPr>
            <w:tcW w:w="2685" w:type="dxa"/>
            <w:vAlign w:val="center"/>
          </w:tcPr>
          <w:p w14:paraId="509146BF" w14:textId="0ECA044A" w:rsidR="6CB66994" w:rsidRDefault="6CB66994" w:rsidP="6CB66994">
            <w:pPr>
              <w:spacing w:after="0"/>
            </w:pPr>
            <w:r>
              <w:rPr/>
              <w:t>Recovery Timeliness</w:t>
            </w:r>
          </w:p>
        </w:tc>
        <w:tc>
          <w:tcPr>
            <w:tcW w:w="3270" w:type="dxa"/>
            <w:vAlign w:val="center"/>
          </w:tcPr>
          <w:p w14:paraId="6C348F57" w14:textId="6CA2C52B" w:rsidR="6CB66994" w:rsidRDefault="53C794AF" w:rsidP="6CB66994">
            <w:pPr>
              <w:spacing w:after="0"/>
            </w:pPr>
            <w:r>
              <w:rPr/>
              <w:t>SVI Theme 2: Household composition &amp; disability</w:t>
            </w:r>
          </w:p>
        </w:tc>
        <w:tc>
          <w:tcPr>
            <w:tcW w:w="1845" w:type="dxa"/>
            <w:vAlign w:val="center"/>
          </w:tcPr>
          <w:p w14:paraId="01BCF226" w14:textId="49F6FF66" w:rsidR="6CB66994" w:rsidRDefault="6CB66994" w:rsidP="6CB66994">
            <w:pPr>
              <w:spacing w:after="0"/>
            </w:pPr>
            <w:r>
              <w:rPr/>
              <w:t>-0.159</w:t>
            </w:r>
          </w:p>
        </w:tc>
        <w:tc>
          <w:tcPr>
            <w:tcW w:w="1045" w:type="dxa"/>
            <w:vAlign w:val="center"/>
          </w:tcPr>
          <w:p w14:paraId="355AA12B" w14:textId="5DFDCCC6" w:rsidR="6CB66994" w:rsidRDefault="6CB66994" w:rsidP="6CB66994">
            <w:pPr>
              <w:spacing w:after="0"/>
            </w:pPr>
            <w:r>
              <w:rPr/>
              <w:t>0.004</w:t>
            </w:r>
          </w:p>
        </w:tc>
      </w:tr>
    </w:tbl>
    <w:p w14:paraId="043065DF" w14:textId="36D80025" w:rsidR="66B70613" w:rsidRDefault="66B70613" w:rsidP="6CB66994">
      <w:pPr>
        <w:spacing w:before="240" w:after="240"/>
      </w:pPr>
      <w:r>
        <w:rPr>
          <w:rFonts w:ascii="Aptos" w:hAnsi="Aptos"/>
        </w:rPr>
        <w:t>Note: Table 2 reports standardized coefficients from the two-factor SEM. Exact p-values are shown because several relationships are substantively interesting but only marginal by conventional thresholds.</w:t>
      </w:r>
    </w:p>
    <w:p w14:paraId="59A1F56C" w14:textId="48B514F1" w:rsidR="45DE8FF0" w:rsidRDefault="3C407A59" w:rsidP="6CB66994">
      <w:pPr>
        <w:spacing w:before="240" w:after="240"/>
      </w:pPr>
      <w:r w:rsidRPr="3C60AEA8">
        <w:rPr>
          <w:rFonts w:ascii="Aptos" w:eastAsia="Aptos" w:hAnsi="Aptos" w:cs="Aptos"/>
          <w:i/>
          <w:iCs/>
        </w:rPr>
        <w:t xml:space="preserve">5.2.1. Relationships with </w:t>
      </w:r>
      <w:r w:rsidR="73AE4A41" w:rsidRPr="3C60AEA8">
        <w:rPr>
          <w:rFonts w:ascii="Aptos" w:eastAsia="Aptos" w:hAnsi="Aptos" w:cs="Aptos"/>
          <w:i/>
          <w:iCs/>
        </w:rPr>
        <w:t>R</w:t>
      </w:r>
      <w:r w:rsidR="45DE8FF0" w:rsidRPr="3C60AEA8">
        <w:rPr>
          <w:rFonts w:ascii="Aptos" w:eastAsia="Aptos" w:hAnsi="Aptos" w:cs="Aptos"/>
          <w:i/>
          <w:iCs/>
        </w:rPr>
        <w:t xml:space="preserve">ecovery </w:t>
      </w:r>
      <w:r w:rsidR="72C454B6" w:rsidRPr="3C60AEA8">
        <w:rPr>
          <w:rFonts w:ascii="Aptos" w:eastAsia="Aptos" w:hAnsi="Aptos" w:cs="Aptos"/>
          <w:i/>
          <w:iCs/>
        </w:rPr>
        <w:t>P</w:t>
      </w:r>
      <w:r w:rsidR="45DE8FF0" w:rsidRPr="3C60AEA8">
        <w:rPr>
          <w:rFonts w:ascii="Aptos" w:eastAsia="Aptos" w:hAnsi="Aptos" w:cs="Aptos"/>
          <w:i/>
          <w:iCs/>
        </w:rPr>
        <w:t>erformance</w:t>
      </w:r>
    </w:p>
    <w:p w14:paraId="5066E908" w14:textId="36205985" w:rsidR="7EAF20D8" w:rsidRDefault="649D4F6B" w:rsidP="3C60AEA8">
      <w:pPr>
        <w:spacing w:before="240" w:after="240"/>
        <w:rPr>
          <w:rFonts w:ascii="Aptos" w:eastAsia="Aptos" w:hAnsi="Aptos" w:cs="Aptos"/>
        </w:rPr>
      </w:pPr>
      <w:r>
        <w:rPr>
          <w:rFonts w:ascii="Aptos" w:hAnsi="Aptos"/>
        </w:rPr>
        <w:t>Administrative Resources exhibit a negative association with Recovery Performance (beta = -0.170, p &lt; 0.001), indicating that jurisdictions with higher staffing and payroll intensity do not necessarily display stronger financial execution or program completion once workload pressure and contextual conditions are taken into account. By contrast, Administrative Burden Capacity is positive but only marginally associated with Recovery Performance (beta = 0.077, p = 0.086). The revised interpretation is therefore more restrained than in the earlier draft: manageable workload appears helpful for performance, but the evidence is much stronger for timeliness than for the broader Recovery Performance construct.</w:t>
      </w:r>
    </w:p>
    <w:p w14:paraId="149CB813" w14:textId="48D6433A" w:rsidR="7EAF20D8" w:rsidRDefault="649D4F6B" w:rsidP="6CB66994">
      <w:pPr>
        <w:spacing w:before="240" w:after="240"/>
        <w:rPr>
          <w:rFonts w:ascii="Aptos" w:eastAsia="Aptos" w:hAnsi="Aptos" w:cs="Aptos"/>
        </w:rPr>
      </w:pPr>
      <w:r>
        <w:rPr>
          <w:rFonts w:ascii="Aptos" w:hAnsi="Aptos"/>
        </w:rPr>
        <w:t>Among the covariates, SVI Theme 3 (minority status and language vulnerability) shows the clearest association with Recovery Performance (beta = -0.226, p &lt; 0.001). The predicted relationship plot in Figure 2(a) indicates that Recovery Performance tends to decline as minority and language vulnerability increase. This pattern is consistent with the view that socially complex and linguistically diverse recovery environments may require more intensive administrative outreach, coordination, and verification, thereby making financial throughput and completion more difficult.</w:t>
      </w:r>
    </w:p>
    <w:p w14:paraId="03955421" w14:textId="1F2568AF" w:rsidR="1AD017FB" w:rsidRDefault="1AD017FB" w:rsidP="3C60AEA8">
      <w:pPr>
        <w:spacing w:before="240" w:after="240"/>
        <w:jc w:val="center"/>
      </w:pPr>
      <w:r>
        <w:rPr>
          <w:noProof/>
        </w:rPr>
        <w:lastRenderedPageBreak/>
        <w:drawing>
          <wp:inline distT="0" distB="0" distL="0" distR="0" wp14:anchorId="22075CA0" wp14:editId="10C9D9AC">
            <wp:extent cx="5943600" cy="4429125"/>
            <wp:effectExtent l="0" t="0" r="0" b="0"/>
            <wp:docPr id="72241509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0773914" name="Picture 2130773914"/>
                    <pic:cNvPicPr/>
                  </pic:nvPicPr>
                  <pic:blipFill>
                    <a:blip r:embed="rId8">
                      <a:extLst>
                        <a:ext uri="{28A0092B-C50C-407E-A947-70E740481C1C}">
                          <a14:useLocalDpi xmlns:a14="http://schemas.microsoft.com/office/drawing/2010/main"/>
                        </a:ext>
                      </a:extLst>
                    </a:blip>
                    <a:stretch>
                      <a:fillRect/>
                    </a:stretch>
                  </pic:blipFill>
                  <pic:spPr>
                    <a:xfrm>
                      <a:off x="0" y="0"/>
                      <a:ext cx="5943600" cy="4429125"/>
                    </a:xfrm>
                    <a:prstGeom prst="rect">
                      <a:avLst/>
                    </a:prstGeom>
                  </pic:spPr>
                </pic:pic>
              </a:graphicData>
            </a:graphic>
          </wp:inline>
        </w:drawing>
      </w:r>
    </w:p>
    <w:p w14:paraId="016EDBCC" w14:textId="3C59E3CB" w:rsidR="1AD017FB" w:rsidRDefault="1AD017FB" w:rsidP="3C60AEA8">
      <w:pPr>
        <w:spacing w:before="240" w:after="240"/>
        <w:rPr>
          <w:rFonts w:ascii="Aptos" w:eastAsia="Aptos" w:hAnsi="Aptos" w:cs="Aptos"/>
        </w:rPr>
      </w:pPr>
      <w:r w:rsidRPr="3C60AEA8">
        <w:rPr>
          <w:rFonts w:ascii="Aptos" w:eastAsia="Aptos" w:hAnsi="Aptos" w:cs="Aptos"/>
          <w:b/>
          <w:bCs/>
        </w:rPr>
        <w:t>Figure 2</w:t>
      </w:r>
      <w:r w:rsidRPr="3C60AEA8">
        <w:rPr>
          <w:rFonts w:ascii="Aptos" w:eastAsia="Aptos" w:hAnsi="Aptos" w:cs="Aptos"/>
        </w:rPr>
        <w:t>. SEM-implied predicted relationship: (a) SVI Theme 3: minority status and language → Recovery Performance, (b) SVI Theme 1: socioeconomic → Recovery Timeliness, and (c) SVI Theme 2: household composition/disability → Recovery Timeliness. Note: LOWESS (Locally Weighted Scatterplot Smoothing) is a nonparametric regression method that fits localized weighted regressions to subsets of the data, producing a smooth curve that reveals underlying patterns and relationships without imposing a predetermined functional specification (Sharma et al., 2015).</w:t>
      </w:r>
    </w:p>
    <w:p w14:paraId="510688BB" w14:textId="0FFC7B45" w:rsidR="503AB21D" w:rsidRDefault="503AB21D" w:rsidP="41D8F452">
      <w:pPr>
        <w:spacing w:before="240" w:after="240"/>
        <w:rPr>
          <w:rFonts w:ascii="Aptos" w:eastAsia="Aptos" w:hAnsi="Aptos" w:cs="Aptos"/>
          <w:u w:val="single"/>
        </w:rPr>
      </w:pPr>
      <w:r w:rsidRPr="3C60AEA8">
        <w:rPr>
          <w:rFonts w:ascii="Aptos" w:eastAsia="Aptos" w:hAnsi="Aptos" w:cs="Aptos"/>
          <w:i/>
          <w:iCs/>
        </w:rPr>
        <w:t xml:space="preserve">5.2.2. Relationships with </w:t>
      </w:r>
      <w:r w:rsidR="5B4E6B21" w:rsidRPr="3C60AEA8">
        <w:rPr>
          <w:rFonts w:ascii="Aptos" w:eastAsia="Aptos" w:hAnsi="Aptos" w:cs="Aptos"/>
          <w:i/>
          <w:iCs/>
        </w:rPr>
        <w:t>R</w:t>
      </w:r>
      <w:r w:rsidRPr="3C60AEA8">
        <w:rPr>
          <w:rFonts w:ascii="Aptos" w:eastAsia="Aptos" w:hAnsi="Aptos" w:cs="Aptos"/>
          <w:i/>
          <w:iCs/>
        </w:rPr>
        <w:t xml:space="preserve">ecovery </w:t>
      </w:r>
      <w:r w:rsidR="26D957C2" w:rsidRPr="3C60AEA8">
        <w:rPr>
          <w:rFonts w:ascii="Aptos" w:eastAsia="Aptos" w:hAnsi="Aptos" w:cs="Aptos"/>
          <w:i/>
          <w:iCs/>
        </w:rPr>
        <w:t>T</w:t>
      </w:r>
      <w:r w:rsidRPr="3C60AEA8">
        <w:rPr>
          <w:rFonts w:ascii="Aptos" w:eastAsia="Aptos" w:hAnsi="Aptos" w:cs="Aptos"/>
          <w:i/>
          <w:iCs/>
        </w:rPr>
        <w:t>imeliness</w:t>
      </w:r>
    </w:p>
    <w:p w14:paraId="264DAE23" w14:textId="4F4C42DB" w:rsidR="4658A579" w:rsidRDefault="2167C3D6" w:rsidP="3C60AEA8">
      <w:pPr>
        <w:spacing w:before="240" w:after="240"/>
        <w:rPr>
          <w:rFonts w:ascii="Aptos" w:eastAsia="Aptos" w:hAnsi="Aptos" w:cs="Aptos"/>
        </w:rPr>
      </w:pPr>
      <w:r>
        <w:rPr>
          <w:rFonts w:ascii="Aptos" w:hAnsi="Aptos"/>
        </w:rPr>
        <w:t>For Recovery Timeliness, Administrative Burden Capacity plays the clearest role. Lower workload pressure relative to available staffing is strongly associated with faster and more consistent recovery implementation (beta = 0.266, p &lt; 0.001), indicating that administrative strain is an important constraint on implementation speed. Administrative Resources are positively associated with Recovery Timeliness as well, but only marginally (beta = 0.080, p = 0.072). This contrast reinforces the main substantive message of the revised paper: resource levels matter, but workload manageability appears to be the more consistent cross-sectional correlate of timely recovery administration.</w:t>
      </w:r>
    </w:p>
    <w:p w14:paraId="0A3F9C38" w14:textId="759C76BB" w:rsidR="4658A579" w:rsidRDefault="2167C3D6" w:rsidP="3C60AEA8">
      <w:pPr>
        <w:spacing w:before="240" w:after="240"/>
      </w:pPr>
      <w:r>
        <w:rPr>
          <w:rFonts w:ascii="Aptos" w:hAnsi="Aptos"/>
        </w:rPr>
        <w:t>Two dimensions of social vulnerability are also significantly associated with Recovery Timeliness. Higher values of SVI Theme 1 (socioeconomic vulnerability) and SVI Theme 2 (household composition and disability) are associated with slower implementation (beta = -0.194, p = 0.004; beta = -0.159, p = 0.004). Figures 2(b) and 2(c) show these downward patterns. The results suggest that jurisdictions serving more socioeconomically vulnerable and demographically constrained populations may face additional administrative frictions that slow recovery even after capacity proxies are taken into account.</w:t>
      </w:r>
    </w:p>
    <w:p w14:paraId="1BFB1D96" w14:textId="60D83CB4" w:rsidR="4658A579" w:rsidRDefault="2167C3D6" w:rsidP="3C60AEA8">
      <w:pPr>
        <w:spacing w:before="240" w:after="240"/>
      </w:pPr>
      <w:r>
        <w:rPr>
          <w:rFonts w:ascii="Aptos" w:hAnsi="Aptos"/>
        </w:rPr>
        <w:t>The state-versus-local indicator is not statistically meaningful for Recovery Performance (beta = -0.038, p = 0.505) and is only borderline negative for Recovery Timeliness (beta = -0.106, p = 0.050). The revised manuscript therefore does not describe governmental level as a moderator of capacity effects. Instead, the state/local indicator functions as a control variable and a descriptive comparison device. The negative sign for timeliness suggests that local governments may, on average, move somewhat faster than state agencies once other covariates are controlled, but the evidence is too modest to support strong claims about institutional superiority.</w:t>
      </w:r>
    </w:p>
    <w:p w14:paraId="6C0AFC93" w14:textId="2A8DC245" w:rsidR="50075B0F" w:rsidRDefault="50075B0F" w:rsidP="41D8F452">
      <w:pPr>
        <w:spacing w:before="240" w:after="240"/>
      </w:pPr>
      <w:r>
        <w:rPr>
          <w:rFonts w:ascii="Aptos" w:hAnsi="Aptos"/>
          <w:i/>
        </w:rPr>
        <w:t>5.2.3. SEM-implied predicted relationship plots between capacity and outcomes</w:t>
      </w:r>
    </w:p>
    <w:p w14:paraId="420FFF1E" w14:textId="4F087635" w:rsidR="0A0602ED" w:rsidRDefault="0A0602ED" w:rsidP="3C60AEA8">
      <w:pPr>
        <w:spacing w:before="240" w:after="240"/>
        <w:rPr>
          <w:rFonts w:ascii="Aptos" w:eastAsia="Aptos" w:hAnsi="Aptos" w:cs="Aptos"/>
        </w:rPr>
      </w:pPr>
      <w:r>
        <w:rPr>
          <w:rFonts w:ascii="Aptos" w:hAnsi="Aptos"/>
        </w:rPr>
        <w:t>The SEM-implied predicted relationship plots further indicate that Administrative Burden Capacity explains more of the visible variation in recovery outcomes than Administrative Resources alone. Figures 3(a) and 3(b) show upward associations between Administrative Burden Capacity and both Recovery Performance and Recovery Timeliness, with the relationship appearing substantially stronger for timeliness. These plots are useful visualization tools, but they should not be interpreted as machine-learning partial dependence plots or as evidence of nonlinear causal effects. They are derived from the fitted SEM and are therefore best read as model-implied association curves.</w:t>
      </w:r>
    </w:p>
    <w:p w14:paraId="4636FE8C" w14:textId="0B55B37B" w:rsidR="0FA9DDF5" w:rsidRDefault="0FA9DDF5" w:rsidP="0FA9DDF5">
      <w:pPr>
        <w:spacing w:before="240" w:after="240"/>
        <w:rPr>
          <w:rFonts w:ascii="Aptos" w:eastAsia="Aptos" w:hAnsi="Aptos" w:cs="Aptos"/>
          <w:i/>
          <w:iCs/>
        </w:rPr>
      </w:pPr>
    </w:p>
    <w:p w14:paraId="03496357" w14:textId="0568C743" w:rsidR="1C684160" w:rsidRDefault="1C684160" w:rsidP="0FA9DDF5">
      <w:pPr>
        <w:spacing w:before="240" w:after="240"/>
      </w:pPr>
      <w:r>
        <w:rPr>
          <w:noProof/>
        </w:rPr>
        <w:drawing>
          <wp:inline distT="0" distB="0" distL="0" distR="0" wp14:anchorId="3953DFFF" wp14:editId="7C17ECC4">
            <wp:extent cx="5943600" cy="4305300"/>
            <wp:effectExtent l="0" t="0" r="0" b="0"/>
            <wp:docPr id="126594069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5940695" name="Picture 1265940695"/>
                    <pic:cNvPicPr/>
                  </pic:nvPicPr>
                  <pic:blipFill>
                    <a:blip r:embed="rId9">
                      <a:extLst>
                        <a:ext uri="{28A0092B-C50C-407E-A947-70E740481C1C}">
                          <a14:useLocalDpi xmlns:a14="http://schemas.microsoft.com/office/drawing/2010/main"/>
                        </a:ext>
                      </a:extLst>
                    </a:blip>
                    <a:stretch>
                      <a:fillRect/>
                    </a:stretch>
                  </pic:blipFill>
                  <pic:spPr>
                    <a:xfrm>
                      <a:off x="0" y="0"/>
                      <a:ext cx="5943600" cy="4305300"/>
                    </a:xfrm>
                    <a:prstGeom prst="rect">
                      <a:avLst/>
                    </a:prstGeom>
                  </pic:spPr>
                </pic:pic>
              </a:graphicData>
            </a:graphic>
          </wp:inline>
        </w:drawing>
      </w:r>
    </w:p>
    <w:p w14:paraId="11F8E410" w14:textId="4FD4A01B" w:rsidR="1352F867" w:rsidRDefault="1352F867" w:rsidP="4563BE08">
      <w:pPr>
        <w:spacing w:before="240" w:after="240"/>
        <w:rPr>
          <w:rFonts w:ascii="Aptos" w:eastAsia="Aptos" w:hAnsi="Aptos" w:cs="Aptos"/>
        </w:rPr>
      </w:pPr>
      <w:r>
        <w:rPr>
          <w:rFonts w:ascii="Aptos" w:hAnsi="Aptos"/>
          <w:b/>
        </w:rPr>
        <w:t>Figure 3. SEM-implied predicted relationship: (a) Administrative Burden Capacity -&gt; Recovery Performance, (b) Administrative Burden Capacity -&gt; Recovery Timeliness, (c) Administrative Resources -&gt; Recovery Performance, and (d) Administrative Resources -&gt; Recovery Timeliness.</w:t>
      </w:r>
    </w:p>
    <w:p w14:paraId="695904FA" w14:textId="740CF8F0" w:rsidR="71C71175" w:rsidRDefault="7D174D1D" w:rsidP="3C60AEA8">
      <w:pPr>
        <w:spacing w:before="240" w:after="240"/>
        <w:rPr>
          <w:rFonts w:ascii="Aptos" w:eastAsia="Aptos" w:hAnsi="Aptos" w:cs="Aptos"/>
        </w:rPr>
      </w:pPr>
      <w:r>
        <w:rPr>
          <w:rFonts w:ascii="Aptos" w:hAnsi="Aptos"/>
        </w:rPr>
        <w:t>Administrative Resources exhibit a more complex relationship with recovery outcomes. Figure 3(c) mirrors the negative coefficient reported in Table 2 for Recovery Performance, whereas Figure 3(d) reflects the weaker positive association with Recovery Timeliness. One plausible interpretation is that larger staffing and payroll footprints are characteristic of more complex or higher-demand recovery portfolios. Once workload is modeled explicitly, the resource indicators no longer behave like simple monotonic measures of administrative effectiveness.</w:t>
      </w:r>
    </w:p>
    <w:p w14:paraId="707B5838" w14:textId="46444513" w:rsidR="05F7FD89" w:rsidRDefault="24DA69D4" w:rsidP="3C60AEA8">
      <w:pPr>
        <w:spacing w:before="240" w:after="240"/>
        <w:rPr>
          <w:rFonts w:ascii="Aptos" w:eastAsia="Aptos" w:hAnsi="Aptos" w:cs="Aptos"/>
        </w:rPr>
      </w:pPr>
      <w:r w:rsidRPr="5A746606">
        <w:rPr>
          <w:rFonts w:ascii="Aptos" w:eastAsia="Aptos" w:hAnsi="Aptos" w:cs="Aptos"/>
        </w:rPr>
        <w:lastRenderedPageBreak/>
        <w:t xml:space="preserve">It is also important to note that most state agencies and local governments (counties) maintained relatively limited staffing resources dedicated to administering CDBG-DR housing recovery programs, as illustrated in Figure </w:t>
      </w:r>
      <w:r w:rsidR="15662F84" w:rsidRPr="5A746606">
        <w:rPr>
          <w:rFonts w:ascii="Aptos" w:eastAsia="Aptos" w:hAnsi="Aptos" w:cs="Aptos"/>
        </w:rPr>
        <w:t>3</w:t>
      </w:r>
      <w:r w:rsidRPr="5A746606">
        <w:rPr>
          <w:rFonts w:ascii="Aptos" w:eastAsia="Aptos" w:hAnsi="Aptos" w:cs="Aptos"/>
        </w:rPr>
        <w:t>. As a result, the standardized values of both Administrative Resources and Administrative Burden Capacity were concentrated near zero for many jurisdictions, leading to more modest and sometimes less stable marginal effects across recovery outcomes. Th</w:t>
      </w:r>
      <w:r w:rsidR="670BE4F2" w:rsidRPr="5A746606">
        <w:rPr>
          <w:rFonts w:ascii="Aptos" w:eastAsia="Aptos" w:hAnsi="Aptos" w:cs="Aptos"/>
        </w:rPr>
        <w:t>is</w:t>
      </w:r>
      <w:r w:rsidRPr="5A746606">
        <w:rPr>
          <w:rFonts w:ascii="Aptos" w:eastAsia="Aptos" w:hAnsi="Aptos" w:cs="Aptos"/>
        </w:rPr>
        <w:t xml:space="preserve"> </w:t>
      </w:r>
      <w:r w:rsidR="11C20C62" w:rsidRPr="5A746606">
        <w:rPr>
          <w:rFonts w:ascii="Aptos" w:eastAsia="Aptos" w:hAnsi="Aptos" w:cs="Aptos"/>
        </w:rPr>
        <w:t>suggests that improving recovery outcomes requires not only reducing administrative workload pressures but also strengthening staffing and fiscal resources. However, increasing administrative resources alone is insufficient to ensure effective recovery implementation. Rather, enhancing administrative capacity requires a balanced combination of adequate resources and manageable program demands, although the results indicate that manageable workload conditions played a particularly critical role in supporting successful recovery outcomes.</w:t>
      </w:r>
    </w:p>
    <w:p w14:paraId="10E3E765" w14:textId="050D3BC2" w:rsidR="05F7FD89" w:rsidRDefault="4E2120C4" w:rsidP="3C60AEA8">
      <w:pPr>
        <w:spacing w:before="240" w:after="240"/>
        <w:rPr>
          <w:rFonts w:ascii="Aptos" w:eastAsia="Aptos" w:hAnsi="Aptos" w:cs="Aptos"/>
        </w:rPr>
      </w:pPr>
      <w:r>
        <w:rPr>
          <w:rFonts w:ascii="Aptos" w:hAnsi="Aptos"/>
        </w:rPr>
        <w:t>In addition to the SEM-implied predicted relationship plots, supplementary indicator-level predicted relationship plots were generated using the observed variables that underlie the latent capacity constructs. These figures are presented in Appendix Figures A1-A5. They display greater dispersion because the observed variables are skewed and include more extreme values, but they generally support the same broad interpretation: staff-scaled workload measures are more consistently aligned with recovery timeliness than raw resource intensity alone.</w:t>
      </w:r>
    </w:p>
    <w:p w14:paraId="1022F8C0" w14:textId="7C6DE8EB" w:rsidR="242A5FEC" w:rsidRDefault="242A5FEC" w:rsidP="4563BE08">
      <w:pPr>
        <w:spacing w:before="240" w:after="240"/>
        <w:rPr>
          <w:rFonts w:ascii="Aptos" w:eastAsia="Aptos" w:hAnsi="Aptos" w:cs="Aptos"/>
          <w:b/>
          <w:bCs/>
        </w:rPr>
      </w:pPr>
      <w:r w:rsidRPr="41D8F452">
        <w:rPr>
          <w:rFonts w:ascii="Aptos" w:eastAsia="Aptos" w:hAnsi="Aptos" w:cs="Aptos"/>
          <w:b/>
          <w:bCs/>
        </w:rPr>
        <w:t>5.</w:t>
      </w:r>
      <w:r w:rsidR="6B34F7C5" w:rsidRPr="41D8F452">
        <w:rPr>
          <w:rFonts w:ascii="Aptos" w:eastAsia="Aptos" w:hAnsi="Aptos" w:cs="Aptos"/>
          <w:b/>
          <w:bCs/>
        </w:rPr>
        <w:t>3</w:t>
      </w:r>
      <w:r w:rsidRPr="41D8F452">
        <w:rPr>
          <w:rFonts w:ascii="Aptos" w:eastAsia="Aptos" w:hAnsi="Aptos" w:cs="Aptos"/>
          <w:b/>
          <w:bCs/>
        </w:rPr>
        <w:t xml:space="preserve">. </w:t>
      </w:r>
      <w:r w:rsidR="14E188A8" w:rsidRPr="41D8F452">
        <w:rPr>
          <w:rFonts w:ascii="Aptos" w:eastAsia="Aptos" w:hAnsi="Aptos" w:cs="Aptos"/>
          <w:b/>
          <w:bCs/>
        </w:rPr>
        <w:t>Spatial patterns of governmental capacity and recovery outcomes</w:t>
      </w:r>
    </w:p>
    <w:p w14:paraId="2886CA0B" w14:textId="4EDE0FB7" w:rsidR="2CAA2765" w:rsidRDefault="47DE522C" w:rsidP="4563BE08">
      <w:pPr>
        <w:spacing w:before="240" w:after="240"/>
      </w:pPr>
      <w:r>
        <w:rPr>
          <w:rFonts w:ascii="Aptos" w:hAnsi="Aptos"/>
        </w:rPr>
        <w:t>To complement the SEM results, descriptive spatial analyses were conducted to examine the geographic distribution of governmental capacity and disaster recovery outcomes across U.S. counties. Figures 4(a)-4(d) illustrate the standardized county-level patterns of Administrative Resources, Administrative Burden Capacity, Recovery Performance, and Recovery Timeliness, respectively, while Figures 5(a) and 5(b) present quadrant classifications that jointly characterize Administrative Burden Capacity with Recovery Timeliness and Recovery Performance. These maps are intended as descriptive overlays and screening tools rather than as statistical tests of spatial dependence.</w:t>
      </w:r>
    </w:p>
    <w:p w14:paraId="238E171C" w14:textId="5461202B" w:rsidR="708EE088" w:rsidRDefault="708EE088" w:rsidP="0FA9DDF5">
      <w:pPr>
        <w:spacing w:before="240" w:after="240"/>
        <w:rPr>
          <w:rFonts w:ascii="Aptos" w:eastAsia="Aptos" w:hAnsi="Aptos" w:cs="Aptos"/>
        </w:rPr>
      </w:pPr>
      <w:r w:rsidRPr="3C60AEA8">
        <w:rPr>
          <w:rFonts w:ascii="Aptos" w:eastAsia="Aptos" w:hAnsi="Aptos" w:cs="Aptos"/>
          <w:i/>
          <w:iCs/>
        </w:rPr>
        <w:t xml:space="preserve">5.3.1. Spatial patterns of latent </w:t>
      </w:r>
      <w:r w:rsidR="53761C26" w:rsidRPr="3C60AEA8">
        <w:rPr>
          <w:rFonts w:ascii="Aptos" w:eastAsia="Aptos" w:hAnsi="Aptos" w:cs="Aptos"/>
          <w:i/>
          <w:iCs/>
        </w:rPr>
        <w:t xml:space="preserve">capacity-outcome </w:t>
      </w:r>
      <w:r w:rsidRPr="3C60AEA8">
        <w:rPr>
          <w:rFonts w:ascii="Aptos" w:eastAsia="Aptos" w:hAnsi="Aptos" w:cs="Aptos"/>
          <w:i/>
          <w:iCs/>
        </w:rPr>
        <w:t>constructs</w:t>
      </w:r>
    </w:p>
    <w:p w14:paraId="4C549F21" w14:textId="0E5B4224" w:rsidR="47DE522C" w:rsidRDefault="5864FA2F" w:rsidP="3C60AEA8">
      <w:pPr>
        <w:spacing w:before="240" w:after="240"/>
        <w:rPr>
          <w:rFonts w:ascii="Aptos" w:eastAsia="Aptos" w:hAnsi="Aptos" w:cs="Aptos"/>
        </w:rPr>
      </w:pPr>
      <w:r w:rsidRPr="3C60AEA8">
        <w:rPr>
          <w:rFonts w:ascii="Aptos" w:eastAsia="Aptos" w:hAnsi="Aptos" w:cs="Aptos"/>
        </w:rPr>
        <w:t xml:space="preserve">The spatial distribution of Administrative Resources (Figure 4(a)) revealed a highly uneven pattern, with relatively high levels concentrated in a limited number of counties, </w:t>
      </w:r>
      <w:r w:rsidRPr="3C60AEA8">
        <w:rPr>
          <w:rFonts w:ascii="Aptos" w:eastAsia="Aptos" w:hAnsi="Aptos" w:cs="Aptos"/>
        </w:rPr>
        <w:lastRenderedPageBreak/>
        <w:t>particularly in parts of the Northeast, Midwest, and selected metropolitan areas. In contrast, many counties across the South and interior regions exhibit</w:t>
      </w:r>
      <w:r w:rsidR="6277A73D" w:rsidRPr="3C60AEA8">
        <w:rPr>
          <w:rFonts w:ascii="Aptos" w:eastAsia="Aptos" w:hAnsi="Aptos" w:cs="Aptos"/>
        </w:rPr>
        <w:t>ed</w:t>
      </w:r>
      <w:r w:rsidRPr="3C60AEA8">
        <w:rPr>
          <w:rFonts w:ascii="Aptos" w:eastAsia="Aptos" w:hAnsi="Aptos" w:cs="Aptos"/>
        </w:rPr>
        <w:t xml:space="preserve"> comparatively lower levels of staffing and payroll intensity. This pattern reflects broader regional disparities in governmental fiscal and institutional capacity, suggesting that administrative resources </w:t>
      </w:r>
      <w:r w:rsidR="78B2AB63" w:rsidRPr="3C60AEA8">
        <w:rPr>
          <w:rFonts w:ascii="Aptos" w:eastAsia="Aptos" w:hAnsi="Aptos" w:cs="Aptos"/>
        </w:rPr>
        <w:t>were</w:t>
      </w:r>
      <w:r w:rsidRPr="3C60AEA8">
        <w:rPr>
          <w:rFonts w:ascii="Aptos" w:eastAsia="Aptos" w:hAnsi="Aptos" w:cs="Aptos"/>
        </w:rPr>
        <w:t xml:space="preserve"> spatially clustered rather than uniformly distributed. </w:t>
      </w:r>
      <w:r w:rsidR="4798C59C" w:rsidRPr="3C60AEA8">
        <w:rPr>
          <w:rFonts w:ascii="Aptos" w:eastAsia="Aptos" w:hAnsi="Aptos" w:cs="Aptos"/>
        </w:rPr>
        <w:t>Further</w:t>
      </w:r>
      <w:r w:rsidRPr="3C60AEA8">
        <w:rPr>
          <w:rFonts w:ascii="Aptos" w:eastAsia="Aptos" w:hAnsi="Aptos" w:cs="Aptos"/>
        </w:rPr>
        <w:t>, the results indicate that administrative resources remain</w:t>
      </w:r>
      <w:r w:rsidR="7DE7D4AF" w:rsidRPr="3C60AEA8">
        <w:rPr>
          <w:rFonts w:ascii="Aptos" w:eastAsia="Aptos" w:hAnsi="Aptos" w:cs="Aptos"/>
        </w:rPr>
        <w:t>ed</w:t>
      </w:r>
      <w:r w:rsidRPr="3C60AEA8">
        <w:rPr>
          <w:rFonts w:ascii="Aptos" w:eastAsia="Aptos" w:hAnsi="Aptos" w:cs="Aptos"/>
        </w:rPr>
        <w:t xml:space="preserve"> limited in most counties, highlighting persistent constraints in local staffing and fiscal capacity for administering disaster recovery programs.</w:t>
      </w:r>
    </w:p>
    <w:p w14:paraId="37AF7C59" w14:textId="6D43F4D6" w:rsidR="016FF7E5" w:rsidRDefault="016FF7E5" w:rsidP="0FA9DDF5">
      <w:pPr>
        <w:spacing w:before="240" w:after="240"/>
        <w:jc w:val="center"/>
      </w:pPr>
      <w:r>
        <w:rPr>
          <w:noProof/>
        </w:rPr>
        <w:drawing>
          <wp:inline distT="0" distB="0" distL="0" distR="0" wp14:anchorId="2F484954" wp14:editId="6677B879">
            <wp:extent cx="5943600" cy="3371850"/>
            <wp:effectExtent l="0" t="0" r="0" b="0"/>
            <wp:docPr id="127669130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6691303" name="Picture 1276691303"/>
                    <pic:cNvPicPr/>
                  </pic:nvPicPr>
                  <pic:blipFill>
                    <a:blip r:embed="rId10">
                      <a:extLst>
                        <a:ext uri="{28A0092B-C50C-407E-A947-70E740481C1C}">
                          <a14:useLocalDpi xmlns:a14="http://schemas.microsoft.com/office/drawing/2010/main"/>
                        </a:ext>
                      </a:extLst>
                    </a:blip>
                    <a:stretch>
                      <a:fillRect/>
                    </a:stretch>
                  </pic:blipFill>
                  <pic:spPr>
                    <a:xfrm>
                      <a:off x="0" y="0"/>
                      <a:ext cx="5943600" cy="3371850"/>
                    </a:xfrm>
                    <a:prstGeom prst="rect">
                      <a:avLst/>
                    </a:prstGeom>
                  </pic:spPr>
                </pic:pic>
              </a:graphicData>
            </a:graphic>
          </wp:inline>
        </w:drawing>
      </w:r>
    </w:p>
    <w:p w14:paraId="5CAD2BDD" w14:textId="0E54E528" w:rsidR="47DE522C" w:rsidRDefault="47DE522C" w:rsidP="3C60AEA8">
      <w:pPr>
        <w:spacing w:before="240" w:after="240"/>
        <w:rPr>
          <w:rFonts w:ascii="Aptos" w:eastAsia="Aptos" w:hAnsi="Aptos" w:cs="Aptos"/>
        </w:rPr>
      </w:pPr>
      <w:r w:rsidRPr="3C60AEA8">
        <w:rPr>
          <w:rFonts w:ascii="Aptos" w:eastAsia="Aptos" w:hAnsi="Aptos" w:cs="Aptos"/>
          <w:b/>
          <w:bCs/>
        </w:rPr>
        <w:t xml:space="preserve">Figure </w:t>
      </w:r>
      <w:r w:rsidR="41272E79" w:rsidRPr="3C60AEA8">
        <w:rPr>
          <w:rFonts w:ascii="Aptos" w:eastAsia="Aptos" w:hAnsi="Aptos" w:cs="Aptos"/>
          <w:b/>
          <w:bCs/>
        </w:rPr>
        <w:t>4</w:t>
      </w:r>
      <w:r w:rsidRPr="3C60AEA8">
        <w:rPr>
          <w:rFonts w:ascii="Aptos" w:eastAsia="Aptos" w:hAnsi="Aptos" w:cs="Aptos"/>
        </w:rPr>
        <w:t xml:space="preserve">. Spatial </w:t>
      </w:r>
      <w:r w:rsidR="3A8DB1F5" w:rsidRPr="3C60AEA8">
        <w:rPr>
          <w:rFonts w:ascii="Aptos" w:eastAsia="Aptos" w:hAnsi="Aptos" w:cs="Aptos"/>
        </w:rPr>
        <w:t>distributions</w:t>
      </w:r>
      <w:r w:rsidR="0A62D07C" w:rsidRPr="3C60AEA8">
        <w:rPr>
          <w:rFonts w:ascii="Aptos" w:eastAsia="Aptos" w:hAnsi="Aptos" w:cs="Aptos"/>
        </w:rPr>
        <w:t xml:space="preserve"> </w:t>
      </w:r>
      <w:r w:rsidR="459381FD" w:rsidRPr="3C60AEA8">
        <w:rPr>
          <w:rFonts w:ascii="Aptos" w:eastAsia="Aptos" w:hAnsi="Aptos" w:cs="Aptos"/>
        </w:rPr>
        <w:t>of</w:t>
      </w:r>
      <w:r w:rsidR="0A62D07C" w:rsidRPr="3C60AEA8">
        <w:rPr>
          <w:rFonts w:ascii="Aptos" w:eastAsia="Aptos" w:hAnsi="Aptos" w:cs="Aptos"/>
        </w:rPr>
        <w:t xml:space="preserve"> standardized</w:t>
      </w:r>
      <w:r w:rsidR="3C6BA8DF" w:rsidRPr="3C60AEA8">
        <w:rPr>
          <w:rFonts w:ascii="Aptos" w:eastAsia="Aptos" w:hAnsi="Aptos" w:cs="Aptos"/>
        </w:rPr>
        <w:t xml:space="preserve"> latent constructs at</w:t>
      </w:r>
      <w:r w:rsidR="0A62D07C" w:rsidRPr="3C60AEA8">
        <w:rPr>
          <w:rFonts w:ascii="Aptos" w:eastAsia="Aptos" w:hAnsi="Aptos" w:cs="Aptos"/>
        </w:rPr>
        <w:t xml:space="preserve"> county levels</w:t>
      </w:r>
      <w:r w:rsidR="24218AA8" w:rsidRPr="3C60AEA8">
        <w:rPr>
          <w:rFonts w:ascii="Aptos" w:eastAsia="Aptos" w:hAnsi="Aptos" w:cs="Aptos"/>
        </w:rPr>
        <w:t>: (a)</w:t>
      </w:r>
      <w:r w:rsidRPr="3C60AEA8">
        <w:rPr>
          <w:rFonts w:ascii="Aptos" w:eastAsia="Aptos" w:hAnsi="Aptos" w:cs="Aptos"/>
        </w:rPr>
        <w:t xml:space="preserve"> </w:t>
      </w:r>
      <w:r w:rsidR="7B09A212" w:rsidRPr="3C60AEA8">
        <w:rPr>
          <w:rFonts w:ascii="Aptos" w:eastAsia="Aptos" w:hAnsi="Aptos" w:cs="Aptos"/>
        </w:rPr>
        <w:t>A</w:t>
      </w:r>
      <w:r w:rsidRPr="3C60AEA8">
        <w:rPr>
          <w:rFonts w:ascii="Aptos" w:eastAsia="Aptos" w:hAnsi="Aptos" w:cs="Aptos"/>
        </w:rPr>
        <w:t xml:space="preserve">dministrative </w:t>
      </w:r>
      <w:r w:rsidR="4B045346" w:rsidRPr="3C60AEA8">
        <w:rPr>
          <w:rFonts w:ascii="Aptos" w:eastAsia="Aptos" w:hAnsi="Aptos" w:cs="Aptos"/>
        </w:rPr>
        <w:t>R</w:t>
      </w:r>
      <w:r w:rsidRPr="3C60AEA8">
        <w:rPr>
          <w:rFonts w:ascii="Aptos" w:eastAsia="Aptos" w:hAnsi="Aptos" w:cs="Aptos"/>
        </w:rPr>
        <w:t>esources</w:t>
      </w:r>
      <w:r w:rsidR="01C8C461" w:rsidRPr="3C60AEA8">
        <w:rPr>
          <w:rFonts w:ascii="Aptos" w:eastAsia="Aptos" w:hAnsi="Aptos" w:cs="Aptos"/>
        </w:rPr>
        <w:t>, (b) Administrative Burden Capacity, (c) Recovery Performance, and (d) Recovery Timeliness.</w:t>
      </w:r>
    </w:p>
    <w:p w14:paraId="104FF3E8" w14:textId="17145F61" w:rsidR="47DE522C" w:rsidRDefault="18E74605" w:rsidP="3C60AEA8">
      <w:pPr>
        <w:spacing w:before="240" w:after="240"/>
      </w:pPr>
      <w:r w:rsidRPr="3C60AEA8">
        <w:rPr>
          <w:rFonts w:ascii="Aptos" w:eastAsia="Aptos" w:hAnsi="Aptos" w:cs="Aptos"/>
        </w:rPr>
        <w:t>In contrast, Administrative Burden Capacity (Figure 4(b)) exhibited a distinct spatial pattern. Many counties in the Midwest and portions of the Northeast demonstrated relatively high burden capacity (i.e., lower administrative workload per staff), whereas several counties in the Gulf Coast and other disaster-prone southern regions displayed lower burden capacity, indicating higher programmatic and disaster-related workloads relative to available staffing levels. The differences between the spatial distributions of Administrative Resources and Administrative Burden Capacity suggest that resource availability alone did not fully capture governments’ operational ability to manage disaster recovery demands.</w:t>
      </w:r>
    </w:p>
    <w:p w14:paraId="7F44E684" w14:textId="144BAC77" w:rsidR="47DE522C" w:rsidRDefault="7072FF6C" w:rsidP="0FA9DDF5">
      <w:pPr>
        <w:spacing w:before="240" w:after="240"/>
        <w:rPr>
          <w:rFonts w:ascii="Aptos" w:eastAsia="Aptos" w:hAnsi="Aptos" w:cs="Aptos"/>
        </w:rPr>
      </w:pPr>
      <w:r w:rsidRPr="5A746606">
        <w:rPr>
          <w:rFonts w:ascii="Aptos" w:eastAsia="Aptos" w:hAnsi="Aptos" w:cs="Aptos"/>
        </w:rPr>
        <w:lastRenderedPageBreak/>
        <w:t>The spatial patterns of Recovery Performance (Figure 4(c)) and Recovery Timeliness (Figure 4(d)) further reveal</w:t>
      </w:r>
      <w:r w:rsidR="69E3279E" w:rsidRPr="5A746606">
        <w:rPr>
          <w:rFonts w:ascii="Aptos" w:eastAsia="Aptos" w:hAnsi="Aptos" w:cs="Aptos"/>
        </w:rPr>
        <w:t>ed</w:t>
      </w:r>
      <w:r w:rsidRPr="5A746606">
        <w:rPr>
          <w:rFonts w:ascii="Aptos" w:eastAsia="Aptos" w:hAnsi="Aptos" w:cs="Aptos"/>
        </w:rPr>
        <w:t xml:space="preserve"> substantial geographic heterogeneity. Higher levels of Recovery Performance </w:t>
      </w:r>
      <w:r w:rsidR="69211EC7" w:rsidRPr="5A746606">
        <w:rPr>
          <w:rFonts w:ascii="Aptos" w:eastAsia="Aptos" w:hAnsi="Aptos" w:cs="Aptos"/>
        </w:rPr>
        <w:t>were</w:t>
      </w:r>
      <w:r w:rsidRPr="5A746606">
        <w:rPr>
          <w:rFonts w:ascii="Aptos" w:eastAsia="Aptos" w:hAnsi="Aptos" w:cs="Aptos"/>
        </w:rPr>
        <w:t xml:space="preserve"> observed in parts of the Midwest and Northeast, whereas </w:t>
      </w:r>
      <w:bookmarkStart w:id="1" w:name="_Int_QX67CJjt"/>
      <w:r w:rsidRPr="5A746606">
        <w:rPr>
          <w:rFonts w:ascii="Aptos" w:eastAsia="Aptos" w:hAnsi="Aptos" w:cs="Aptos"/>
        </w:rPr>
        <w:t>relatively lower</w:t>
      </w:r>
      <w:bookmarkEnd w:id="1"/>
      <w:r w:rsidRPr="5A746606">
        <w:rPr>
          <w:rFonts w:ascii="Aptos" w:eastAsia="Aptos" w:hAnsi="Aptos" w:cs="Aptos"/>
        </w:rPr>
        <w:t xml:space="preserve"> performance </w:t>
      </w:r>
      <w:r w:rsidR="584C272B" w:rsidRPr="5A746606">
        <w:rPr>
          <w:rFonts w:ascii="Aptos" w:eastAsia="Aptos" w:hAnsi="Aptos" w:cs="Aptos"/>
        </w:rPr>
        <w:t>was</w:t>
      </w:r>
      <w:r w:rsidRPr="5A746606">
        <w:rPr>
          <w:rFonts w:ascii="Aptos" w:eastAsia="Aptos" w:hAnsi="Aptos" w:cs="Aptos"/>
        </w:rPr>
        <w:t xml:space="preserve"> more common in the Gulf Coast and southern regions. A similar spatial pattern </w:t>
      </w:r>
      <w:bookmarkStart w:id="2" w:name="_Int_lEP6XXNm"/>
      <w:r w:rsidRPr="5A746606">
        <w:rPr>
          <w:rFonts w:ascii="Aptos" w:eastAsia="Aptos" w:hAnsi="Aptos" w:cs="Aptos"/>
        </w:rPr>
        <w:t>emerge</w:t>
      </w:r>
      <w:r w:rsidR="0EBCBFBA" w:rsidRPr="5A746606">
        <w:rPr>
          <w:rFonts w:ascii="Aptos" w:eastAsia="Aptos" w:hAnsi="Aptos" w:cs="Aptos"/>
        </w:rPr>
        <w:t>d</w:t>
      </w:r>
      <w:bookmarkEnd w:id="2"/>
      <w:r w:rsidRPr="5A746606">
        <w:rPr>
          <w:rFonts w:ascii="Aptos" w:eastAsia="Aptos" w:hAnsi="Aptos" w:cs="Aptos"/>
        </w:rPr>
        <w:t xml:space="preserve"> for Recovery Timeliness, with slower implementation concentrated in areas experiencing higher administrative burden. These spatial patterns </w:t>
      </w:r>
      <w:r w:rsidR="78770BF9" w:rsidRPr="5A746606">
        <w:rPr>
          <w:rFonts w:ascii="Aptos" w:eastAsia="Aptos" w:hAnsi="Aptos" w:cs="Aptos"/>
        </w:rPr>
        <w:t>are</w:t>
      </w:r>
      <w:r w:rsidRPr="5A746606">
        <w:rPr>
          <w:rFonts w:ascii="Aptos" w:eastAsia="Aptos" w:hAnsi="Aptos" w:cs="Aptos"/>
        </w:rPr>
        <w:t xml:space="preserve"> broadly consistent with the SEM results, reinforcing the finding that Administrative Burden Capacity play</w:t>
      </w:r>
      <w:r w:rsidR="08519280" w:rsidRPr="5A746606">
        <w:rPr>
          <w:rFonts w:ascii="Aptos" w:eastAsia="Aptos" w:hAnsi="Aptos" w:cs="Aptos"/>
        </w:rPr>
        <w:t>ed</w:t>
      </w:r>
      <w:r w:rsidRPr="5A746606">
        <w:rPr>
          <w:rFonts w:ascii="Aptos" w:eastAsia="Aptos" w:hAnsi="Aptos" w:cs="Aptos"/>
        </w:rPr>
        <w:t xml:space="preserve"> a more influential role than resource levels alone in shaping disaster recovery outcomes.</w:t>
      </w:r>
    </w:p>
    <w:p w14:paraId="317F7F78" w14:textId="01E322A4" w:rsidR="75F0FE33" w:rsidRDefault="75F0FE33" w:rsidP="0FA9DDF5">
      <w:pPr>
        <w:spacing w:before="240" w:after="240"/>
        <w:rPr>
          <w:rFonts w:ascii="Aptos" w:eastAsia="Aptos" w:hAnsi="Aptos" w:cs="Aptos"/>
          <w:i/>
          <w:iCs/>
        </w:rPr>
      </w:pPr>
      <w:r w:rsidRPr="3C60AEA8">
        <w:rPr>
          <w:rFonts w:ascii="Aptos" w:eastAsia="Aptos" w:hAnsi="Aptos" w:cs="Aptos"/>
          <w:i/>
          <w:iCs/>
        </w:rPr>
        <w:t xml:space="preserve">5.3.2. Quadrant distributions of </w:t>
      </w:r>
      <w:r w:rsidR="5F3A9CE3" w:rsidRPr="3C60AEA8">
        <w:rPr>
          <w:rFonts w:ascii="Aptos" w:eastAsia="Aptos" w:hAnsi="Aptos" w:cs="Aptos"/>
          <w:i/>
          <w:iCs/>
        </w:rPr>
        <w:t xml:space="preserve">burden capacity and recovery </w:t>
      </w:r>
      <w:r w:rsidRPr="3C60AEA8">
        <w:rPr>
          <w:rFonts w:ascii="Aptos" w:eastAsia="Aptos" w:hAnsi="Aptos" w:cs="Aptos"/>
          <w:i/>
          <w:iCs/>
        </w:rPr>
        <w:t>constructs</w:t>
      </w:r>
    </w:p>
    <w:p w14:paraId="1ED851F6" w14:textId="72C04167" w:rsidR="47DE522C" w:rsidRDefault="7C60587B" w:rsidP="3C60AEA8">
      <w:pPr>
        <w:spacing w:before="240" w:after="240"/>
        <w:rPr>
          <w:rFonts w:ascii="Aptos" w:eastAsia="Aptos" w:hAnsi="Aptos" w:cs="Aptos"/>
        </w:rPr>
      </w:pPr>
      <w:r w:rsidRPr="3C60AEA8">
        <w:rPr>
          <w:rFonts w:ascii="Aptos" w:eastAsia="Aptos" w:hAnsi="Aptos" w:cs="Aptos"/>
        </w:rPr>
        <w:t>Focusing on Administrative Burden Capacity as the central dimension of governmental capacity, we further developed quadrant maps illustrating its joint distribution with Recovery Performance and Recovery Timeliness. These maps provide a spatial typology of jurisdictions based on the interaction between administrative workload conditions and recovery outcomes.</w:t>
      </w:r>
    </w:p>
    <w:p w14:paraId="71E80FA2" w14:textId="50F185FD" w:rsidR="2167C946" w:rsidRDefault="6910F962" w:rsidP="41D8F452">
      <w:pPr>
        <w:spacing w:before="240" w:after="240"/>
        <w:rPr>
          <w:rFonts w:ascii="Aptos" w:eastAsia="Aptos" w:hAnsi="Aptos" w:cs="Aptos"/>
        </w:rPr>
      </w:pPr>
      <w:r>
        <w:rPr/>
        <w:t>Figure 5. Quadrant map of the joint distribution of standardized Administrative Burden Capacity and (a) Recovery Timeliness and (b) Recovery Performance at the county level.</w:t>
      </w:r>
    </w:p>
    <w:p w14:paraId="5322E3BC" w14:textId="3C52E28E" w:rsidR="06AAD6FF" w:rsidRDefault="06AAD6FF" w:rsidP="3C60AEA8">
      <w:pPr>
        <w:spacing w:before="240" w:after="240"/>
        <w:rPr>
          <w:rFonts w:ascii="Aptos" w:eastAsia="Aptos" w:hAnsi="Aptos" w:cs="Aptos"/>
        </w:rPr>
      </w:pPr>
      <w:r>
        <w:rPr>
          <w:rFonts w:ascii="Aptos" w:hAnsi="Aptos"/>
        </w:rPr>
        <w:t>Figure 5(a) compares Administrative Burden Capacity and Recovery Timeliness, revealing four distinct county typologies. Counties classified as high capacity and high timeliness are distributed across several regions, indicating strong alignment between manageable administrative workload and efficient program implementation. In contrast, clusters of low capacity and low timeliness appear prominently in the Gulf Coast and southern regions, suggesting that administrative constraints may substantially hinder the pace of recovery in these areas. Counties characterized by high capacity but low timeliness indicate that factors beyond workload - such as institutional complexity or regulatory bottlenecks - can also delay implementation.</w:t>
      </w:r>
    </w:p>
    <w:p w14:paraId="51512DAB" w14:textId="6B16105C" w:rsidR="3A9A3F6E" w:rsidRDefault="3A9A3F6E" w:rsidP="3C60AEA8">
      <w:pPr>
        <w:spacing w:before="240" w:after="240"/>
        <w:rPr>
          <w:rFonts w:ascii="Aptos" w:eastAsia="Aptos" w:hAnsi="Aptos" w:cs="Aptos"/>
        </w:rPr>
      </w:pPr>
      <w:r>
        <w:rPr>
          <w:rFonts w:ascii="Aptos" w:hAnsi="Aptos"/>
        </w:rPr>
        <w:t>Figure 5(b) shows a similar but less clean relationship for Recovery Performance. Counties exhibiting high capacity and high performance are more common in parts of the Midwest and Northeast, reinforcing the practical importance of manageable administrative workloads. At the same time, the presence of high-capacity but low-performance counties, and vice versa, underscores the earlier SEM result that the performance construct is more multidimensional and less tightly linked to the burden-capacity factor than timeliness is.</w:t>
      </w:r>
    </w:p>
    <w:p w14:paraId="1FDE09CF" w14:textId="11B4D5C0" w:rsidR="61147695" w:rsidRDefault="7A70000B" w:rsidP="41D8F452">
      <w:pPr>
        <w:spacing w:before="240" w:after="240"/>
        <w:rPr>
          <w:rFonts w:ascii="Aptos" w:eastAsia="Aptos" w:hAnsi="Aptos" w:cs="Aptos"/>
        </w:rPr>
      </w:pPr>
      <w:r>
        <w:rPr>
          <w:rFonts w:ascii="Aptos" w:hAnsi="Aptos"/>
        </w:rPr>
        <w:t>Overall, the spatial summaries reinforce the central descriptive conclusion that Administrative Burden Capacity is more closely aligned with recovery outcomes than the absolute level of Administrative Resources alone. The quadrant maps also reveal that mismatches between capacity and recovery outcomes are geographically clustered. However, because the geography layer relies on hierarchical name matching and county aggregation, these patterns should be interpreted as screening evidence for follow-up investigation rather than as definitive jurisdictional rankings.</w:t>
      </w:r>
    </w:p>
    <w:p w14:paraId="4C1A00D1" w14:textId="29D8BC5C" w:rsidR="2CAA2765" w:rsidRDefault="2CAA2765" w:rsidP="3C60AEA8">
      <w:pPr>
        <w:spacing w:before="240" w:after="240"/>
        <w:rPr>
          <w:rFonts w:ascii="Aptos" w:eastAsia="Aptos" w:hAnsi="Aptos" w:cs="Aptos"/>
        </w:rPr>
      </w:pPr>
      <w:r w:rsidRPr="3C60AEA8">
        <w:rPr>
          <w:rFonts w:ascii="Aptos" w:eastAsia="Aptos" w:hAnsi="Aptos" w:cs="Aptos"/>
          <w:b/>
          <w:bCs/>
        </w:rPr>
        <w:t>5.</w:t>
      </w:r>
      <w:r w:rsidR="20F04647" w:rsidRPr="3C60AEA8">
        <w:rPr>
          <w:rFonts w:ascii="Aptos" w:eastAsia="Aptos" w:hAnsi="Aptos" w:cs="Aptos"/>
          <w:b/>
          <w:bCs/>
        </w:rPr>
        <w:t>4</w:t>
      </w:r>
      <w:r w:rsidRPr="3C60AEA8">
        <w:rPr>
          <w:rFonts w:ascii="Aptos" w:eastAsia="Aptos" w:hAnsi="Aptos" w:cs="Aptos"/>
          <w:b/>
          <w:bCs/>
        </w:rPr>
        <w:t xml:space="preserve">. </w:t>
      </w:r>
      <w:r w:rsidR="5E4F7184" w:rsidRPr="3C60AEA8">
        <w:rPr>
          <w:rFonts w:ascii="Aptos" w:eastAsia="Aptos" w:hAnsi="Aptos" w:cs="Aptos"/>
          <w:b/>
          <w:bCs/>
        </w:rPr>
        <w:t>Spatial</w:t>
      </w:r>
      <w:r w:rsidR="1E0BA8FD" w:rsidRPr="3C60AEA8">
        <w:rPr>
          <w:rFonts w:ascii="Aptos" w:eastAsia="Aptos" w:hAnsi="Aptos" w:cs="Aptos"/>
          <w:b/>
          <w:bCs/>
        </w:rPr>
        <w:t xml:space="preserve"> patterns of </w:t>
      </w:r>
      <w:r w:rsidR="06F44800" w:rsidRPr="3C60AEA8">
        <w:rPr>
          <w:rFonts w:ascii="Aptos" w:eastAsia="Aptos" w:hAnsi="Aptos" w:cs="Aptos"/>
          <w:b/>
          <w:bCs/>
        </w:rPr>
        <w:t>disaster</w:t>
      </w:r>
      <w:r w:rsidR="03096281" w:rsidRPr="3C60AEA8">
        <w:rPr>
          <w:rFonts w:ascii="Aptos" w:eastAsia="Aptos" w:hAnsi="Aptos" w:cs="Aptos"/>
          <w:b/>
          <w:bCs/>
        </w:rPr>
        <w:t>-</w:t>
      </w:r>
      <w:r w:rsidR="06F44800" w:rsidRPr="3C60AEA8">
        <w:rPr>
          <w:rFonts w:ascii="Aptos" w:eastAsia="Aptos" w:hAnsi="Aptos" w:cs="Aptos"/>
          <w:b/>
          <w:bCs/>
        </w:rPr>
        <w:t>capacity</w:t>
      </w:r>
      <w:r w:rsidR="52D09320" w:rsidRPr="3C60AEA8">
        <w:rPr>
          <w:rFonts w:ascii="Aptos" w:eastAsia="Aptos" w:hAnsi="Aptos" w:cs="Aptos"/>
          <w:b/>
          <w:bCs/>
        </w:rPr>
        <w:t>-outcome</w:t>
      </w:r>
      <w:r w:rsidR="4DC45E55" w:rsidRPr="3C60AEA8">
        <w:rPr>
          <w:rFonts w:ascii="Aptos" w:eastAsia="Aptos" w:hAnsi="Aptos" w:cs="Aptos"/>
          <w:b/>
          <w:bCs/>
        </w:rPr>
        <w:t xml:space="preserve"> </w:t>
      </w:r>
      <w:r w:rsidR="0CDE8B1E" w:rsidRPr="3C60AEA8">
        <w:rPr>
          <w:rFonts w:ascii="Aptos" w:eastAsia="Aptos" w:hAnsi="Aptos" w:cs="Aptos"/>
          <w:b/>
          <w:bCs/>
        </w:rPr>
        <w:t>g</w:t>
      </w:r>
      <w:r w:rsidR="5E4F7184" w:rsidRPr="3C60AEA8">
        <w:rPr>
          <w:rFonts w:ascii="Aptos" w:eastAsia="Aptos" w:hAnsi="Aptos" w:cs="Aptos"/>
          <w:b/>
          <w:bCs/>
        </w:rPr>
        <w:t>aps</w:t>
      </w:r>
    </w:p>
    <w:p w14:paraId="0DD67609" w14:textId="1191F328" w:rsidR="75456CF8" w:rsidRDefault="75456CF8" w:rsidP="3C60AEA8">
      <w:pPr>
        <w:spacing w:before="240" w:after="240"/>
        <w:rPr>
          <w:rFonts w:ascii="Aptos" w:eastAsia="Aptos" w:hAnsi="Aptos" w:cs="Aptos"/>
        </w:rPr>
      </w:pPr>
      <w:r>
        <w:rPr>
          <w:rFonts w:ascii="Aptos" w:hAnsi="Aptos"/>
        </w:rPr>
        <w:t>To account descriptively for the influence of disaster exposure, the study introduces three gap diagnostics: the administrative burden capacity gap, the recovery implementation gap, and the recovery performance gap. In conceptual terms, these can be written as standardized difference scores comparing disaster exposure with (1) Administrative Burden Capacity, (2) Recovery Timeliness, and (3) Recovery Performance. Positive values indicate that disaster demand exceeds the corresponding capacity or outcome measure. These gap metrics are retained in the revision as descriptive heuristics designed to show where exposure appears large relative to capacity or outcomes; they are not treated as fully audited causal estimands.</w:t>
      </w:r>
    </w:p>
    <w:p w14:paraId="2F1DB37A" w14:textId="5E3CC35E" w:rsidR="707B8748" w:rsidRDefault="707B8748" w:rsidP="3C60AEA8">
      <w:pPr>
        <w:spacing w:before="240" w:after="240"/>
        <w:rPr>
          <w:rFonts w:ascii="Aptos" w:eastAsia="Aptos" w:hAnsi="Aptos" w:cs="Aptos"/>
        </w:rPr>
      </w:pPr>
      <w:r w:rsidRPr="3C60AEA8">
        <w:rPr>
          <w:rFonts w:ascii="Aptos" w:eastAsia="Aptos" w:hAnsi="Aptos" w:cs="Aptos"/>
          <w:i/>
          <w:iCs/>
        </w:rPr>
        <w:t xml:space="preserve">5.4.1. </w:t>
      </w:r>
      <w:r w:rsidR="050DEA92" w:rsidRPr="3C60AEA8">
        <w:rPr>
          <w:rFonts w:ascii="Aptos" w:eastAsia="Aptos" w:hAnsi="Aptos" w:cs="Aptos"/>
          <w:i/>
          <w:iCs/>
        </w:rPr>
        <w:t>Spatial patterns of administrative burden capacity gap</w:t>
      </w:r>
    </w:p>
    <w:p w14:paraId="0B3DA39E" w14:textId="067DE99F" w:rsidR="32058778" w:rsidRDefault="32058778" w:rsidP="3C60AEA8">
      <w:pPr>
        <w:spacing w:before="240" w:after="240"/>
        <w:rPr>
          <w:rFonts w:ascii="Aptos" w:eastAsia="Aptos" w:hAnsi="Aptos" w:cs="Aptos"/>
        </w:rPr>
      </w:pPr>
      <w:r>
        <w:rPr>
          <w:rFonts w:ascii="Aptos" w:hAnsi="Aptos"/>
        </w:rPr>
        <w:t>The capacity gap quantifies the mismatch between disaster demand and Administrative Burden Capacity, thereby highlighting potential structural constraints in recovery governance. At the county level (Figure 6(a)), high gaps are concentrated along the Gulf Coast and in several southern states, particularly Texas and Louisiana, where frequent disasters coincide with limited burden capacity. In contrast, many counties in the Midwest and Northeast exhibit lower or negative gaps, indicating closer alignment between workload conditions and disaster demand. Interpreted cautiously, this metric flags places where administrative strain may emerge before weak performance is visible in downstream outcomes.</w:t>
      </w:r>
    </w:p>
    <w:p w14:paraId="1F8745A7" w14:textId="1EFA0CAF" w:rsidR="46F9375C" w:rsidRDefault="7927FC72" w:rsidP="0FA9DDF5">
      <w:pPr>
        <w:spacing w:before="240" w:after="240"/>
        <w:rPr>
          <w:rFonts w:ascii="Aptos" w:eastAsia="Aptos" w:hAnsi="Aptos" w:cs="Aptos"/>
        </w:rPr>
      </w:pPr>
      <w:r>
        <w:rPr>
          <w:noProof/>
        </w:rPr>
        <w:drawing>
          <wp:inline distT="0" distB="0" distL="0" distR="0" wp14:anchorId="34DDDEE1" wp14:editId="3971DDFF">
            <wp:extent cx="5943600" cy="3400425"/>
            <wp:effectExtent l="0" t="0" r="0" b="0"/>
            <wp:docPr id="174361049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3610493" name="Picture 1743610493"/>
                    <pic:cNvPicPr/>
                  </pic:nvPicPr>
                  <pic:blipFill>
                    <a:blip r:embed="rId12">
                      <a:extLst>
                        <a:ext uri="{28A0092B-C50C-407E-A947-70E740481C1C}">
                          <a14:useLocalDpi xmlns:a14="http://schemas.microsoft.com/office/drawing/2010/main"/>
                        </a:ext>
                      </a:extLst>
                    </a:blip>
                    <a:stretch>
                      <a:fillRect/>
                    </a:stretch>
                  </pic:blipFill>
                  <pic:spPr>
                    <a:xfrm>
                      <a:off x="0" y="0"/>
                      <a:ext cx="5943600" cy="3400425"/>
                    </a:xfrm>
                    <a:prstGeom prst="rect">
                      <a:avLst/>
                    </a:prstGeom>
                  </pic:spPr>
                </pic:pic>
              </a:graphicData>
            </a:graphic>
          </wp:inline>
        </w:drawing>
      </w:r>
      <w:r w:rsidR="171645EC" w:rsidRPr="3C60AEA8">
        <w:rPr>
          <w:rFonts w:ascii="Aptos" w:eastAsia="Aptos" w:hAnsi="Aptos" w:cs="Aptos"/>
          <w:b/>
          <w:bCs/>
        </w:rPr>
        <w:t xml:space="preserve">Figure </w:t>
      </w:r>
      <w:r w:rsidR="258045F2" w:rsidRPr="3C60AEA8">
        <w:rPr>
          <w:rFonts w:ascii="Aptos" w:eastAsia="Aptos" w:hAnsi="Aptos" w:cs="Aptos"/>
          <w:b/>
          <w:bCs/>
        </w:rPr>
        <w:t>6</w:t>
      </w:r>
      <w:r w:rsidR="171645EC" w:rsidRPr="3C60AEA8">
        <w:rPr>
          <w:rFonts w:ascii="Aptos" w:eastAsia="Aptos" w:hAnsi="Aptos" w:cs="Aptos"/>
          <w:b/>
          <w:bCs/>
        </w:rPr>
        <w:t xml:space="preserve">. </w:t>
      </w:r>
      <w:r w:rsidR="47D3BC25" w:rsidRPr="3C60AEA8">
        <w:rPr>
          <w:rFonts w:ascii="Aptos" w:eastAsia="Aptos" w:hAnsi="Aptos" w:cs="Aptos"/>
        </w:rPr>
        <w:t>Spatial distributions of</w:t>
      </w:r>
      <w:r w:rsidR="45704E95" w:rsidRPr="3C60AEA8">
        <w:rPr>
          <w:rFonts w:ascii="Aptos" w:eastAsia="Aptos" w:hAnsi="Aptos" w:cs="Aptos"/>
        </w:rPr>
        <w:t xml:space="preserve"> (a) </w:t>
      </w:r>
      <w:r w:rsidR="0C3A74A9" w:rsidRPr="3C60AEA8">
        <w:rPr>
          <w:rFonts w:ascii="Aptos" w:eastAsia="Aptos" w:hAnsi="Aptos" w:cs="Aptos"/>
        </w:rPr>
        <w:t>c</w:t>
      </w:r>
      <w:r w:rsidR="171645EC" w:rsidRPr="3C60AEA8">
        <w:rPr>
          <w:rFonts w:ascii="Aptos" w:eastAsia="Aptos" w:hAnsi="Aptos" w:cs="Aptos"/>
        </w:rPr>
        <w:t xml:space="preserve">ounty-level </w:t>
      </w:r>
      <w:r w:rsidR="767A7056" w:rsidRPr="3C60AEA8">
        <w:rPr>
          <w:rFonts w:ascii="Aptos" w:eastAsia="Aptos" w:hAnsi="Aptos" w:cs="Aptos"/>
        </w:rPr>
        <w:t>administrative burden</w:t>
      </w:r>
      <w:r w:rsidR="171645EC" w:rsidRPr="3C60AEA8">
        <w:rPr>
          <w:rFonts w:ascii="Aptos" w:eastAsia="Aptos" w:hAnsi="Aptos" w:cs="Aptos"/>
        </w:rPr>
        <w:t xml:space="preserve"> capacity</w:t>
      </w:r>
      <w:r w:rsidR="0CF05F48" w:rsidRPr="3C60AEA8">
        <w:rPr>
          <w:rFonts w:ascii="Aptos" w:eastAsia="Aptos" w:hAnsi="Aptos" w:cs="Aptos"/>
        </w:rPr>
        <w:t xml:space="preserve"> gap</w:t>
      </w:r>
      <w:r w:rsidR="3EB92EC1" w:rsidRPr="3C60AEA8">
        <w:rPr>
          <w:rFonts w:ascii="Aptos" w:eastAsia="Aptos" w:hAnsi="Aptos" w:cs="Aptos"/>
        </w:rPr>
        <w:t>, (b) c</w:t>
      </w:r>
      <w:r w:rsidR="171645EC" w:rsidRPr="3C60AEA8">
        <w:rPr>
          <w:rFonts w:ascii="Aptos" w:eastAsia="Aptos" w:hAnsi="Aptos" w:cs="Aptos"/>
        </w:rPr>
        <w:t>ounty-level disaster recovery exposure-capacity typolog</w:t>
      </w:r>
      <w:r w:rsidR="4C4417C2" w:rsidRPr="3C60AEA8">
        <w:rPr>
          <w:rFonts w:ascii="Aptos" w:eastAsia="Aptos" w:hAnsi="Aptos" w:cs="Aptos"/>
        </w:rPr>
        <w:t>y, and (c) s</w:t>
      </w:r>
      <w:r w:rsidR="171645EC" w:rsidRPr="3C60AEA8">
        <w:rPr>
          <w:rFonts w:ascii="Aptos" w:eastAsia="Aptos" w:hAnsi="Aptos" w:cs="Aptos"/>
        </w:rPr>
        <w:t xml:space="preserve">tate-level </w:t>
      </w:r>
      <w:r w:rsidR="525E3051" w:rsidRPr="3C60AEA8">
        <w:rPr>
          <w:rFonts w:ascii="Aptos" w:eastAsia="Aptos" w:hAnsi="Aptos" w:cs="Aptos"/>
        </w:rPr>
        <w:t>administrative burden capacity gap</w:t>
      </w:r>
      <w:r w:rsidR="71C2D41C" w:rsidRPr="3C60AEA8">
        <w:rPr>
          <w:rFonts w:ascii="Aptos" w:eastAsia="Aptos" w:hAnsi="Aptos" w:cs="Aptos"/>
        </w:rPr>
        <w:t>.</w:t>
      </w:r>
    </w:p>
    <w:p w14:paraId="28FC1DEE" w14:textId="183CCFA7" w:rsidR="46F9375C" w:rsidRDefault="535BA163" w:rsidP="3C60AEA8">
      <w:pPr>
        <w:spacing w:before="240" w:after="240"/>
        <w:rPr>
          <w:rFonts w:ascii="Aptos" w:eastAsia="Aptos" w:hAnsi="Aptos" w:cs="Aptos"/>
        </w:rPr>
      </w:pPr>
      <w:r w:rsidRPr="5A746606">
        <w:rPr>
          <w:rFonts w:ascii="Aptos" w:eastAsia="Aptos" w:hAnsi="Aptos" w:cs="Aptos"/>
        </w:rPr>
        <w:t xml:space="preserve">The exposure-capacity typology (Figure 6(b)) further illustrated that counties with high exposure-low capacity faced the greatest institutional stress, whereas high exposure-high capacity counties, more common in the Midwest and Northeast, reflected more resilient administrative systems. State-level patterns (Figure 6(c)) reinforced these disparities: Gulf Coast states displayed the largest gaps, while Midwestern and northern states generally </w:t>
      </w:r>
      <w:r w:rsidRPr="5A746606">
        <w:rPr>
          <w:rFonts w:ascii="Aptos" w:eastAsia="Aptos" w:hAnsi="Aptos" w:cs="Aptos"/>
        </w:rPr>
        <w:lastRenderedPageBreak/>
        <w:t>showed stronger alignment between capacity and disaster exposure. Uniquely, this gap emphasize</w:t>
      </w:r>
      <w:r w:rsidR="1A410EB9" w:rsidRPr="5A746606">
        <w:rPr>
          <w:rFonts w:ascii="Aptos" w:eastAsia="Aptos" w:hAnsi="Aptos" w:cs="Aptos"/>
        </w:rPr>
        <w:t>d</w:t>
      </w:r>
      <w:r w:rsidRPr="5A746606">
        <w:rPr>
          <w:rFonts w:ascii="Aptos" w:eastAsia="Aptos" w:hAnsi="Aptos" w:cs="Aptos"/>
        </w:rPr>
        <w:t xml:space="preserve"> upstream administrative constraints, identifying regions where institutional resources </w:t>
      </w:r>
      <w:r w:rsidR="3BAA5057" w:rsidRPr="5A746606">
        <w:rPr>
          <w:rFonts w:ascii="Aptos" w:eastAsia="Aptos" w:hAnsi="Aptos" w:cs="Aptos"/>
        </w:rPr>
        <w:t>were</w:t>
      </w:r>
      <w:r w:rsidRPr="5A746606">
        <w:rPr>
          <w:rFonts w:ascii="Aptos" w:eastAsia="Aptos" w:hAnsi="Aptos" w:cs="Aptos"/>
        </w:rPr>
        <w:t xml:space="preserve"> insufficient relative to disaster demand, independent of recovery timelines or outcomes.</w:t>
      </w:r>
    </w:p>
    <w:p w14:paraId="721F16CF" w14:textId="3878E189" w:rsidR="46F9375C" w:rsidRDefault="4AF60965" w:rsidP="3C60AEA8">
      <w:pPr>
        <w:spacing w:before="240" w:after="240"/>
        <w:rPr>
          <w:rFonts w:ascii="Aptos" w:eastAsia="Aptos" w:hAnsi="Aptos" w:cs="Aptos"/>
          <w:b/>
          <w:bCs/>
          <w:i/>
          <w:iCs/>
        </w:rPr>
      </w:pPr>
      <w:r w:rsidRPr="3C60AEA8">
        <w:rPr>
          <w:rFonts w:ascii="Aptos" w:eastAsia="Aptos" w:hAnsi="Aptos" w:cs="Aptos"/>
          <w:i/>
          <w:iCs/>
        </w:rPr>
        <w:t>5.</w:t>
      </w:r>
      <w:r w:rsidR="7D326D6F" w:rsidRPr="3C60AEA8">
        <w:rPr>
          <w:rFonts w:ascii="Aptos" w:eastAsia="Aptos" w:hAnsi="Aptos" w:cs="Aptos"/>
          <w:i/>
          <w:iCs/>
        </w:rPr>
        <w:t>4</w:t>
      </w:r>
      <w:r w:rsidRPr="3C60AEA8">
        <w:rPr>
          <w:rFonts w:ascii="Aptos" w:eastAsia="Aptos" w:hAnsi="Aptos" w:cs="Aptos"/>
          <w:i/>
          <w:iCs/>
        </w:rPr>
        <w:t>.</w:t>
      </w:r>
      <w:r w:rsidR="3791C720" w:rsidRPr="3C60AEA8">
        <w:rPr>
          <w:rFonts w:ascii="Aptos" w:eastAsia="Aptos" w:hAnsi="Aptos" w:cs="Aptos"/>
          <w:i/>
          <w:iCs/>
        </w:rPr>
        <w:t>2.</w:t>
      </w:r>
      <w:r w:rsidRPr="3C60AEA8">
        <w:rPr>
          <w:rFonts w:ascii="Aptos" w:eastAsia="Aptos" w:hAnsi="Aptos" w:cs="Aptos"/>
          <w:i/>
          <w:iCs/>
        </w:rPr>
        <w:t xml:space="preserve"> Spatial </w:t>
      </w:r>
      <w:r w:rsidR="7615117E" w:rsidRPr="3C60AEA8">
        <w:rPr>
          <w:rFonts w:ascii="Aptos" w:eastAsia="Aptos" w:hAnsi="Aptos" w:cs="Aptos"/>
          <w:i/>
          <w:iCs/>
        </w:rPr>
        <w:t>patterns</w:t>
      </w:r>
      <w:r w:rsidR="47FCA5D0" w:rsidRPr="3C60AEA8">
        <w:rPr>
          <w:rFonts w:ascii="Aptos" w:eastAsia="Aptos" w:hAnsi="Aptos" w:cs="Aptos"/>
          <w:i/>
          <w:iCs/>
        </w:rPr>
        <w:t xml:space="preserve"> of disaster recovery implementation gap</w:t>
      </w:r>
    </w:p>
    <w:p w14:paraId="613EA8B5" w14:textId="342F303B" w:rsidR="664C808E" w:rsidRDefault="664C808E" w:rsidP="3C60AEA8">
      <w:pPr>
        <w:spacing w:before="240" w:after="240"/>
        <w:rPr>
          <w:rFonts w:ascii="Aptos" w:eastAsia="Aptos" w:hAnsi="Aptos" w:cs="Aptos"/>
        </w:rPr>
      </w:pPr>
      <w:r>
        <w:rPr>
          <w:rFonts w:ascii="Aptos" w:hAnsi="Aptos"/>
        </w:rPr>
        <w:t>The implementation gap measures whether disaster exposure is accompanied by comparatively slow recovery implementation, using Recovery Timeliness as the outcome side of the difference score. At the county level (Figure 7(a)), high implementation gaps again concentrate along the Gulf Coast, particularly in Texas and Louisiana, where high exposure coincides with slower recovery timelines. High exposure-high timeliness counties are more common in the Midwest and Northeast, suggesting more efficient translation of administrative capacity into timely action under heavy recovery demand.</w:t>
      </w:r>
    </w:p>
    <w:p w14:paraId="493EDAF7" w14:textId="6EC1C9A5" w:rsidR="46F9375C" w:rsidRDefault="37478E3C" w:rsidP="0FA9DDF5">
      <w:pPr>
        <w:spacing w:before="240" w:after="240"/>
        <w:rPr>
          <w:rFonts w:ascii="Aptos" w:eastAsia="Aptos" w:hAnsi="Aptos" w:cs="Aptos"/>
        </w:rPr>
      </w:pPr>
      <w:r>
        <w:rPr>
          <w:noProof/>
        </w:rPr>
        <w:drawing>
          <wp:inline distT="0" distB="0" distL="0" distR="0" wp14:anchorId="54B94F8E" wp14:editId="51A92AAD">
            <wp:extent cx="5943600" cy="3352800"/>
            <wp:effectExtent l="0" t="0" r="0" b="0"/>
            <wp:docPr id="199659996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6599960" name="Picture 1996599960"/>
                    <pic:cNvPicPr/>
                  </pic:nvPicPr>
                  <pic:blipFill>
                    <a:blip r:embed="rId13">
                      <a:extLst>
                        <a:ext uri="{28A0092B-C50C-407E-A947-70E740481C1C}">
                          <a14:useLocalDpi xmlns:a14="http://schemas.microsoft.com/office/drawing/2010/main"/>
                        </a:ext>
                      </a:extLst>
                    </a:blip>
                    <a:stretch>
                      <a:fillRect/>
                    </a:stretch>
                  </pic:blipFill>
                  <pic:spPr>
                    <a:xfrm>
                      <a:off x="0" y="0"/>
                      <a:ext cx="5943600" cy="3352800"/>
                    </a:xfrm>
                    <a:prstGeom prst="rect">
                      <a:avLst/>
                    </a:prstGeom>
                  </pic:spPr>
                </pic:pic>
              </a:graphicData>
            </a:graphic>
          </wp:inline>
        </w:drawing>
      </w:r>
      <w:r w:rsidR="482681D4" w:rsidRPr="3C60AEA8">
        <w:rPr>
          <w:rFonts w:ascii="Aptos" w:eastAsia="Aptos" w:hAnsi="Aptos" w:cs="Aptos"/>
          <w:b/>
          <w:bCs/>
        </w:rPr>
        <w:t xml:space="preserve">Figure </w:t>
      </w:r>
      <w:r w:rsidR="66D9CCAD" w:rsidRPr="3C60AEA8">
        <w:rPr>
          <w:rFonts w:ascii="Aptos" w:eastAsia="Aptos" w:hAnsi="Aptos" w:cs="Aptos"/>
          <w:b/>
          <w:bCs/>
        </w:rPr>
        <w:t>7</w:t>
      </w:r>
      <w:r w:rsidR="482681D4" w:rsidRPr="3C60AEA8">
        <w:rPr>
          <w:rFonts w:ascii="Aptos" w:eastAsia="Aptos" w:hAnsi="Aptos" w:cs="Aptos"/>
          <w:b/>
          <w:bCs/>
        </w:rPr>
        <w:t xml:space="preserve">. </w:t>
      </w:r>
      <w:r w:rsidR="6DD7AEED" w:rsidRPr="3C60AEA8">
        <w:rPr>
          <w:rFonts w:ascii="Aptos" w:eastAsia="Aptos" w:hAnsi="Aptos" w:cs="Aptos"/>
        </w:rPr>
        <w:t xml:space="preserve">Spatial distributions of </w:t>
      </w:r>
      <w:r w:rsidR="3D166AAD" w:rsidRPr="3C60AEA8">
        <w:rPr>
          <w:rFonts w:ascii="Aptos" w:eastAsia="Aptos" w:hAnsi="Aptos" w:cs="Aptos"/>
        </w:rPr>
        <w:t>(a) c</w:t>
      </w:r>
      <w:r w:rsidR="482681D4" w:rsidRPr="3C60AEA8">
        <w:rPr>
          <w:rFonts w:ascii="Aptos" w:eastAsia="Aptos" w:hAnsi="Aptos" w:cs="Aptos"/>
        </w:rPr>
        <w:t>ounty-level disaster recovery implementation gap</w:t>
      </w:r>
      <w:r w:rsidR="6E96FE48" w:rsidRPr="3C60AEA8">
        <w:rPr>
          <w:rFonts w:ascii="Aptos" w:eastAsia="Aptos" w:hAnsi="Aptos" w:cs="Aptos"/>
        </w:rPr>
        <w:t>, (b) c</w:t>
      </w:r>
      <w:r w:rsidR="482681D4" w:rsidRPr="3C60AEA8">
        <w:rPr>
          <w:rFonts w:ascii="Aptos" w:eastAsia="Aptos" w:hAnsi="Aptos" w:cs="Aptos"/>
        </w:rPr>
        <w:t>ounty-level disaster recovery exposure-implementation typolog</w:t>
      </w:r>
      <w:r w:rsidR="041DDAFE" w:rsidRPr="3C60AEA8">
        <w:rPr>
          <w:rFonts w:ascii="Aptos" w:eastAsia="Aptos" w:hAnsi="Aptos" w:cs="Aptos"/>
        </w:rPr>
        <w:t>y, and (c) s</w:t>
      </w:r>
      <w:r w:rsidR="482681D4" w:rsidRPr="3C60AEA8">
        <w:rPr>
          <w:rFonts w:ascii="Aptos" w:eastAsia="Aptos" w:hAnsi="Aptos" w:cs="Aptos"/>
        </w:rPr>
        <w:t>tate-level disaster recovery implementation gap</w:t>
      </w:r>
      <w:r w:rsidR="066EAD11" w:rsidRPr="3C60AEA8">
        <w:rPr>
          <w:rFonts w:ascii="Aptos" w:eastAsia="Aptos" w:hAnsi="Aptos" w:cs="Aptos"/>
        </w:rPr>
        <w:t>.</w:t>
      </w:r>
    </w:p>
    <w:p w14:paraId="2462B0A9" w14:textId="4AE2D2FE" w:rsidR="62D2414D" w:rsidRDefault="62D2414D" w:rsidP="3C60AEA8">
      <w:pPr>
        <w:spacing w:before="240" w:after="240"/>
        <w:rPr>
          <w:rFonts w:ascii="Aptos" w:eastAsia="Aptos" w:hAnsi="Aptos" w:cs="Aptos"/>
        </w:rPr>
      </w:pPr>
      <w:r w:rsidRPr="3C60AEA8">
        <w:rPr>
          <w:rFonts w:ascii="Aptos" w:eastAsia="Aptos" w:hAnsi="Aptos" w:cs="Aptos"/>
        </w:rPr>
        <w:t xml:space="preserve">The county-level exposure-timeliness typology (Figure 7(b)) identified regions where administrative processes or procedural delays may hinder recovery, even if capacity existed. State-level patterns (Figure 7(c)) confirmed that Texas and Louisiana exhibited the largest gaps, with Florida and California moderately elevated, whereas several Midwestern </w:t>
      </w:r>
      <w:r w:rsidRPr="3C60AEA8">
        <w:rPr>
          <w:rFonts w:ascii="Aptos" w:eastAsia="Aptos" w:hAnsi="Aptos" w:cs="Aptos"/>
        </w:rPr>
        <w:lastRenderedPageBreak/>
        <w:t>and northern states showed closer alignment between disaster exposure and recovery speed. Distinct from the capacity gap, this measure focused on the efficiency of translating capacity into timely action, pinpointing operational bottlenecks in disaster recovery governance.</w:t>
      </w:r>
    </w:p>
    <w:p w14:paraId="13121696" w14:textId="5BEA5582" w:rsidR="46F9375C" w:rsidRDefault="461586B3" w:rsidP="3C60AEA8">
      <w:pPr>
        <w:spacing w:before="240" w:after="240"/>
        <w:rPr>
          <w:rFonts w:ascii="Aptos" w:eastAsia="Aptos" w:hAnsi="Aptos" w:cs="Aptos"/>
          <w:i/>
          <w:iCs/>
        </w:rPr>
      </w:pPr>
      <w:r w:rsidRPr="3C60AEA8">
        <w:rPr>
          <w:rFonts w:ascii="Aptos" w:eastAsia="Aptos" w:hAnsi="Aptos" w:cs="Aptos"/>
          <w:i/>
          <w:iCs/>
        </w:rPr>
        <w:t>5.</w:t>
      </w:r>
      <w:r w:rsidR="781E3B87" w:rsidRPr="3C60AEA8">
        <w:rPr>
          <w:rFonts w:ascii="Aptos" w:eastAsia="Aptos" w:hAnsi="Aptos" w:cs="Aptos"/>
          <w:i/>
          <w:iCs/>
        </w:rPr>
        <w:t>4</w:t>
      </w:r>
      <w:r w:rsidRPr="3C60AEA8">
        <w:rPr>
          <w:rFonts w:ascii="Aptos" w:eastAsia="Aptos" w:hAnsi="Aptos" w:cs="Aptos"/>
          <w:i/>
          <w:iCs/>
        </w:rPr>
        <w:t>.</w:t>
      </w:r>
      <w:r w:rsidR="1C07E079" w:rsidRPr="3C60AEA8">
        <w:rPr>
          <w:rFonts w:ascii="Aptos" w:eastAsia="Aptos" w:hAnsi="Aptos" w:cs="Aptos"/>
          <w:i/>
          <w:iCs/>
        </w:rPr>
        <w:t>3.</w:t>
      </w:r>
      <w:r w:rsidRPr="3C60AEA8">
        <w:rPr>
          <w:rFonts w:ascii="Aptos" w:eastAsia="Aptos" w:hAnsi="Aptos" w:cs="Aptos"/>
          <w:i/>
          <w:iCs/>
        </w:rPr>
        <w:t xml:space="preserve"> Spatial </w:t>
      </w:r>
      <w:r w:rsidR="3B6453CD" w:rsidRPr="3C60AEA8">
        <w:rPr>
          <w:rFonts w:ascii="Aptos" w:eastAsia="Aptos" w:hAnsi="Aptos" w:cs="Aptos"/>
          <w:i/>
          <w:iCs/>
        </w:rPr>
        <w:t>patterns</w:t>
      </w:r>
      <w:r w:rsidR="5CE1FCED" w:rsidRPr="3C60AEA8">
        <w:rPr>
          <w:rFonts w:ascii="Aptos" w:eastAsia="Aptos" w:hAnsi="Aptos" w:cs="Aptos"/>
          <w:i/>
          <w:iCs/>
        </w:rPr>
        <w:t xml:space="preserve"> of disaster recovery performance gap</w:t>
      </w:r>
    </w:p>
    <w:p w14:paraId="5100071D" w14:textId="434D7A4B" w:rsidR="1192CA3D" w:rsidRDefault="00E9F2FC" w:rsidP="3C60AEA8">
      <w:pPr>
        <w:spacing w:before="240" w:after="240"/>
        <w:rPr>
          <w:rFonts w:ascii="Aptos" w:eastAsia="Aptos" w:hAnsi="Aptos" w:cs="Aptos"/>
        </w:rPr>
      </w:pPr>
      <w:r>
        <w:rPr>
          <w:rFonts w:ascii="Aptos" w:hAnsi="Aptos"/>
        </w:rPr>
        <w:t>The performance gap evaluates whether recovery efforts achieve comparatively strong outcomes relative to disaster demand. At the county level (Figure 8(a)), high performance gaps are concentrated along the Gulf Coast, especially in Texas and Louisiana, where high disaster exposure coincides with weaker Recovery Performance scores. Additional clusters appear in parts of the Southeast and along the Atlantic coast. As with the earlier maps, these patterns are descriptive rather than causal, but they help distinguish places where slow implementation is accompanied by broader difficulties in converting funding and administrative effort into completed programs and fully expended obligations.</w:t>
      </w:r>
    </w:p>
    <w:p w14:paraId="3E3D47AF" w14:textId="7E5720BF" w:rsidR="5E4F7184" w:rsidRDefault="49BA0267" w:rsidP="0FA9DDF5">
      <w:pPr>
        <w:spacing w:before="240" w:after="240"/>
        <w:rPr>
          <w:rFonts w:ascii="Aptos" w:eastAsia="Aptos" w:hAnsi="Aptos" w:cs="Aptos"/>
        </w:rPr>
      </w:pPr>
      <w:r>
        <w:rPr>
          <w:noProof/>
        </w:rPr>
        <w:drawing>
          <wp:inline distT="0" distB="0" distL="0" distR="0" wp14:anchorId="070C8AE8" wp14:editId="03AB91A6">
            <wp:extent cx="5943600" cy="3381375"/>
            <wp:effectExtent l="0" t="0" r="0" b="0"/>
            <wp:docPr id="174850237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8502373" name="Picture 1748502373"/>
                    <pic:cNvPicPr/>
                  </pic:nvPicPr>
                  <pic:blipFill>
                    <a:blip r:embed="rId14">
                      <a:extLst>
                        <a:ext uri="{28A0092B-C50C-407E-A947-70E740481C1C}">
                          <a14:useLocalDpi xmlns:a14="http://schemas.microsoft.com/office/drawing/2010/main"/>
                        </a:ext>
                      </a:extLst>
                    </a:blip>
                    <a:stretch>
                      <a:fillRect/>
                    </a:stretch>
                  </pic:blipFill>
                  <pic:spPr>
                    <a:xfrm>
                      <a:off x="0" y="0"/>
                      <a:ext cx="5943600" cy="3381375"/>
                    </a:xfrm>
                    <a:prstGeom prst="rect">
                      <a:avLst/>
                    </a:prstGeom>
                  </pic:spPr>
                </pic:pic>
              </a:graphicData>
            </a:graphic>
          </wp:inline>
        </w:drawing>
      </w:r>
      <w:r w:rsidR="0228D2AD" w:rsidRPr="3C60AEA8">
        <w:rPr>
          <w:rFonts w:ascii="Aptos" w:eastAsia="Aptos" w:hAnsi="Aptos" w:cs="Aptos"/>
          <w:b/>
          <w:bCs/>
        </w:rPr>
        <w:t xml:space="preserve">Figure </w:t>
      </w:r>
      <w:r w:rsidR="1FD660EE" w:rsidRPr="3C60AEA8">
        <w:rPr>
          <w:rFonts w:ascii="Aptos" w:eastAsia="Aptos" w:hAnsi="Aptos" w:cs="Aptos"/>
          <w:b/>
          <w:bCs/>
        </w:rPr>
        <w:t>8</w:t>
      </w:r>
      <w:r w:rsidR="0228D2AD" w:rsidRPr="3C60AEA8">
        <w:rPr>
          <w:rFonts w:ascii="Aptos" w:eastAsia="Aptos" w:hAnsi="Aptos" w:cs="Aptos"/>
          <w:b/>
          <w:bCs/>
        </w:rPr>
        <w:t xml:space="preserve">. </w:t>
      </w:r>
      <w:r w:rsidR="4436CCF9" w:rsidRPr="3C60AEA8">
        <w:rPr>
          <w:rFonts w:ascii="Aptos" w:eastAsia="Aptos" w:hAnsi="Aptos" w:cs="Aptos"/>
        </w:rPr>
        <w:t>Spatial distributions of (a) c</w:t>
      </w:r>
      <w:r w:rsidR="0228D2AD" w:rsidRPr="3C60AEA8">
        <w:rPr>
          <w:rFonts w:ascii="Aptos" w:eastAsia="Aptos" w:hAnsi="Aptos" w:cs="Aptos"/>
        </w:rPr>
        <w:t>ounty-level disaster recovery performance gap</w:t>
      </w:r>
      <w:r w:rsidR="10522BA5" w:rsidRPr="3C60AEA8">
        <w:rPr>
          <w:rFonts w:ascii="Aptos" w:eastAsia="Aptos" w:hAnsi="Aptos" w:cs="Aptos"/>
        </w:rPr>
        <w:t>, (b) c</w:t>
      </w:r>
      <w:r w:rsidR="0228D2AD" w:rsidRPr="3C60AEA8">
        <w:rPr>
          <w:rFonts w:ascii="Aptos" w:eastAsia="Aptos" w:hAnsi="Aptos" w:cs="Aptos"/>
        </w:rPr>
        <w:t>ounty-level disaster recovery exposure-performance typology</w:t>
      </w:r>
      <w:r w:rsidR="4519FC3C" w:rsidRPr="3C60AEA8">
        <w:rPr>
          <w:rFonts w:ascii="Aptos" w:eastAsia="Aptos" w:hAnsi="Aptos" w:cs="Aptos"/>
        </w:rPr>
        <w:t>, and (c) st</w:t>
      </w:r>
      <w:r w:rsidR="0228D2AD" w:rsidRPr="3C60AEA8">
        <w:rPr>
          <w:rFonts w:ascii="Aptos" w:eastAsia="Aptos" w:hAnsi="Aptos" w:cs="Aptos"/>
        </w:rPr>
        <w:t>ate-level disaster recovery performance gap</w:t>
      </w:r>
      <w:r w:rsidR="06C82998" w:rsidRPr="3C60AEA8">
        <w:rPr>
          <w:rFonts w:ascii="Aptos" w:eastAsia="Aptos" w:hAnsi="Aptos" w:cs="Aptos"/>
        </w:rPr>
        <w:t>.</w:t>
      </w:r>
    </w:p>
    <w:p w14:paraId="145B1AD1" w14:textId="3EA42563" w:rsidR="7E1E4646" w:rsidRDefault="7E1E4646" w:rsidP="3C60AEA8">
      <w:pPr>
        <w:spacing w:before="240" w:after="240"/>
        <w:rPr>
          <w:rFonts w:ascii="Aptos" w:eastAsia="Aptos" w:hAnsi="Aptos" w:cs="Aptos"/>
        </w:rPr>
      </w:pPr>
      <w:r w:rsidRPr="5A746606">
        <w:rPr>
          <w:rFonts w:ascii="Aptos" w:eastAsia="Aptos" w:hAnsi="Aptos" w:cs="Aptos"/>
        </w:rPr>
        <w:lastRenderedPageBreak/>
        <w:t xml:space="preserve">State-level patterns (Figure 8(c)) showed Texas and California with the largest gaps, while Midwestern and northern states generally exhibited lower gaps, reflecting a more balanced relationship between disaster demand and recovery performance. This measure uniquely captured fund allocation and program outcome effectiveness, complementing the capacity and implementation gaps by revealing where </w:t>
      </w:r>
      <w:r w:rsidR="413A1D7A" w:rsidRPr="5A746606">
        <w:rPr>
          <w:rFonts w:ascii="Aptos" w:eastAsia="Aptos" w:hAnsi="Aptos" w:cs="Aptos"/>
        </w:rPr>
        <w:t xml:space="preserve">CDBG-DR funds or </w:t>
      </w:r>
      <w:r w:rsidRPr="5A746606">
        <w:rPr>
          <w:rFonts w:ascii="Aptos" w:eastAsia="Aptos" w:hAnsi="Aptos" w:cs="Aptos"/>
        </w:rPr>
        <w:t>recovery programs underperformed despite available resources or timely execution.</w:t>
      </w:r>
    </w:p>
    <w:p w14:paraId="3563F3C8" w14:textId="1B1D4244" w:rsidR="590AF8B0" w:rsidRDefault="590AF8B0" w:rsidP="3C60AEA8">
      <w:pPr>
        <w:spacing w:before="240" w:after="240"/>
        <w:rPr>
          <w:rFonts w:ascii="Aptos" w:eastAsia="Aptos" w:hAnsi="Aptos" w:cs="Aptos"/>
        </w:rPr>
      </w:pPr>
      <w:r>
        <w:rPr>
          <w:rFonts w:ascii="Aptos" w:hAnsi="Aptos"/>
        </w:rPr>
        <w:t>Taken together, the three gap measures provide a descriptive picture of disaster recovery governance across structural capacity, operational timeliness, and realized performance. All three point to persistent pressure along the Gulf Coast and in parts of the southern United States. By separating capacity gaps from implementation and performance gaps, the analysis suggests different intervention logics: high capacity gaps point to the need for administrative surge support, high implementation gaps suggest process streamlining and coordination improvements, and high performance gaps raise questions about program design, targeting, and accountability. These metrics should be used as screening devices, not as stand-alone proof of causal institutional failure.</w:t>
      </w:r>
    </w:p>
    <w:p w14:paraId="02BE4CE7" w14:textId="76B56E2C" w:rsidR="5E4F7184" w:rsidRDefault="5E4F7184" w:rsidP="4563BE08">
      <w:pPr>
        <w:spacing w:before="240" w:after="240"/>
        <w:rPr>
          <w:rFonts w:ascii="Aptos" w:eastAsia="Aptos" w:hAnsi="Aptos" w:cs="Aptos"/>
        </w:rPr>
      </w:pPr>
      <w:r w:rsidRPr="3C60AEA8">
        <w:rPr>
          <w:rFonts w:ascii="Aptos" w:eastAsia="Aptos" w:hAnsi="Aptos" w:cs="Aptos"/>
          <w:b/>
          <w:bCs/>
        </w:rPr>
        <w:t>5.</w:t>
      </w:r>
      <w:r w:rsidR="730C5BE0" w:rsidRPr="3C60AEA8">
        <w:rPr>
          <w:rFonts w:ascii="Aptos" w:eastAsia="Aptos" w:hAnsi="Aptos" w:cs="Aptos"/>
          <w:b/>
          <w:bCs/>
        </w:rPr>
        <w:t>5</w:t>
      </w:r>
      <w:r w:rsidRPr="3C60AEA8">
        <w:rPr>
          <w:rFonts w:ascii="Aptos" w:eastAsia="Aptos" w:hAnsi="Aptos" w:cs="Aptos"/>
          <w:b/>
          <w:bCs/>
        </w:rPr>
        <w:t xml:space="preserve">. </w:t>
      </w:r>
      <w:r w:rsidR="11A4E1FC" w:rsidRPr="3C60AEA8">
        <w:rPr>
          <w:rFonts w:ascii="Aptos" w:eastAsia="Aptos" w:hAnsi="Aptos" w:cs="Aptos"/>
          <w:b/>
          <w:bCs/>
        </w:rPr>
        <w:t>Disaster recovery g</w:t>
      </w:r>
      <w:r w:rsidRPr="3C60AEA8">
        <w:rPr>
          <w:rFonts w:ascii="Aptos" w:eastAsia="Aptos" w:hAnsi="Aptos" w:cs="Aptos"/>
          <w:b/>
          <w:bCs/>
        </w:rPr>
        <w:t>overnance risk analysis</w:t>
      </w:r>
    </w:p>
    <w:p w14:paraId="4CD4C4D5" w14:textId="2C3C4A83" w:rsidR="5E4F7184" w:rsidRDefault="0B11BF0D" w:rsidP="3C60AEA8">
      <w:pPr>
        <w:spacing w:before="240" w:after="240"/>
        <w:rPr>
          <w:rFonts w:ascii="Aptos" w:eastAsia="Aptos" w:hAnsi="Aptos" w:cs="Aptos"/>
        </w:rPr>
      </w:pPr>
      <w:r>
        <w:rPr>
          <w:rFonts w:ascii="Aptos" w:hAnsi="Aptos"/>
        </w:rPr>
        <w:t>To investigate the institutional and contextual drivers underlying those gap patterns, we retain a Recovery Governance Risk Index as a descriptive composite. Conceptually, the index increases with disaster exposure and social vulnerability and decreases with Administrative Burden Capacity. Because the later external workflow preserves the mapped outputs and ranked jurisdictions but not the original weighting script, the index is interpreted here as a heuristic screening tool rather than as a fully audited latent or causal measure. Figure 9 therefore should be read as highlighting candidate priority areas for further investigation, not as establishing a formal threshold of governance failure.</w:t>
      </w:r>
    </w:p>
    <w:p w14:paraId="0427E454" w14:textId="3AEDF3B4" w:rsidR="21BCF88A" w:rsidRDefault="66EBED9F" w:rsidP="0FA9DDF5">
      <w:pPr>
        <w:spacing w:before="240" w:after="240"/>
        <w:rPr>
          <w:rFonts w:ascii="Aptos" w:eastAsia="Aptos" w:hAnsi="Aptos" w:cs="Aptos"/>
        </w:rPr>
      </w:pPr>
      <w:r>
        <w:rPr>
          <w:noProof/>
        </w:rPr>
        <w:lastRenderedPageBreak/>
        <w:drawing>
          <wp:inline distT="0" distB="0" distL="0" distR="0" wp14:anchorId="7F518A90" wp14:editId="68A98FBA">
            <wp:extent cx="5943600" cy="1847850"/>
            <wp:effectExtent l="0" t="0" r="0" b="0"/>
            <wp:docPr id="7915544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155445" name="Picture 79155445"/>
                    <pic:cNvPicPr/>
                  </pic:nvPicPr>
                  <pic:blipFill>
                    <a:blip r:embed="rId15">
                      <a:extLst>
                        <a:ext uri="{28A0092B-C50C-407E-A947-70E740481C1C}">
                          <a14:useLocalDpi xmlns:a14="http://schemas.microsoft.com/office/drawing/2010/main"/>
                        </a:ext>
                      </a:extLst>
                    </a:blip>
                    <a:stretch>
                      <a:fillRect/>
                    </a:stretch>
                  </pic:blipFill>
                  <pic:spPr>
                    <a:xfrm>
                      <a:off x="0" y="0"/>
                      <a:ext cx="5943600" cy="1847850"/>
                    </a:xfrm>
                    <a:prstGeom prst="rect">
                      <a:avLst/>
                    </a:prstGeom>
                  </pic:spPr>
                </pic:pic>
              </a:graphicData>
            </a:graphic>
          </wp:inline>
        </w:drawing>
      </w:r>
      <w:r w:rsidR="5833E6D7" w:rsidRPr="3C60AEA8">
        <w:rPr>
          <w:rFonts w:ascii="Aptos" w:eastAsia="Aptos" w:hAnsi="Aptos" w:cs="Aptos"/>
          <w:b/>
          <w:bCs/>
        </w:rPr>
        <w:t xml:space="preserve">Figure </w:t>
      </w:r>
      <w:r w:rsidR="1FEFC786" w:rsidRPr="3C60AEA8">
        <w:rPr>
          <w:rFonts w:ascii="Aptos" w:eastAsia="Aptos" w:hAnsi="Aptos" w:cs="Aptos"/>
          <w:b/>
          <w:bCs/>
        </w:rPr>
        <w:t>9</w:t>
      </w:r>
      <w:r w:rsidR="5833E6D7" w:rsidRPr="3C60AEA8">
        <w:rPr>
          <w:rFonts w:ascii="Aptos" w:eastAsia="Aptos" w:hAnsi="Aptos" w:cs="Aptos"/>
          <w:b/>
          <w:bCs/>
        </w:rPr>
        <w:t xml:space="preserve">. </w:t>
      </w:r>
      <w:r w:rsidR="517531E1" w:rsidRPr="3C60AEA8">
        <w:rPr>
          <w:rFonts w:ascii="Aptos" w:eastAsia="Aptos" w:hAnsi="Aptos" w:cs="Aptos"/>
        </w:rPr>
        <w:t>Spatial distributions of (a) c</w:t>
      </w:r>
      <w:r w:rsidR="5833E6D7" w:rsidRPr="3C60AEA8">
        <w:rPr>
          <w:rFonts w:ascii="Aptos" w:eastAsia="Aptos" w:hAnsi="Aptos" w:cs="Aptos"/>
        </w:rPr>
        <w:t>ounty-level disaster recovery governance ris</w:t>
      </w:r>
      <w:r w:rsidR="2D480AB3" w:rsidRPr="3C60AEA8">
        <w:rPr>
          <w:rFonts w:ascii="Aptos" w:eastAsia="Aptos" w:hAnsi="Aptos" w:cs="Aptos"/>
        </w:rPr>
        <w:t>k and (b)</w:t>
      </w:r>
      <w:r w:rsidR="5833E6D7" w:rsidRPr="3C60AEA8">
        <w:rPr>
          <w:rFonts w:ascii="Aptos" w:eastAsia="Aptos" w:hAnsi="Aptos" w:cs="Aptos"/>
        </w:rPr>
        <w:t xml:space="preserve"> </w:t>
      </w:r>
      <w:r w:rsidR="78F376EB" w:rsidRPr="3C60AEA8">
        <w:rPr>
          <w:rFonts w:ascii="Aptos" w:eastAsia="Aptos" w:hAnsi="Aptos" w:cs="Aptos"/>
        </w:rPr>
        <w:t xml:space="preserve">high-governance-risk counties with high priorities on </w:t>
      </w:r>
      <w:r w:rsidR="5833E6D7" w:rsidRPr="3C60AEA8">
        <w:rPr>
          <w:rFonts w:ascii="Aptos" w:eastAsia="Aptos" w:hAnsi="Aptos" w:cs="Aptos"/>
        </w:rPr>
        <w:t>disaster recovery</w:t>
      </w:r>
      <w:r w:rsidR="1F76A7C2" w:rsidRPr="3C60AEA8">
        <w:rPr>
          <w:rFonts w:ascii="Aptos" w:eastAsia="Aptos" w:hAnsi="Aptos" w:cs="Aptos"/>
        </w:rPr>
        <w:t>.</w:t>
      </w:r>
    </w:p>
    <w:p w14:paraId="311C1E93" w14:textId="0AB2C4C3" w:rsidR="30E2D4C6" w:rsidRDefault="6185610F" w:rsidP="5A746606">
      <w:pPr>
        <w:spacing w:before="240" w:after="240"/>
        <w:rPr>
          <w:rFonts w:ascii="Aptos" w:eastAsia="Aptos" w:hAnsi="Aptos" w:cs="Aptos"/>
        </w:rPr>
      </w:pPr>
      <w:r>
        <w:rPr>
          <w:rFonts w:ascii="Aptos" w:hAnsi="Aptos"/>
        </w:rPr>
        <w:t>The county-level governance risk map (Figure 9(a)) reveals a highly uneven spatial distribution of recovery governance risk across the United States. Elevated risk levels are concentrated along the Gulf Coast, particularly in Texas and Louisiana, where high disaster exposure and social vulnerability coincide with relatively constrained burden capacity. Additional clusters of higher-risk counties appear in parts of the Southeast, Appalachia, and the inland South, while much of the Midwest and northern regions exhibit lower composite risk. Localized pockets of elevated risk are also visible in parts of the West and Northeast. This spatial heterogeneity suggests that governance constraints are not confined to one region, although the index should be interpreted as a descriptive overlay built from standardized components rather than as a validated prediction model.</w:t>
      </w:r>
    </w:p>
    <w:p w14:paraId="72B669FB" w14:textId="7400D65F" w:rsidR="30E2D4C6" w:rsidRDefault="2CC70A3E" w:rsidP="5A746606">
      <w:pPr>
        <w:spacing w:before="240" w:after="240"/>
        <w:rPr>
          <w:rFonts w:ascii="Aptos" w:eastAsia="Aptos" w:hAnsi="Aptos" w:cs="Aptos"/>
        </w:rPr>
      </w:pPr>
      <w:r>
        <w:rPr>
          <w:rFonts w:ascii="Aptos" w:hAnsi="Aptos"/>
        </w:rPr>
        <w:t>Figure 9(b) further refines this analysis by identifying counties with risk scores above 1. In the revised manuscript, that threshold is treated as a practical screening cutoff rather than as a statistical break point. The priority jurisdictions identified by this rule are heavily clustered along the Gulf Coast and across the southern United States, closely corresponding to areas previously identified as having sizable capacity, implementation, and performance gaps. Additional clusters appear in parts of the Mid-Atlantic and selected metropolitan or peri-urban counties, where elevated social vulnerability and administrative complexity may intensify recovery challenges.</w:t>
      </w:r>
    </w:p>
    <w:p w14:paraId="196DF482" w14:textId="3B92CE85" w:rsidR="5E4F7184" w:rsidRDefault="50D8846F" w:rsidP="5A746606">
      <w:pPr>
        <w:spacing w:before="240" w:after="240"/>
        <w:rPr>
          <w:rFonts w:ascii="Aptos" w:eastAsia="Aptos" w:hAnsi="Aptos" w:cs="Aptos"/>
        </w:rPr>
      </w:pPr>
      <w:r>
        <w:rPr>
          <w:rFonts w:ascii="Aptos" w:hAnsi="Aptos"/>
        </w:rPr>
        <w:t>Overall, the governance risk results indicate that disaster recovery constraints in the United States are geographically concentrated yet not exclusively regional. The counties at the top of Table 3 combine high exposure, high vulnerability, and limited capacity, making them sensible candidates for targeted technical assistance, workforce support, and intergovernmental coordination efforts. At the same time, because the risk index is retained as a heuristic composite, the ranking should not be treated as a definitive league table. Its value lies in helping planners and program managers identify where more detailed institutional diagnostics may be most useful.</w:t>
      </w:r>
    </w:p>
    <w:p w14:paraId="2E0B5BC6" w14:textId="77B72010" w:rsidR="12FEECF3" w:rsidRDefault="12FEECF3" w:rsidP="3C60AEA8">
      <w:pPr>
        <w:spacing w:before="240" w:after="240"/>
        <w:rPr>
          <w:rFonts w:ascii="Aptos" w:eastAsia="Aptos" w:hAnsi="Aptos" w:cs="Aptos"/>
        </w:rPr>
      </w:pPr>
      <w:r w:rsidRPr="3C60AEA8">
        <w:rPr>
          <w:rFonts w:ascii="Aptos" w:eastAsia="Aptos" w:hAnsi="Aptos" w:cs="Aptos"/>
          <w:b/>
          <w:bCs/>
        </w:rPr>
        <w:t xml:space="preserve">Table </w:t>
      </w:r>
      <w:r w:rsidR="754DB859" w:rsidRPr="3C60AEA8">
        <w:rPr>
          <w:rFonts w:ascii="Aptos" w:eastAsia="Aptos" w:hAnsi="Aptos" w:cs="Aptos"/>
          <w:b/>
          <w:bCs/>
        </w:rPr>
        <w:t>3</w:t>
      </w:r>
      <w:r w:rsidRPr="3C60AEA8">
        <w:rPr>
          <w:rFonts w:ascii="Aptos" w:eastAsia="Aptos" w:hAnsi="Aptos" w:cs="Aptos"/>
        </w:rPr>
        <w:t>. Top</w:t>
      </w:r>
      <w:r w:rsidR="63AD8656" w:rsidRPr="3C60AEA8">
        <w:rPr>
          <w:rFonts w:ascii="Aptos" w:eastAsia="Aptos" w:hAnsi="Aptos" w:cs="Aptos"/>
        </w:rPr>
        <w:t xml:space="preserve"> 20</w:t>
      </w:r>
      <w:r w:rsidRPr="3C60AEA8">
        <w:rPr>
          <w:rFonts w:ascii="Aptos" w:eastAsia="Aptos" w:hAnsi="Aptos" w:cs="Aptos"/>
        </w:rPr>
        <w:t xml:space="preserve"> jurisdictions with the highest disaster recovery governance risk</w:t>
      </w:r>
      <w:r w:rsidR="6CE8C42F" w:rsidRPr="3C60AEA8">
        <w:rPr>
          <w:rFonts w:ascii="Aptos" w:eastAsia="Aptos" w:hAnsi="Aptos" w:cs="Aptos"/>
        </w:rPr>
        <w:t xml:space="preserve"> index</w:t>
      </w:r>
    </w:p>
    <w:tbl>
      <w:tblPr>
        <w:tblW w:w="8583" w:type="dxa"/>
        <w:tblBorders>
          <w:top w:val="single" w:sz="12" w:space="0" w:color="000000" w:themeColor="text1"/>
          <w:left w:val="single" w:sz="12" w:space="0" w:color="000000" w:themeColor="text1"/>
          <w:bottom w:val="single" w:sz="12" w:space="0" w:color="000000" w:themeColor="text1"/>
          <w:right w:val="single" w:sz="12" w:space="0" w:color="000000" w:themeColor="text1"/>
          <w:insideH w:val="single" w:sz="12" w:space="0" w:color="000000" w:themeColor="text1"/>
          <w:insideV w:val="single" w:sz="12" w:space="0" w:color="000000" w:themeColor="text1"/>
        </w:tblBorders>
        <w:tblLook w:val="06A0" w:firstRow="1" w:lastRow="0" w:firstColumn="1" w:lastColumn="0" w:noHBand="1" w:noVBand="1"/>
      </w:tblPr>
      <w:tblGrid>
        <w:gridCol w:w="860"/>
        <w:gridCol w:w="2325"/>
        <w:gridCol w:w="1230"/>
        <w:gridCol w:w="1176"/>
        <w:gridCol w:w="1670"/>
        <w:gridCol w:w="1322"/>
      </w:tblGrid>
      <w:tr w:rsidR="4563BE08" w14:paraId="683A21F1" w14:textId="77777777" w:rsidTr="5A746606">
        <w:trPr>
          <w:trHeight w:val="300"/>
        </w:trPr>
        <w:tc>
          <w:tcPr>
            <w:tcW w:w="860" w:type="dxa"/>
            <w:vAlign w:val="center"/>
          </w:tcPr>
          <w:p w14:paraId="676CF2B6" w14:textId="0D7BAC6C" w:rsidR="4563BE08" w:rsidRDefault="4563BE08" w:rsidP="4563BE08">
            <w:pPr>
              <w:spacing w:after="0"/>
              <w:jc w:val="center"/>
            </w:pPr>
            <w:r>
              <w:t>Rank</w:t>
            </w:r>
          </w:p>
        </w:tc>
        <w:tc>
          <w:tcPr>
            <w:tcW w:w="2325" w:type="dxa"/>
            <w:vAlign w:val="center"/>
          </w:tcPr>
          <w:p w14:paraId="0155F6E5" w14:textId="4441DE76" w:rsidR="4563BE08" w:rsidRDefault="4563BE08" w:rsidP="4563BE08">
            <w:pPr>
              <w:spacing w:after="0"/>
              <w:jc w:val="center"/>
            </w:pPr>
            <w:r>
              <w:t>Jurisdiction</w:t>
            </w:r>
          </w:p>
        </w:tc>
        <w:tc>
          <w:tcPr>
            <w:tcW w:w="1230" w:type="dxa"/>
            <w:vAlign w:val="center"/>
          </w:tcPr>
          <w:p w14:paraId="363A5A0D" w14:textId="30979281" w:rsidR="4563BE08" w:rsidRDefault="4563BE08" w:rsidP="4563BE08">
            <w:pPr>
              <w:spacing w:after="0"/>
              <w:jc w:val="center"/>
            </w:pPr>
            <w:r>
              <w:t>Exposure</w:t>
            </w:r>
          </w:p>
        </w:tc>
        <w:tc>
          <w:tcPr>
            <w:tcW w:w="1176" w:type="dxa"/>
            <w:vAlign w:val="center"/>
          </w:tcPr>
          <w:p w14:paraId="6DE207FF" w14:textId="4C137EAF" w:rsidR="4563BE08" w:rsidRDefault="4563BE08" w:rsidP="4563BE08">
            <w:pPr>
              <w:spacing w:after="0"/>
              <w:jc w:val="center"/>
            </w:pPr>
            <w:r>
              <w:t>Capacity</w:t>
            </w:r>
          </w:p>
        </w:tc>
        <w:tc>
          <w:tcPr>
            <w:tcW w:w="1670" w:type="dxa"/>
            <w:vAlign w:val="center"/>
          </w:tcPr>
          <w:p w14:paraId="28622FB1" w14:textId="73C93148" w:rsidR="4563BE08" w:rsidRDefault="4563BE08" w:rsidP="4563BE08">
            <w:pPr>
              <w:spacing w:after="0"/>
              <w:jc w:val="center"/>
            </w:pPr>
            <w:r>
              <w:t>Vulnerability</w:t>
            </w:r>
          </w:p>
        </w:tc>
        <w:tc>
          <w:tcPr>
            <w:tcW w:w="1322" w:type="dxa"/>
            <w:vAlign w:val="center"/>
          </w:tcPr>
          <w:p w14:paraId="46A190E9" w14:textId="2322D0E1" w:rsidR="4563BE08" w:rsidRDefault="4563BE08" w:rsidP="4563BE08">
            <w:pPr>
              <w:spacing w:after="0"/>
              <w:jc w:val="center"/>
            </w:pPr>
            <w:r>
              <w:t>Risk Index</w:t>
            </w:r>
          </w:p>
        </w:tc>
      </w:tr>
      <w:tr w:rsidR="4563BE08" w14:paraId="149113FB" w14:textId="77777777" w:rsidTr="5A746606">
        <w:trPr>
          <w:trHeight w:val="300"/>
        </w:trPr>
        <w:tc>
          <w:tcPr>
            <w:tcW w:w="860" w:type="dxa"/>
            <w:vAlign w:val="center"/>
          </w:tcPr>
          <w:p w14:paraId="1C2C0B58" w14:textId="379345FB" w:rsidR="4563BE08" w:rsidRDefault="4563BE08" w:rsidP="4563BE08">
            <w:pPr>
              <w:spacing w:after="0"/>
            </w:pPr>
            <w:r>
              <w:t>1</w:t>
            </w:r>
          </w:p>
        </w:tc>
        <w:tc>
          <w:tcPr>
            <w:tcW w:w="2325" w:type="dxa"/>
            <w:vAlign w:val="center"/>
          </w:tcPr>
          <w:p w14:paraId="58B2529E" w14:textId="77723E48" w:rsidR="41D8F452" w:rsidRDefault="41D8F452" w:rsidP="41D8F452">
            <w:pPr>
              <w:spacing w:after="0"/>
            </w:pPr>
            <w:r w:rsidRPr="41D8F452">
              <w:rPr>
                <w:rFonts w:ascii="Aptos Narrow" w:eastAsia="Aptos Narrow" w:hAnsi="Aptos Narrow" w:cs="Aptos Narrow"/>
                <w:color w:val="000000" w:themeColor="text1"/>
                <w:sz w:val="22"/>
                <w:szCs w:val="22"/>
              </w:rPr>
              <w:t>Harris County, TX</w:t>
            </w:r>
          </w:p>
        </w:tc>
        <w:tc>
          <w:tcPr>
            <w:tcW w:w="1230" w:type="dxa"/>
            <w:vAlign w:val="center"/>
          </w:tcPr>
          <w:p w14:paraId="45DFE33C" w14:textId="471475D4" w:rsidR="41D8F452" w:rsidRDefault="41D8F452" w:rsidP="41D8F452">
            <w:pPr>
              <w:spacing w:after="0"/>
              <w:jc w:val="right"/>
            </w:pPr>
            <w:r w:rsidRPr="41D8F452">
              <w:rPr>
                <w:rFonts w:ascii="Aptos Narrow" w:eastAsia="Aptos Narrow" w:hAnsi="Aptos Narrow" w:cs="Aptos Narrow"/>
                <w:color w:val="000000" w:themeColor="text1"/>
                <w:sz w:val="22"/>
                <w:szCs w:val="22"/>
              </w:rPr>
              <w:t>3.9092</w:t>
            </w:r>
          </w:p>
        </w:tc>
        <w:tc>
          <w:tcPr>
            <w:tcW w:w="1176" w:type="dxa"/>
            <w:vAlign w:val="center"/>
          </w:tcPr>
          <w:p w14:paraId="7B9803B6" w14:textId="66ECDDD2" w:rsidR="41D8F452" w:rsidRDefault="41D8F452" w:rsidP="41D8F452">
            <w:pPr>
              <w:spacing w:after="0"/>
              <w:jc w:val="right"/>
            </w:pPr>
            <w:r w:rsidRPr="41D8F452">
              <w:rPr>
                <w:rFonts w:ascii="Aptos Narrow" w:eastAsia="Aptos Narrow" w:hAnsi="Aptos Narrow" w:cs="Aptos Narrow"/>
                <w:color w:val="000000" w:themeColor="text1"/>
                <w:sz w:val="22"/>
                <w:szCs w:val="22"/>
              </w:rPr>
              <w:t>-8.4353</w:t>
            </w:r>
          </w:p>
        </w:tc>
        <w:tc>
          <w:tcPr>
            <w:tcW w:w="1670" w:type="dxa"/>
            <w:vAlign w:val="center"/>
          </w:tcPr>
          <w:p w14:paraId="70B15A0F" w14:textId="5EF8267A" w:rsidR="41D8F452" w:rsidRDefault="41D8F452" w:rsidP="41D8F452">
            <w:pPr>
              <w:spacing w:after="0"/>
              <w:jc w:val="right"/>
            </w:pPr>
            <w:r w:rsidRPr="41D8F452">
              <w:rPr>
                <w:rFonts w:ascii="Aptos Narrow" w:eastAsia="Aptos Narrow" w:hAnsi="Aptos Narrow" w:cs="Aptos Narrow"/>
                <w:color w:val="000000" w:themeColor="text1"/>
                <w:sz w:val="22"/>
                <w:szCs w:val="22"/>
              </w:rPr>
              <w:t>0.512</w:t>
            </w:r>
            <w:r w:rsidR="6422D220" w:rsidRPr="41D8F452">
              <w:rPr>
                <w:rFonts w:ascii="Aptos Narrow" w:eastAsia="Aptos Narrow" w:hAnsi="Aptos Narrow" w:cs="Aptos Narrow"/>
                <w:color w:val="000000" w:themeColor="text1"/>
                <w:sz w:val="22"/>
                <w:szCs w:val="22"/>
              </w:rPr>
              <w:t>8</w:t>
            </w:r>
          </w:p>
        </w:tc>
        <w:tc>
          <w:tcPr>
            <w:tcW w:w="1322" w:type="dxa"/>
            <w:vAlign w:val="center"/>
          </w:tcPr>
          <w:p w14:paraId="10F1DB71" w14:textId="5D009407" w:rsidR="41D8F452" w:rsidRDefault="41D8F452" w:rsidP="41D8F452">
            <w:pPr>
              <w:spacing w:after="0"/>
              <w:jc w:val="right"/>
            </w:pPr>
            <w:r w:rsidRPr="41D8F452">
              <w:rPr>
                <w:rFonts w:ascii="Aptos Narrow" w:eastAsia="Aptos Narrow" w:hAnsi="Aptos Narrow" w:cs="Aptos Narrow"/>
                <w:color w:val="000000" w:themeColor="text1"/>
                <w:sz w:val="22"/>
                <w:szCs w:val="22"/>
              </w:rPr>
              <w:t>6.6466</w:t>
            </w:r>
          </w:p>
        </w:tc>
      </w:tr>
      <w:tr w:rsidR="4563BE08" w14:paraId="080ACFB9" w14:textId="77777777" w:rsidTr="5A746606">
        <w:trPr>
          <w:trHeight w:val="300"/>
        </w:trPr>
        <w:tc>
          <w:tcPr>
            <w:tcW w:w="860" w:type="dxa"/>
            <w:vAlign w:val="center"/>
          </w:tcPr>
          <w:p w14:paraId="056C1F60" w14:textId="3D517B3D" w:rsidR="4563BE08" w:rsidRDefault="4563BE08" w:rsidP="4563BE08">
            <w:pPr>
              <w:spacing w:after="0"/>
            </w:pPr>
            <w:r>
              <w:t>2</w:t>
            </w:r>
          </w:p>
        </w:tc>
        <w:tc>
          <w:tcPr>
            <w:tcW w:w="2325" w:type="dxa"/>
            <w:vAlign w:val="center"/>
          </w:tcPr>
          <w:p w14:paraId="1FC00A60" w14:textId="690A74BB" w:rsidR="41D8F452" w:rsidRDefault="41D8F452" w:rsidP="41D8F452">
            <w:pPr>
              <w:spacing w:after="0"/>
            </w:pPr>
            <w:r w:rsidRPr="41D8F452">
              <w:rPr>
                <w:rFonts w:ascii="Aptos Narrow" w:eastAsia="Aptos Narrow" w:hAnsi="Aptos Narrow" w:cs="Aptos Narrow"/>
                <w:color w:val="000000" w:themeColor="text1"/>
                <w:sz w:val="22"/>
                <w:szCs w:val="22"/>
              </w:rPr>
              <w:t>Galveston County, TX</w:t>
            </w:r>
          </w:p>
        </w:tc>
        <w:tc>
          <w:tcPr>
            <w:tcW w:w="1230" w:type="dxa"/>
            <w:vAlign w:val="center"/>
          </w:tcPr>
          <w:p w14:paraId="572127C7" w14:textId="42881B7C" w:rsidR="41D8F452" w:rsidRDefault="41D8F452" w:rsidP="41D8F452">
            <w:pPr>
              <w:spacing w:after="0"/>
              <w:jc w:val="right"/>
            </w:pPr>
            <w:r w:rsidRPr="41D8F452">
              <w:rPr>
                <w:rFonts w:ascii="Aptos Narrow" w:eastAsia="Aptos Narrow" w:hAnsi="Aptos Narrow" w:cs="Aptos Narrow"/>
                <w:color w:val="000000" w:themeColor="text1"/>
                <w:sz w:val="22"/>
                <w:szCs w:val="22"/>
              </w:rPr>
              <w:t>5.7159</w:t>
            </w:r>
          </w:p>
        </w:tc>
        <w:tc>
          <w:tcPr>
            <w:tcW w:w="1176" w:type="dxa"/>
            <w:vAlign w:val="center"/>
          </w:tcPr>
          <w:p w14:paraId="07918AD7" w14:textId="2C7CC447" w:rsidR="41D8F452" w:rsidRDefault="41D8F452" w:rsidP="41D8F452">
            <w:pPr>
              <w:spacing w:after="0"/>
              <w:jc w:val="right"/>
            </w:pPr>
            <w:r w:rsidRPr="41D8F452">
              <w:rPr>
                <w:rFonts w:ascii="Aptos Narrow" w:eastAsia="Aptos Narrow" w:hAnsi="Aptos Narrow" w:cs="Aptos Narrow"/>
                <w:color w:val="000000" w:themeColor="text1"/>
                <w:sz w:val="22"/>
                <w:szCs w:val="22"/>
              </w:rPr>
              <w:t>-6.8706</w:t>
            </w:r>
          </w:p>
        </w:tc>
        <w:tc>
          <w:tcPr>
            <w:tcW w:w="1670" w:type="dxa"/>
            <w:vAlign w:val="center"/>
          </w:tcPr>
          <w:p w14:paraId="337A5644" w14:textId="76CEFC04" w:rsidR="41D8F452" w:rsidRDefault="41D8F452" w:rsidP="41D8F452">
            <w:pPr>
              <w:spacing w:after="0"/>
              <w:jc w:val="right"/>
              <w:rPr>
                <w:rFonts w:ascii="Aptos Narrow" w:eastAsia="Aptos Narrow" w:hAnsi="Aptos Narrow" w:cs="Aptos Narrow"/>
                <w:color w:val="000000" w:themeColor="text1"/>
                <w:sz w:val="22"/>
                <w:szCs w:val="22"/>
              </w:rPr>
            </w:pPr>
            <w:r w:rsidRPr="41D8F452">
              <w:rPr>
                <w:rFonts w:ascii="Aptos Narrow" w:eastAsia="Aptos Narrow" w:hAnsi="Aptos Narrow" w:cs="Aptos Narrow"/>
                <w:color w:val="000000" w:themeColor="text1"/>
                <w:sz w:val="22"/>
                <w:szCs w:val="22"/>
              </w:rPr>
              <w:t>0.08</w:t>
            </w:r>
            <w:r w:rsidR="07D4B6D0" w:rsidRPr="41D8F452">
              <w:rPr>
                <w:rFonts w:ascii="Aptos Narrow" w:eastAsia="Aptos Narrow" w:hAnsi="Aptos Narrow" w:cs="Aptos Narrow"/>
                <w:color w:val="000000" w:themeColor="text1"/>
                <w:sz w:val="22"/>
                <w:szCs w:val="22"/>
              </w:rPr>
              <w:t>70</w:t>
            </w:r>
          </w:p>
        </w:tc>
        <w:tc>
          <w:tcPr>
            <w:tcW w:w="1322" w:type="dxa"/>
            <w:vAlign w:val="center"/>
          </w:tcPr>
          <w:p w14:paraId="27C795DE" w14:textId="0C60E61D" w:rsidR="41D8F452" w:rsidRDefault="41D8F452" w:rsidP="41D8F452">
            <w:pPr>
              <w:spacing w:after="0"/>
              <w:jc w:val="right"/>
            </w:pPr>
            <w:r w:rsidRPr="41D8F452">
              <w:rPr>
                <w:rFonts w:ascii="Aptos Narrow" w:eastAsia="Aptos Narrow" w:hAnsi="Aptos Narrow" w:cs="Aptos Narrow"/>
                <w:color w:val="000000" w:themeColor="text1"/>
                <w:sz w:val="22"/>
                <w:szCs w:val="22"/>
              </w:rPr>
              <w:t>6.5516</w:t>
            </w:r>
          </w:p>
        </w:tc>
      </w:tr>
      <w:tr w:rsidR="41D8F452" w14:paraId="1FE611B1" w14:textId="77777777" w:rsidTr="5A746606">
        <w:trPr>
          <w:trHeight w:val="300"/>
        </w:trPr>
        <w:tc>
          <w:tcPr>
            <w:tcW w:w="860" w:type="dxa"/>
            <w:vAlign w:val="center"/>
          </w:tcPr>
          <w:p w14:paraId="43901045" w14:textId="6A5E92BD" w:rsidR="2FA05A37" w:rsidRDefault="2FA05A37" w:rsidP="41D8F452">
            <w:r>
              <w:t>3</w:t>
            </w:r>
          </w:p>
        </w:tc>
        <w:tc>
          <w:tcPr>
            <w:tcW w:w="2325" w:type="dxa"/>
            <w:vAlign w:val="center"/>
          </w:tcPr>
          <w:p w14:paraId="0A8F1FC0" w14:textId="6E68311E" w:rsidR="41D8F452" w:rsidRDefault="41D8F452" w:rsidP="41D8F452">
            <w:pPr>
              <w:spacing w:after="0"/>
            </w:pPr>
            <w:r w:rsidRPr="41D8F452">
              <w:rPr>
                <w:rFonts w:ascii="Aptos Narrow" w:eastAsia="Aptos Narrow" w:hAnsi="Aptos Narrow" w:cs="Aptos Narrow"/>
                <w:color w:val="000000" w:themeColor="text1"/>
                <w:sz w:val="22"/>
                <w:szCs w:val="22"/>
              </w:rPr>
              <w:t>Jefferson Parish, LA</w:t>
            </w:r>
          </w:p>
        </w:tc>
        <w:tc>
          <w:tcPr>
            <w:tcW w:w="1230" w:type="dxa"/>
            <w:vAlign w:val="center"/>
          </w:tcPr>
          <w:p w14:paraId="6B527C15" w14:textId="54930784" w:rsidR="41D8F452" w:rsidRDefault="41D8F452" w:rsidP="41D8F452">
            <w:pPr>
              <w:spacing w:after="0"/>
              <w:jc w:val="right"/>
            </w:pPr>
            <w:r w:rsidRPr="41D8F452">
              <w:rPr>
                <w:rFonts w:ascii="Aptos Narrow" w:eastAsia="Aptos Narrow" w:hAnsi="Aptos Narrow" w:cs="Aptos Narrow"/>
                <w:color w:val="000000" w:themeColor="text1"/>
                <w:sz w:val="22"/>
                <w:szCs w:val="22"/>
              </w:rPr>
              <w:t>3.0059</w:t>
            </w:r>
          </w:p>
        </w:tc>
        <w:tc>
          <w:tcPr>
            <w:tcW w:w="1176" w:type="dxa"/>
            <w:vAlign w:val="center"/>
          </w:tcPr>
          <w:p w14:paraId="14A549C1" w14:textId="508D8F3D" w:rsidR="41D8F452" w:rsidRDefault="41D8F452" w:rsidP="41D8F452">
            <w:pPr>
              <w:spacing w:after="0"/>
              <w:jc w:val="right"/>
            </w:pPr>
            <w:r w:rsidRPr="41D8F452">
              <w:rPr>
                <w:rFonts w:ascii="Aptos Narrow" w:eastAsia="Aptos Narrow" w:hAnsi="Aptos Narrow" w:cs="Aptos Narrow"/>
                <w:color w:val="000000" w:themeColor="text1"/>
                <w:sz w:val="22"/>
                <w:szCs w:val="22"/>
              </w:rPr>
              <w:t>-3.914</w:t>
            </w:r>
            <w:r w:rsidR="3CB1FE2C" w:rsidRPr="41D8F452">
              <w:rPr>
                <w:rFonts w:ascii="Aptos Narrow" w:eastAsia="Aptos Narrow" w:hAnsi="Aptos Narrow" w:cs="Aptos Narrow"/>
                <w:color w:val="000000" w:themeColor="text1"/>
                <w:sz w:val="22"/>
                <w:szCs w:val="22"/>
              </w:rPr>
              <w:t>3</w:t>
            </w:r>
          </w:p>
        </w:tc>
        <w:tc>
          <w:tcPr>
            <w:tcW w:w="1670" w:type="dxa"/>
            <w:vAlign w:val="center"/>
          </w:tcPr>
          <w:p w14:paraId="7CC4625F" w14:textId="5CED4267" w:rsidR="41D8F452" w:rsidRDefault="41D8F452" w:rsidP="41D8F452">
            <w:pPr>
              <w:spacing w:after="0"/>
              <w:jc w:val="right"/>
            </w:pPr>
            <w:r w:rsidRPr="41D8F452">
              <w:rPr>
                <w:rFonts w:ascii="Aptos Narrow" w:eastAsia="Aptos Narrow" w:hAnsi="Aptos Narrow" w:cs="Aptos Narrow"/>
                <w:color w:val="000000" w:themeColor="text1"/>
                <w:sz w:val="22"/>
                <w:szCs w:val="22"/>
              </w:rPr>
              <w:t>0.1655</w:t>
            </w:r>
          </w:p>
        </w:tc>
        <w:tc>
          <w:tcPr>
            <w:tcW w:w="1322" w:type="dxa"/>
            <w:vAlign w:val="center"/>
          </w:tcPr>
          <w:p w14:paraId="64129FC2" w14:textId="6F83123B" w:rsidR="41D8F452" w:rsidRDefault="41D8F452" w:rsidP="41D8F452">
            <w:pPr>
              <w:spacing w:after="0"/>
              <w:jc w:val="right"/>
            </w:pPr>
            <w:r w:rsidRPr="41D8F452">
              <w:rPr>
                <w:rFonts w:ascii="Aptos Narrow" w:eastAsia="Aptos Narrow" w:hAnsi="Aptos Narrow" w:cs="Aptos Narrow"/>
                <w:color w:val="000000" w:themeColor="text1"/>
                <w:sz w:val="22"/>
                <w:szCs w:val="22"/>
              </w:rPr>
              <w:t>3.664</w:t>
            </w:r>
            <w:r w:rsidR="7CC50EE4" w:rsidRPr="41D8F452">
              <w:rPr>
                <w:rFonts w:ascii="Aptos Narrow" w:eastAsia="Aptos Narrow" w:hAnsi="Aptos Narrow" w:cs="Aptos Narrow"/>
                <w:color w:val="000000" w:themeColor="text1"/>
                <w:sz w:val="22"/>
                <w:szCs w:val="22"/>
              </w:rPr>
              <w:t>9</w:t>
            </w:r>
          </w:p>
        </w:tc>
      </w:tr>
      <w:tr w:rsidR="41D8F452" w14:paraId="79D5A0ED" w14:textId="77777777" w:rsidTr="5A746606">
        <w:trPr>
          <w:trHeight w:val="300"/>
        </w:trPr>
        <w:tc>
          <w:tcPr>
            <w:tcW w:w="860" w:type="dxa"/>
            <w:vAlign w:val="center"/>
          </w:tcPr>
          <w:p w14:paraId="27C45364" w14:textId="6AA4B6DC" w:rsidR="2FA05A37" w:rsidRDefault="2FA05A37" w:rsidP="41D8F452">
            <w:r>
              <w:t>4</w:t>
            </w:r>
          </w:p>
        </w:tc>
        <w:tc>
          <w:tcPr>
            <w:tcW w:w="2325" w:type="dxa"/>
            <w:vAlign w:val="center"/>
          </w:tcPr>
          <w:p w14:paraId="3D69B1F2" w14:textId="07968BAF" w:rsidR="41D8F452" w:rsidRDefault="41D8F452" w:rsidP="41D8F452">
            <w:pPr>
              <w:spacing w:after="0"/>
            </w:pPr>
            <w:r w:rsidRPr="41D8F452">
              <w:rPr>
                <w:rFonts w:ascii="Aptos Narrow" w:eastAsia="Aptos Narrow" w:hAnsi="Aptos Narrow" w:cs="Aptos Narrow"/>
                <w:color w:val="000000" w:themeColor="text1"/>
                <w:sz w:val="22"/>
                <w:szCs w:val="22"/>
              </w:rPr>
              <w:t>Newton County, TX</w:t>
            </w:r>
          </w:p>
        </w:tc>
        <w:tc>
          <w:tcPr>
            <w:tcW w:w="1230" w:type="dxa"/>
            <w:vAlign w:val="center"/>
          </w:tcPr>
          <w:p w14:paraId="42BA3E1C" w14:textId="6123B56A" w:rsidR="41D8F452" w:rsidRDefault="41D8F452" w:rsidP="41D8F452">
            <w:pPr>
              <w:spacing w:after="0"/>
              <w:jc w:val="right"/>
            </w:pPr>
            <w:r w:rsidRPr="41D8F452">
              <w:rPr>
                <w:rFonts w:ascii="Aptos Narrow" w:eastAsia="Aptos Narrow" w:hAnsi="Aptos Narrow" w:cs="Aptos Narrow"/>
                <w:color w:val="000000" w:themeColor="text1"/>
                <w:sz w:val="22"/>
                <w:szCs w:val="22"/>
              </w:rPr>
              <w:t>3.9092</w:t>
            </w:r>
          </w:p>
        </w:tc>
        <w:tc>
          <w:tcPr>
            <w:tcW w:w="1176" w:type="dxa"/>
            <w:vAlign w:val="center"/>
          </w:tcPr>
          <w:p w14:paraId="24793C39" w14:textId="646CD475" w:rsidR="41D8F452" w:rsidRDefault="41D8F452" w:rsidP="41D8F452">
            <w:pPr>
              <w:spacing w:after="0"/>
              <w:jc w:val="right"/>
            </w:pPr>
            <w:r w:rsidRPr="41D8F452">
              <w:rPr>
                <w:rFonts w:ascii="Aptos Narrow" w:eastAsia="Aptos Narrow" w:hAnsi="Aptos Narrow" w:cs="Aptos Narrow"/>
                <w:color w:val="000000" w:themeColor="text1"/>
                <w:sz w:val="22"/>
                <w:szCs w:val="22"/>
              </w:rPr>
              <w:t>-3.038</w:t>
            </w:r>
            <w:r w:rsidR="781A9481" w:rsidRPr="41D8F452">
              <w:rPr>
                <w:rFonts w:ascii="Aptos Narrow" w:eastAsia="Aptos Narrow" w:hAnsi="Aptos Narrow" w:cs="Aptos Narrow"/>
                <w:color w:val="000000" w:themeColor="text1"/>
                <w:sz w:val="22"/>
                <w:szCs w:val="22"/>
              </w:rPr>
              <w:t>9</w:t>
            </w:r>
          </w:p>
        </w:tc>
        <w:tc>
          <w:tcPr>
            <w:tcW w:w="1670" w:type="dxa"/>
            <w:vAlign w:val="center"/>
          </w:tcPr>
          <w:p w14:paraId="05F493C8" w14:textId="52079C86" w:rsidR="41D8F452" w:rsidRDefault="41D8F452" w:rsidP="41D8F452">
            <w:pPr>
              <w:spacing w:after="0"/>
              <w:jc w:val="right"/>
            </w:pPr>
            <w:r w:rsidRPr="41D8F452">
              <w:rPr>
                <w:rFonts w:ascii="Aptos Narrow" w:eastAsia="Aptos Narrow" w:hAnsi="Aptos Narrow" w:cs="Aptos Narrow"/>
                <w:color w:val="000000" w:themeColor="text1"/>
                <w:sz w:val="22"/>
                <w:szCs w:val="22"/>
              </w:rPr>
              <w:t>0.132</w:t>
            </w:r>
            <w:r w:rsidR="0E0E9AD1" w:rsidRPr="41D8F452">
              <w:rPr>
                <w:rFonts w:ascii="Aptos Narrow" w:eastAsia="Aptos Narrow" w:hAnsi="Aptos Narrow" w:cs="Aptos Narrow"/>
                <w:color w:val="000000" w:themeColor="text1"/>
                <w:sz w:val="22"/>
                <w:szCs w:val="22"/>
              </w:rPr>
              <w:t>2</w:t>
            </w:r>
          </w:p>
        </w:tc>
        <w:tc>
          <w:tcPr>
            <w:tcW w:w="1322" w:type="dxa"/>
            <w:vAlign w:val="center"/>
          </w:tcPr>
          <w:p w14:paraId="5A54E27C" w14:textId="3E2F9982" w:rsidR="41D8F452" w:rsidRDefault="41D8F452" w:rsidP="41D8F452">
            <w:pPr>
              <w:spacing w:after="0"/>
              <w:jc w:val="right"/>
            </w:pPr>
            <w:r w:rsidRPr="41D8F452">
              <w:rPr>
                <w:rFonts w:ascii="Aptos Narrow" w:eastAsia="Aptos Narrow" w:hAnsi="Aptos Narrow" w:cs="Aptos Narrow"/>
                <w:color w:val="000000" w:themeColor="text1"/>
                <w:sz w:val="22"/>
                <w:szCs w:val="22"/>
              </w:rPr>
              <w:t>3.662</w:t>
            </w:r>
            <w:r w:rsidR="31E3985E" w:rsidRPr="41D8F452">
              <w:rPr>
                <w:rFonts w:ascii="Aptos Narrow" w:eastAsia="Aptos Narrow" w:hAnsi="Aptos Narrow" w:cs="Aptos Narrow"/>
                <w:color w:val="000000" w:themeColor="text1"/>
                <w:sz w:val="22"/>
                <w:szCs w:val="22"/>
              </w:rPr>
              <w:t>1</w:t>
            </w:r>
          </w:p>
        </w:tc>
      </w:tr>
      <w:tr w:rsidR="41D8F452" w14:paraId="71570795" w14:textId="77777777" w:rsidTr="5A746606">
        <w:trPr>
          <w:trHeight w:val="300"/>
        </w:trPr>
        <w:tc>
          <w:tcPr>
            <w:tcW w:w="860" w:type="dxa"/>
            <w:vAlign w:val="center"/>
          </w:tcPr>
          <w:p w14:paraId="0346DF1E" w14:textId="1B443E80" w:rsidR="7FFCC090" w:rsidRDefault="7FFCC090" w:rsidP="41D8F452">
            <w:r>
              <w:t>5</w:t>
            </w:r>
          </w:p>
        </w:tc>
        <w:tc>
          <w:tcPr>
            <w:tcW w:w="2325" w:type="dxa"/>
            <w:vAlign w:val="center"/>
          </w:tcPr>
          <w:p w14:paraId="150A42D8" w14:textId="67ABAB3F" w:rsidR="41D8F452" w:rsidRDefault="41D8F452" w:rsidP="41D8F452">
            <w:pPr>
              <w:spacing w:after="0"/>
            </w:pPr>
            <w:r w:rsidRPr="41D8F452">
              <w:rPr>
                <w:rFonts w:ascii="Aptos Narrow" w:eastAsia="Aptos Narrow" w:hAnsi="Aptos Narrow" w:cs="Aptos Narrow"/>
                <w:color w:val="000000" w:themeColor="text1"/>
                <w:sz w:val="22"/>
                <w:szCs w:val="22"/>
              </w:rPr>
              <w:t>Terrebonne Parish, LA</w:t>
            </w:r>
          </w:p>
        </w:tc>
        <w:tc>
          <w:tcPr>
            <w:tcW w:w="1230" w:type="dxa"/>
            <w:vAlign w:val="center"/>
          </w:tcPr>
          <w:p w14:paraId="4B894BD9" w14:textId="50D4C9F1" w:rsidR="41D8F452" w:rsidRDefault="41D8F452" w:rsidP="41D8F452">
            <w:pPr>
              <w:spacing w:after="0"/>
              <w:jc w:val="right"/>
            </w:pPr>
            <w:r w:rsidRPr="41D8F452">
              <w:rPr>
                <w:rFonts w:ascii="Aptos Narrow" w:eastAsia="Aptos Narrow" w:hAnsi="Aptos Narrow" w:cs="Aptos Narrow"/>
                <w:color w:val="000000" w:themeColor="text1"/>
                <w:sz w:val="22"/>
                <w:szCs w:val="22"/>
              </w:rPr>
              <w:t>3.0059</w:t>
            </w:r>
          </w:p>
        </w:tc>
        <w:tc>
          <w:tcPr>
            <w:tcW w:w="1176" w:type="dxa"/>
            <w:vAlign w:val="center"/>
          </w:tcPr>
          <w:p w14:paraId="541C3D05" w14:textId="3DBD8C59" w:rsidR="41D8F452" w:rsidRDefault="41D8F452" w:rsidP="41D8F452">
            <w:pPr>
              <w:spacing w:after="0"/>
              <w:jc w:val="right"/>
            </w:pPr>
            <w:r w:rsidRPr="41D8F452">
              <w:rPr>
                <w:rFonts w:ascii="Aptos Narrow" w:eastAsia="Aptos Narrow" w:hAnsi="Aptos Narrow" w:cs="Aptos Narrow"/>
                <w:color w:val="000000" w:themeColor="text1"/>
                <w:sz w:val="22"/>
                <w:szCs w:val="22"/>
              </w:rPr>
              <w:t>-2.7047</w:t>
            </w:r>
          </w:p>
        </w:tc>
        <w:tc>
          <w:tcPr>
            <w:tcW w:w="1670" w:type="dxa"/>
            <w:vAlign w:val="center"/>
          </w:tcPr>
          <w:p w14:paraId="3A307DA6" w14:textId="18B0BB6D" w:rsidR="41D8F452" w:rsidRDefault="41D8F452" w:rsidP="41D8F452">
            <w:pPr>
              <w:spacing w:after="0"/>
              <w:jc w:val="right"/>
            </w:pPr>
            <w:r w:rsidRPr="41D8F452">
              <w:rPr>
                <w:rFonts w:ascii="Aptos Narrow" w:eastAsia="Aptos Narrow" w:hAnsi="Aptos Narrow" w:cs="Aptos Narrow"/>
                <w:color w:val="000000" w:themeColor="text1"/>
                <w:sz w:val="22"/>
                <w:szCs w:val="22"/>
              </w:rPr>
              <w:t>0.5468</w:t>
            </w:r>
          </w:p>
        </w:tc>
        <w:tc>
          <w:tcPr>
            <w:tcW w:w="1322" w:type="dxa"/>
            <w:vAlign w:val="center"/>
          </w:tcPr>
          <w:p w14:paraId="248B02D2" w14:textId="069F21DE" w:rsidR="41D8F452" w:rsidRDefault="41D8F452" w:rsidP="41D8F452">
            <w:pPr>
              <w:spacing w:after="0"/>
              <w:jc w:val="right"/>
            </w:pPr>
            <w:r w:rsidRPr="41D8F452">
              <w:rPr>
                <w:rFonts w:ascii="Aptos Narrow" w:eastAsia="Aptos Narrow" w:hAnsi="Aptos Narrow" w:cs="Aptos Narrow"/>
                <w:color w:val="000000" w:themeColor="text1"/>
                <w:sz w:val="22"/>
                <w:szCs w:val="22"/>
              </w:rPr>
              <w:t>3.2370</w:t>
            </w:r>
          </w:p>
        </w:tc>
      </w:tr>
      <w:tr w:rsidR="41D8F452" w14:paraId="6F9A17D9" w14:textId="77777777" w:rsidTr="5A746606">
        <w:trPr>
          <w:trHeight w:val="300"/>
        </w:trPr>
        <w:tc>
          <w:tcPr>
            <w:tcW w:w="860" w:type="dxa"/>
            <w:vAlign w:val="center"/>
          </w:tcPr>
          <w:p w14:paraId="42BE8B07" w14:textId="5F9A9374" w:rsidR="7FFCC090" w:rsidRDefault="7FFCC090" w:rsidP="41D8F452">
            <w:r>
              <w:t>6</w:t>
            </w:r>
          </w:p>
        </w:tc>
        <w:tc>
          <w:tcPr>
            <w:tcW w:w="2325" w:type="dxa"/>
            <w:vAlign w:val="center"/>
          </w:tcPr>
          <w:p w14:paraId="6B94A0FD" w14:textId="10FB1AF8" w:rsidR="41D8F452" w:rsidRDefault="41D8F452" w:rsidP="41D8F452">
            <w:pPr>
              <w:spacing w:after="0"/>
            </w:pPr>
            <w:r w:rsidRPr="41D8F452">
              <w:rPr>
                <w:rFonts w:ascii="Aptos Narrow" w:eastAsia="Aptos Narrow" w:hAnsi="Aptos Narrow" w:cs="Aptos Narrow"/>
                <w:color w:val="000000" w:themeColor="text1"/>
                <w:sz w:val="22"/>
                <w:szCs w:val="22"/>
              </w:rPr>
              <w:t>Jefferson County, TX</w:t>
            </w:r>
          </w:p>
        </w:tc>
        <w:tc>
          <w:tcPr>
            <w:tcW w:w="1230" w:type="dxa"/>
            <w:vAlign w:val="center"/>
          </w:tcPr>
          <w:p w14:paraId="2B1BEEA5" w14:textId="6C048AD9" w:rsidR="41D8F452" w:rsidRDefault="41D8F452" w:rsidP="41D8F452">
            <w:pPr>
              <w:spacing w:after="0"/>
              <w:jc w:val="right"/>
            </w:pPr>
            <w:r w:rsidRPr="41D8F452">
              <w:rPr>
                <w:rFonts w:ascii="Aptos Narrow" w:eastAsia="Aptos Narrow" w:hAnsi="Aptos Narrow" w:cs="Aptos Narrow"/>
                <w:color w:val="000000" w:themeColor="text1"/>
                <w:sz w:val="22"/>
                <w:szCs w:val="22"/>
              </w:rPr>
              <w:t>2.102</w:t>
            </w:r>
            <w:r w:rsidR="79E13F2A" w:rsidRPr="41D8F452">
              <w:rPr>
                <w:rFonts w:ascii="Aptos Narrow" w:eastAsia="Aptos Narrow" w:hAnsi="Aptos Narrow" w:cs="Aptos Narrow"/>
                <w:color w:val="000000" w:themeColor="text1"/>
                <w:sz w:val="22"/>
                <w:szCs w:val="22"/>
              </w:rPr>
              <w:t>6</w:t>
            </w:r>
          </w:p>
        </w:tc>
        <w:tc>
          <w:tcPr>
            <w:tcW w:w="1176" w:type="dxa"/>
            <w:vAlign w:val="center"/>
          </w:tcPr>
          <w:p w14:paraId="0907A9A9" w14:textId="6AAC6743" w:rsidR="41D8F452" w:rsidRDefault="41D8F452" w:rsidP="41D8F452">
            <w:pPr>
              <w:spacing w:after="0"/>
              <w:jc w:val="right"/>
            </w:pPr>
            <w:r w:rsidRPr="41D8F452">
              <w:rPr>
                <w:rFonts w:ascii="Aptos Narrow" w:eastAsia="Aptos Narrow" w:hAnsi="Aptos Narrow" w:cs="Aptos Narrow"/>
                <w:color w:val="000000" w:themeColor="text1"/>
                <w:sz w:val="22"/>
                <w:szCs w:val="22"/>
              </w:rPr>
              <w:t>-3.1707</w:t>
            </w:r>
          </w:p>
        </w:tc>
        <w:tc>
          <w:tcPr>
            <w:tcW w:w="1670" w:type="dxa"/>
            <w:vAlign w:val="center"/>
          </w:tcPr>
          <w:p w14:paraId="3F16794D" w14:textId="09680392" w:rsidR="41D8F452" w:rsidRDefault="41D8F452" w:rsidP="41D8F452">
            <w:pPr>
              <w:spacing w:after="0"/>
              <w:jc w:val="right"/>
            </w:pPr>
            <w:r w:rsidRPr="41D8F452">
              <w:rPr>
                <w:rFonts w:ascii="Aptos Narrow" w:eastAsia="Aptos Narrow" w:hAnsi="Aptos Narrow" w:cs="Aptos Narrow"/>
                <w:color w:val="000000" w:themeColor="text1"/>
                <w:sz w:val="22"/>
                <w:szCs w:val="22"/>
              </w:rPr>
              <w:t>0.9033</w:t>
            </w:r>
          </w:p>
        </w:tc>
        <w:tc>
          <w:tcPr>
            <w:tcW w:w="1322" w:type="dxa"/>
            <w:vAlign w:val="center"/>
          </w:tcPr>
          <w:p w14:paraId="4C6AF1A9" w14:textId="23CDA57C" w:rsidR="41D8F452" w:rsidRDefault="41D8F452" w:rsidP="41D8F452">
            <w:pPr>
              <w:spacing w:after="0"/>
              <w:jc w:val="right"/>
            </w:pPr>
            <w:r w:rsidRPr="41D8F452">
              <w:rPr>
                <w:rFonts w:ascii="Aptos Narrow" w:eastAsia="Aptos Narrow" w:hAnsi="Aptos Narrow" w:cs="Aptos Narrow"/>
                <w:color w:val="000000" w:themeColor="text1"/>
                <w:sz w:val="22"/>
                <w:szCs w:val="22"/>
              </w:rPr>
              <w:t>3.1952</w:t>
            </w:r>
          </w:p>
        </w:tc>
      </w:tr>
      <w:tr w:rsidR="41D8F452" w14:paraId="3033B712" w14:textId="77777777" w:rsidTr="5A746606">
        <w:trPr>
          <w:trHeight w:val="300"/>
        </w:trPr>
        <w:tc>
          <w:tcPr>
            <w:tcW w:w="860" w:type="dxa"/>
            <w:vAlign w:val="center"/>
          </w:tcPr>
          <w:p w14:paraId="759E42B0" w14:textId="40AD98C5" w:rsidR="198B01F7" w:rsidRDefault="198B01F7" w:rsidP="41D8F452">
            <w:r>
              <w:t>7</w:t>
            </w:r>
          </w:p>
        </w:tc>
        <w:tc>
          <w:tcPr>
            <w:tcW w:w="2325" w:type="dxa"/>
            <w:vAlign w:val="center"/>
          </w:tcPr>
          <w:p w14:paraId="78DE35C2" w14:textId="4211AA5C" w:rsidR="41D8F452" w:rsidRDefault="41D8F452" w:rsidP="41D8F452">
            <w:pPr>
              <w:spacing w:after="0"/>
            </w:pPr>
            <w:r w:rsidRPr="41D8F452">
              <w:rPr>
                <w:rFonts w:ascii="Aptos Narrow" w:eastAsia="Aptos Narrow" w:hAnsi="Aptos Narrow" w:cs="Aptos Narrow"/>
                <w:color w:val="000000" w:themeColor="text1"/>
                <w:sz w:val="22"/>
                <w:szCs w:val="22"/>
              </w:rPr>
              <w:t>Jasper County, TX</w:t>
            </w:r>
          </w:p>
        </w:tc>
        <w:tc>
          <w:tcPr>
            <w:tcW w:w="1230" w:type="dxa"/>
            <w:vAlign w:val="center"/>
          </w:tcPr>
          <w:p w14:paraId="1F22FD9A" w14:textId="0BB9058C" w:rsidR="41D8F452" w:rsidRDefault="41D8F452" w:rsidP="41D8F452">
            <w:pPr>
              <w:spacing w:after="0"/>
              <w:jc w:val="right"/>
            </w:pPr>
            <w:r w:rsidRPr="41D8F452">
              <w:rPr>
                <w:rFonts w:ascii="Aptos Narrow" w:eastAsia="Aptos Narrow" w:hAnsi="Aptos Narrow" w:cs="Aptos Narrow"/>
                <w:color w:val="000000" w:themeColor="text1"/>
                <w:sz w:val="22"/>
                <w:szCs w:val="22"/>
              </w:rPr>
              <w:t>3.0059</w:t>
            </w:r>
          </w:p>
        </w:tc>
        <w:tc>
          <w:tcPr>
            <w:tcW w:w="1176" w:type="dxa"/>
            <w:vAlign w:val="center"/>
          </w:tcPr>
          <w:p w14:paraId="0DC906C6" w14:textId="2AA061EF" w:rsidR="41D8F452" w:rsidRDefault="41D8F452" w:rsidP="41D8F452">
            <w:pPr>
              <w:spacing w:after="0"/>
              <w:jc w:val="right"/>
            </w:pPr>
            <w:r w:rsidRPr="41D8F452">
              <w:rPr>
                <w:rFonts w:ascii="Aptos Narrow" w:eastAsia="Aptos Narrow" w:hAnsi="Aptos Narrow" w:cs="Aptos Narrow"/>
                <w:color w:val="000000" w:themeColor="text1"/>
                <w:sz w:val="22"/>
                <w:szCs w:val="22"/>
              </w:rPr>
              <w:t>-2.425</w:t>
            </w:r>
            <w:r w:rsidR="3A9911F6" w:rsidRPr="41D8F452">
              <w:rPr>
                <w:rFonts w:ascii="Aptos Narrow" w:eastAsia="Aptos Narrow" w:hAnsi="Aptos Narrow" w:cs="Aptos Narrow"/>
                <w:color w:val="000000" w:themeColor="text1"/>
                <w:sz w:val="22"/>
                <w:szCs w:val="22"/>
              </w:rPr>
              <w:t>6</w:t>
            </w:r>
          </w:p>
        </w:tc>
        <w:tc>
          <w:tcPr>
            <w:tcW w:w="1670" w:type="dxa"/>
            <w:vAlign w:val="center"/>
          </w:tcPr>
          <w:p w14:paraId="5A652458" w14:textId="5F800F7F" w:rsidR="41D8F452" w:rsidRDefault="41D8F452" w:rsidP="41D8F452">
            <w:pPr>
              <w:spacing w:after="0"/>
              <w:jc w:val="right"/>
            </w:pPr>
            <w:r w:rsidRPr="41D8F452">
              <w:rPr>
                <w:rFonts w:ascii="Aptos Narrow" w:eastAsia="Aptos Narrow" w:hAnsi="Aptos Narrow" w:cs="Aptos Narrow"/>
                <w:color w:val="000000" w:themeColor="text1"/>
                <w:sz w:val="22"/>
                <w:szCs w:val="22"/>
              </w:rPr>
              <w:t>0.677</w:t>
            </w:r>
            <w:r w:rsidR="30B653F3" w:rsidRPr="41D8F452">
              <w:rPr>
                <w:rFonts w:ascii="Aptos Narrow" w:eastAsia="Aptos Narrow" w:hAnsi="Aptos Narrow" w:cs="Aptos Narrow"/>
                <w:color w:val="000000" w:themeColor="text1"/>
                <w:sz w:val="22"/>
                <w:szCs w:val="22"/>
              </w:rPr>
              <w:t>3</w:t>
            </w:r>
          </w:p>
        </w:tc>
        <w:tc>
          <w:tcPr>
            <w:tcW w:w="1322" w:type="dxa"/>
            <w:vAlign w:val="center"/>
          </w:tcPr>
          <w:p w14:paraId="49123F95" w14:textId="3C1AD8D4" w:rsidR="41D8F452" w:rsidRDefault="41D8F452" w:rsidP="41D8F452">
            <w:pPr>
              <w:spacing w:after="0"/>
              <w:jc w:val="right"/>
            </w:pPr>
            <w:r w:rsidRPr="41D8F452">
              <w:rPr>
                <w:rFonts w:ascii="Aptos Narrow" w:eastAsia="Aptos Narrow" w:hAnsi="Aptos Narrow" w:cs="Aptos Narrow"/>
                <w:color w:val="000000" w:themeColor="text1"/>
                <w:sz w:val="22"/>
                <w:szCs w:val="22"/>
              </w:rPr>
              <w:t>3.160</w:t>
            </w:r>
            <w:r w:rsidR="6772F396" w:rsidRPr="41D8F452">
              <w:rPr>
                <w:rFonts w:ascii="Aptos Narrow" w:eastAsia="Aptos Narrow" w:hAnsi="Aptos Narrow" w:cs="Aptos Narrow"/>
                <w:color w:val="000000" w:themeColor="text1"/>
                <w:sz w:val="22"/>
                <w:szCs w:val="22"/>
              </w:rPr>
              <w:t>2</w:t>
            </w:r>
          </w:p>
        </w:tc>
      </w:tr>
      <w:tr w:rsidR="41D8F452" w14:paraId="33543093" w14:textId="77777777" w:rsidTr="5A746606">
        <w:trPr>
          <w:trHeight w:val="300"/>
        </w:trPr>
        <w:tc>
          <w:tcPr>
            <w:tcW w:w="860" w:type="dxa"/>
            <w:vAlign w:val="center"/>
          </w:tcPr>
          <w:p w14:paraId="31B80422" w14:textId="131DB57A" w:rsidR="198B01F7" w:rsidRDefault="198B01F7" w:rsidP="41D8F452">
            <w:r>
              <w:t>8</w:t>
            </w:r>
          </w:p>
        </w:tc>
        <w:tc>
          <w:tcPr>
            <w:tcW w:w="2325" w:type="dxa"/>
            <w:vAlign w:val="center"/>
          </w:tcPr>
          <w:p w14:paraId="53959197" w14:textId="00CF0517" w:rsidR="41D8F452" w:rsidRDefault="41D8F452" w:rsidP="41D8F452">
            <w:pPr>
              <w:spacing w:after="0"/>
            </w:pPr>
            <w:r w:rsidRPr="41D8F452">
              <w:rPr>
                <w:rFonts w:ascii="Aptos Narrow" w:eastAsia="Aptos Narrow" w:hAnsi="Aptos Narrow" w:cs="Aptos Narrow"/>
                <w:color w:val="000000" w:themeColor="text1"/>
                <w:sz w:val="22"/>
                <w:szCs w:val="22"/>
              </w:rPr>
              <w:t>Plaquemines Parish, LA</w:t>
            </w:r>
          </w:p>
        </w:tc>
        <w:tc>
          <w:tcPr>
            <w:tcW w:w="1230" w:type="dxa"/>
            <w:vAlign w:val="center"/>
          </w:tcPr>
          <w:p w14:paraId="28CAF317" w14:textId="3CF1FAF7" w:rsidR="41D8F452" w:rsidRDefault="41D8F452" w:rsidP="41D8F452">
            <w:pPr>
              <w:spacing w:after="0"/>
              <w:jc w:val="right"/>
            </w:pPr>
            <w:r w:rsidRPr="41D8F452">
              <w:rPr>
                <w:rFonts w:ascii="Aptos Narrow" w:eastAsia="Aptos Narrow" w:hAnsi="Aptos Narrow" w:cs="Aptos Narrow"/>
                <w:color w:val="000000" w:themeColor="text1"/>
                <w:sz w:val="22"/>
                <w:szCs w:val="22"/>
              </w:rPr>
              <w:t>3.0059</w:t>
            </w:r>
          </w:p>
        </w:tc>
        <w:tc>
          <w:tcPr>
            <w:tcW w:w="1176" w:type="dxa"/>
            <w:vAlign w:val="center"/>
          </w:tcPr>
          <w:p w14:paraId="294A7CFD" w14:textId="5D3475AD" w:rsidR="41D8F452" w:rsidRDefault="41D8F452" w:rsidP="41D8F452">
            <w:pPr>
              <w:spacing w:after="0"/>
              <w:jc w:val="right"/>
            </w:pPr>
            <w:r w:rsidRPr="41D8F452">
              <w:rPr>
                <w:rFonts w:ascii="Aptos Narrow" w:eastAsia="Aptos Narrow" w:hAnsi="Aptos Narrow" w:cs="Aptos Narrow"/>
                <w:color w:val="000000" w:themeColor="text1"/>
                <w:sz w:val="22"/>
                <w:szCs w:val="22"/>
              </w:rPr>
              <w:t>-2.7605</w:t>
            </w:r>
          </w:p>
        </w:tc>
        <w:tc>
          <w:tcPr>
            <w:tcW w:w="1670" w:type="dxa"/>
            <w:vAlign w:val="center"/>
          </w:tcPr>
          <w:p w14:paraId="78C05E83" w14:textId="7CC247FE" w:rsidR="41D8F452" w:rsidRDefault="41D8F452" w:rsidP="41D8F452">
            <w:pPr>
              <w:spacing w:after="0"/>
              <w:jc w:val="right"/>
            </w:pPr>
            <w:r w:rsidRPr="41D8F452">
              <w:rPr>
                <w:rFonts w:ascii="Aptos Narrow" w:eastAsia="Aptos Narrow" w:hAnsi="Aptos Narrow" w:cs="Aptos Narrow"/>
                <w:color w:val="000000" w:themeColor="text1"/>
                <w:sz w:val="22"/>
                <w:szCs w:val="22"/>
              </w:rPr>
              <w:t>0.0153</w:t>
            </w:r>
          </w:p>
        </w:tc>
        <w:tc>
          <w:tcPr>
            <w:tcW w:w="1322" w:type="dxa"/>
            <w:vAlign w:val="center"/>
          </w:tcPr>
          <w:p w14:paraId="5C1BCFF4" w14:textId="6057C746" w:rsidR="41D8F452" w:rsidRDefault="41D8F452" w:rsidP="41D8F452">
            <w:pPr>
              <w:spacing w:after="0"/>
              <w:jc w:val="right"/>
            </w:pPr>
            <w:r w:rsidRPr="41D8F452">
              <w:rPr>
                <w:rFonts w:ascii="Aptos Narrow" w:eastAsia="Aptos Narrow" w:hAnsi="Aptos Narrow" w:cs="Aptos Narrow"/>
                <w:color w:val="000000" w:themeColor="text1"/>
                <w:sz w:val="22"/>
                <w:szCs w:val="22"/>
              </w:rPr>
              <w:t>2.991</w:t>
            </w:r>
            <w:r w:rsidR="3ABF88A8" w:rsidRPr="41D8F452">
              <w:rPr>
                <w:rFonts w:ascii="Aptos Narrow" w:eastAsia="Aptos Narrow" w:hAnsi="Aptos Narrow" w:cs="Aptos Narrow"/>
                <w:color w:val="000000" w:themeColor="text1"/>
                <w:sz w:val="22"/>
                <w:szCs w:val="22"/>
              </w:rPr>
              <w:t>3</w:t>
            </w:r>
          </w:p>
        </w:tc>
      </w:tr>
      <w:tr w:rsidR="41D8F452" w14:paraId="521BBCD3" w14:textId="77777777" w:rsidTr="5A746606">
        <w:trPr>
          <w:trHeight w:val="300"/>
        </w:trPr>
        <w:tc>
          <w:tcPr>
            <w:tcW w:w="860" w:type="dxa"/>
            <w:vAlign w:val="center"/>
          </w:tcPr>
          <w:p w14:paraId="37EF1B66" w14:textId="0730421C" w:rsidR="1691907F" w:rsidRDefault="1691907F" w:rsidP="41D8F452">
            <w:r>
              <w:t>9</w:t>
            </w:r>
          </w:p>
        </w:tc>
        <w:tc>
          <w:tcPr>
            <w:tcW w:w="2325" w:type="dxa"/>
            <w:vAlign w:val="center"/>
          </w:tcPr>
          <w:p w14:paraId="78F03E2C" w14:textId="202FA76C" w:rsidR="41D8F452" w:rsidRDefault="41D8F452" w:rsidP="41D8F452">
            <w:pPr>
              <w:spacing w:after="0"/>
            </w:pPr>
            <w:r w:rsidRPr="41D8F452">
              <w:rPr>
                <w:rFonts w:ascii="Aptos Narrow" w:eastAsia="Aptos Narrow" w:hAnsi="Aptos Narrow" w:cs="Aptos Narrow"/>
                <w:color w:val="000000" w:themeColor="text1"/>
                <w:sz w:val="22"/>
                <w:szCs w:val="22"/>
              </w:rPr>
              <w:t>Grimes County, TX</w:t>
            </w:r>
          </w:p>
        </w:tc>
        <w:tc>
          <w:tcPr>
            <w:tcW w:w="1230" w:type="dxa"/>
            <w:vAlign w:val="center"/>
          </w:tcPr>
          <w:p w14:paraId="5CF2B3F2" w14:textId="438819E4" w:rsidR="41D8F452" w:rsidRDefault="41D8F452" w:rsidP="41D8F452">
            <w:pPr>
              <w:spacing w:after="0"/>
              <w:jc w:val="right"/>
            </w:pPr>
            <w:r w:rsidRPr="41D8F452">
              <w:rPr>
                <w:rFonts w:ascii="Aptos Narrow" w:eastAsia="Aptos Narrow" w:hAnsi="Aptos Narrow" w:cs="Aptos Narrow"/>
                <w:color w:val="000000" w:themeColor="text1"/>
                <w:sz w:val="22"/>
                <w:szCs w:val="22"/>
              </w:rPr>
              <w:t>3.0059</w:t>
            </w:r>
          </w:p>
        </w:tc>
        <w:tc>
          <w:tcPr>
            <w:tcW w:w="1176" w:type="dxa"/>
            <w:vAlign w:val="center"/>
          </w:tcPr>
          <w:p w14:paraId="284032DA" w14:textId="2A9CA86A" w:rsidR="41D8F452" w:rsidRDefault="41D8F452" w:rsidP="41D8F452">
            <w:pPr>
              <w:spacing w:after="0"/>
              <w:jc w:val="right"/>
            </w:pPr>
            <w:r w:rsidRPr="41D8F452">
              <w:rPr>
                <w:rFonts w:ascii="Aptos Narrow" w:eastAsia="Aptos Narrow" w:hAnsi="Aptos Narrow" w:cs="Aptos Narrow"/>
                <w:color w:val="000000" w:themeColor="text1"/>
                <w:sz w:val="22"/>
                <w:szCs w:val="22"/>
              </w:rPr>
              <w:t>-2.0906</w:t>
            </w:r>
          </w:p>
        </w:tc>
        <w:tc>
          <w:tcPr>
            <w:tcW w:w="1670" w:type="dxa"/>
            <w:vAlign w:val="center"/>
          </w:tcPr>
          <w:p w14:paraId="5DF91CF8" w14:textId="43D8C1EC" w:rsidR="41D8F452" w:rsidRDefault="41D8F452" w:rsidP="41D8F452">
            <w:pPr>
              <w:spacing w:after="0"/>
              <w:jc w:val="right"/>
            </w:pPr>
            <w:r w:rsidRPr="41D8F452">
              <w:rPr>
                <w:rFonts w:ascii="Aptos Narrow" w:eastAsia="Aptos Narrow" w:hAnsi="Aptos Narrow" w:cs="Aptos Narrow"/>
                <w:color w:val="000000" w:themeColor="text1"/>
                <w:sz w:val="22"/>
                <w:szCs w:val="22"/>
              </w:rPr>
              <w:t>0.669</w:t>
            </w:r>
            <w:r w:rsidR="4825A44F" w:rsidRPr="41D8F452">
              <w:rPr>
                <w:rFonts w:ascii="Aptos Narrow" w:eastAsia="Aptos Narrow" w:hAnsi="Aptos Narrow" w:cs="Aptos Narrow"/>
                <w:color w:val="000000" w:themeColor="text1"/>
                <w:sz w:val="22"/>
                <w:szCs w:val="22"/>
              </w:rPr>
              <w:t>4</w:t>
            </w:r>
          </w:p>
        </w:tc>
        <w:tc>
          <w:tcPr>
            <w:tcW w:w="1322" w:type="dxa"/>
            <w:vAlign w:val="center"/>
          </w:tcPr>
          <w:p w14:paraId="6C63FB02" w14:textId="0E7E70E1" w:rsidR="41D8F452" w:rsidRDefault="41D8F452" w:rsidP="41D8F452">
            <w:pPr>
              <w:spacing w:after="0"/>
              <w:jc w:val="right"/>
            </w:pPr>
            <w:r w:rsidRPr="41D8F452">
              <w:rPr>
                <w:rFonts w:ascii="Aptos Narrow" w:eastAsia="Aptos Narrow" w:hAnsi="Aptos Narrow" w:cs="Aptos Narrow"/>
                <w:color w:val="000000" w:themeColor="text1"/>
                <w:sz w:val="22"/>
                <w:szCs w:val="22"/>
              </w:rPr>
              <w:t>2.983</w:t>
            </w:r>
            <w:r w:rsidR="09DD3579" w:rsidRPr="41D8F452">
              <w:rPr>
                <w:rFonts w:ascii="Aptos Narrow" w:eastAsia="Aptos Narrow" w:hAnsi="Aptos Narrow" w:cs="Aptos Narrow"/>
                <w:color w:val="000000" w:themeColor="text1"/>
                <w:sz w:val="22"/>
                <w:szCs w:val="22"/>
              </w:rPr>
              <w:t>1</w:t>
            </w:r>
          </w:p>
        </w:tc>
      </w:tr>
      <w:tr w:rsidR="41D8F452" w14:paraId="708A2602" w14:textId="77777777" w:rsidTr="5A746606">
        <w:trPr>
          <w:trHeight w:val="300"/>
        </w:trPr>
        <w:tc>
          <w:tcPr>
            <w:tcW w:w="860" w:type="dxa"/>
            <w:vAlign w:val="center"/>
          </w:tcPr>
          <w:p w14:paraId="2338AAC3" w14:textId="1E68AD21" w:rsidR="1691907F" w:rsidRDefault="1691907F" w:rsidP="41D8F452">
            <w:r>
              <w:t>10</w:t>
            </w:r>
          </w:p>
        </w:tc>
        <w:tc>
          <w:tcPr>
            <w:tcW w:w="2325" w:type="dxa"/>
            <w:vAlign w:val="center"/>
          </w:tcPr>
          <w:p w14:paraId="2F02A0EB" w14:textId="7BDE617F" w:rsidR="41D8F452" w:rsidRDefault="41D8F452" w:rsidP="41D8F452">
            <w:pPr>
              <w:spacing w:after="0"/>
            </w:pPr>
            <w:r w:rsidRPr="41D8F452">
              <w:rPr>
                <w:rFonts w:ascii="Aptos Narrow" w:eastAsia="Aptos Narrow" w:hAnsi="Aptos Narrow" w:cs="Aptos Narrow"/>
                <w:color w:val="000000" w:themeColor="text1"/>
                <w:sz w:val="22"/>
                <w:szCs w:val="22"/>
              </w:rPr>
              <w:t>Orange County, TX</w:t>
            </w:r>
          </w:p>
        </w:tc>
        <w:tc>
          <w:tcPr>
            <w:tcW w:w="1230" w:type="dxa"/>
            <w:vAlign w:val="center"/>
          </w:tcPr>
          <w:p w14:paraId="5CA9F602" w14:textId="6F000DCD" w:rsidR="41D8F452" w:rsidRDefault="41D8F452" w:rsidP="41D8F452">
            <w:pPr>
              <w:spacing w:after="0"/>
              <w:jc w:val="right"/>
            </w:pPr>
            <w:r w:rsidRPr="41D8F452">
              <w:rPr>
                <w:rFonts w:ascii="Aptos Narrow" w:eastAsia="Aptos Narrow" w:hAnsi="Aptos Narrow" w:cs="Aptos Narrow"/>
                <w:color w:val="000000" w:themeColor="text1"/>
                <w:sz w:val="22"/>
                <w:szCs w:val="22"/>
              </w:rPr>
              <w:t>2.102</w:t>
            </w:r>
            <w:r w:rsidR="24703C9F" w:rsidRPr="41D8F452">
              <w:rPr>
                <w:rFonts w:ascii="Aptos Narrow" w:eastAsia="Aptos Narrow" w:hAnsi="Aptos Narrow" w:cs="Aptos Narrow"/>
                <w:color w:val="000000" w:themeColor="text1"/>
                <w:sz w:val="22"/>
                <w:szCs w:val="22"/>
              </w:rPr>
              <w:t>6</w:t>
            </w:r>
          </w:p>
        </w:tc>
        <w:tc>
          <w:tcPr>
            <w:tcW w:w="1176" w:type="dxa"/>
            <w:vAlign w:val="center"/>
          </w:tcPr>
          <w:p w14:paraId="14A2677D" w14:textId="225616C6" w:rsidR="41D8F452" w:rsidRDefault="41D8F452" w:rsidP="41D8F452">
            <w:pPr>
              <w:spacing w:after="0"/>
              <w:jc w:val="right"/>
            </w:pPr>
            <w:r w:rsidRPr="41D8F452">
              <w:rPr>
                <w:rFonts w:ascii="Aptos Narrow" w:eastAsia="Aptos Narrow" w:hAnsi="Aptos Narrow" w:cs="Aptos Narrow"/>
                <w:color w:val="000000" w:themeColor="text1"/>
                <w:sz w:val="22"/>
                <w:szCs w:val="22"/>
              </w:rPr>
              <w:t>-3.673</w:t>
            </w:r>
            <w:r w:rsidR="390628D1" w:rsidRPr="41D8F452">
              <w:rPr>
                <w:rFonts w:ascii="Aptos Narrow" w:eastAsia="Aptos Narrow" w:hAnsi="Aptos Narrow" w:cs="Aptos Narrow"/>
                <w:color w:val="000000" w:themeColor="text1"/>
                <w:sz w:val="22"/>
                <w:szCs w:val="22"/>
              </w:rPr>
              <w:t>2</w:t>
            </w:r>
          </w:p>
        </w:tc>
        <w:tc>
          <w:tcPr>
            <w:tcW w:w="1670" w:type="dxa"/>
            <w:vAlign w:val="center"/>
          </w:tcPr>
          <w:p w14:paraId="0AF44E0D" w14:textId="27443FB8" w:rsidR="41D8F452" w:rsidRDefault="41D8F452" w:rsidP="41D8F452">
            <w:pPr>
              <w:spacing w:after="0"/>
              <w:jc w:val="right"/>
              <w:rPr>
                <w:rFonts w:ascii="Aptos Narrow" w:eastAsia="Aptos Narrow" w:hAnsi="Aptos Narrow" w:cs="Aptos Narrow"/>
                <w:color w:val="000000" w:themeColor="text1"/>
                <w:sz w:val="22"/>
                <w:szCs w:val="22"/>
              </w:rPr>
            </w:pPr>
            <w:r w:rsidRPr="41D8F452">
              <w:rPr>
                <w:rFonts w:ascii="Aptos Narrow" w:eastAsia="Aptos Narrow" w:hAnsi="Aptos Narrow" w:cs="Aptos Narrow"/>
                <w:color w:val="000000" w:themeColor="text1"/>
                <w:sz w:val="22"/>
                <w:szCs w:val="22"/>
              </w:rPr>
              <w:t>-0.02</w:t>
            </w:r>
            <w:r w:rsidR="2F4F1717" w:rsidRPr="41D8F452">
              <w:rPr>
                <w:rFonts w:ascii="Aptos Narrow" w:eastAsia="Aptos Narrow" w:hAnsi="Aptos Narrow" w:cs="Aptos Narrow"/>
                <w:color w:val="000000" w:themeColor="text1"/>
                <w:sz w:val="22"/>
                <w:szCs w:val="22"/>
              </w:rPr>
              <w:t>40</w:t>
            </w:r>
          </w:p>
        </w:tc>
        <w:tc>
          <w:tcPr>
            <w:tcW w:w="1322" w:type="dxa"/>
            <w:vAlign w:val="center"/>
          </w:tcPr>
          <w:p w14:paraId="2B3223FC" w14:textId="181A41BD" w:rsidR="41D8F452" w:rsidRDefault="41D8F452" w:rsidP="41D8F452">
            <w:pPr>
              <w:spacing w:after="0"/>
              <w:jc w:val="right"/>
            </w:pPr>
            <w:r w:rsidRPr="41D8F452">
              <w:rPr>
                <w:rFonts w:ascii="Aptos Narrow" w:eastAsia="Aptos Narrow" w:hAnsi="Aptos Narrow" w:cs="Aptos Narrow"/>
                <w:color w:val="000000" w:themeColor="text1"/>
                <w:sz w:val="22"/>
                <w:szCs w:val="22"/>
              </w:rPr>
              <w:t>2.975</w:t>
            </w:r>
            <w:r w:rsidR="6892FA18" w:rsidRPr="41D8F452">
              <w:rPr>
                <w:rFonts w:ascii="Aptos Narrow" w:eastAsia="Aptos Narrow" w:hAnsi="Aptos Narrow" w:cs="Aptos Narrow"/>
                <w:color w:val="000000" w:themeColor="text1"/>
                <w:sz w:val="22"/>
                <w:szCs w:val="22"/>
              </w:rPr>
              <w:t>8</w:t>
            </w:r>
          </w:p>
        </w:tc>
      </w:tr>
      <w:tr w:rsidR="41D8F452" w14:paraId="13A09666" w14:textId="77777777" w:rsidTr="5A746606">
        <w:trPr>
          <w:trHeight w:val="300"/>
        </w:trPr>
        <w:tc>
          <w:tcPr>
            <w:tcW w:w="860" w:type="dxa"/>
            <w:vAlign w:val="center"/>
          </w:tcPr>
          <w:p w14:paraId="58B932B1" w14:textId="5A2F9EF4" w:rsidR="237FFED3" w:rsidRDefault="237FFED3" w:rsidP="41D8F452">
            <w:r>
              <w:lastRenderedPageBreak/>
              <w:t>11</w:t>
            </w:r>
          </w:p>
        </w:tc>
        <w:tc>
          <w:tcPr>
            <w:tcW w:w="2325" w:type="dxa"/>
            <w:vAlign w:val="center"/>
          </w:tcPr>
          <w:p w14:paraId="3F9DA8B9" w14:textId="048943DB" w:rsidR="41D8F452" w:rsidRDefault="41D8F452" w:rsidP="41D8F452">
            <w:pPr>
              <w:spacing w:after="0"/>
            </w:pPr>
            <w:r w:rsidRPr="41D8F452">
              <w:rPr>
                <w:rFonts w:ascii="Aptos Narrow" w:eastAsia="Aptos Narrow" w:hAnsi="Aptos Narrow" w:cs="Aptos Narrow"/>
                <w:color w:val="000000" w:themeColor="text1"/>
                <w:sz w:val="22"/>
                <w:szCs w:val="22"/>
              </w:rPr>
              <w:t>San Jacinto County, TX</w:t>
            </w:r>
          </w:p>
        </w:tc>
        <w:tc>
          <w:tcPr>
            <w:tcW w:w="1230" w:type="dxa"/>
            <w:vAlign w:val="center"/>
          </w:tcPr>
          <w:p w14:paraId="36D2EA3B" w14:textId="2A5DFBB5" w:rsidR="41D8F452" w:rsidRDefault="41D8F452" w:rsidP="41D8F452">
            <w:pPr>
              <w:spacing w:after="0"/>
              <w:jc w:val="right"/>
            </w:pPr>
            <w:r w:rsidRPr="41D8F452">
              <w:rPr>
                <w:rFonts w:ascii="Aptos Narrow" w:eastAsia="Aptos Narrow" w:hAnsi="Aptos Narrow" w:cs="Aptos Narrow"/>
                <w:color w:val="000000" w:themeColor="text1"/>
                <w:sz w:val="22"/>
                <w:szCs w:val="22"/>
              </w:rPr>
              <w:t>3.0059</w:t>
            </w:r>
          </w:p>
        </w:tc>
        <w:tc>
          <w:tcPr>
            <w:tcW w:w="1176" w:type="dxa"/>
            <w:vAlign w:val="center"/>
          </w:tcPr>
          <w:p w14:paraId="4D1C7540" w14:textId="21266E20" w:rsidR="41D8F452" w:rsidRDefault="41D8F452" w:rsidP="41D8F452">
            <w:pPr>
              <w:spacing w:after="0"/>
              <w:jc w:val="right"/>
              <w:rPr>
                <w:rFonts w:ascii="Aptos Narrow" w:eastAsia="Aptos Narrow" w:hAnsi="Aptos Narrow" w:cs="Aptos Narrow"/>
                <w:color w:val="000000" w:themeColor="text1"/>
                <w:sz w:val="22"/>
                <w:szCs w:val="22"/>
              </w:rPr>
            </w:pPr>
            <w:r w:rsidRPr="41D8F452">
              <w:rPr>
                <w:rFonts w:ascii="Aptos Narrow" w:eastAsia="Aptos Narrow" w:hAnsi="Aptos Narrow" w:cs="Aptos Narrow"/>
                <w:color w:val="000000" w:themeColor="text1"/>
                <w:sz w:val="22"/>
                <w:szCs w:val="22"/>
              </w:rPr>
              <w:t>-2.36</w:t>
            </w:r>
            <w:r w:rsidR="167597C3" w:rsidRPr="41D8F452">
              <w:rPr>
                <w:rFonts w:ascii="Aptos Narrow" w:eastAsia="Aptos Narrow" w:hAnsi="Aptos Narrow" w:cs="Aptos Narrow"/>
                <w:color w:val="000000" w:themeColor="text1"/>
                <w:sz w:val="22"/>
                <w:szCs w:val="22"/>
              </w:rPr>
              <w:t>80</w:t>
            </w:r>
          </w:p>
        </w:tc>
        <w:tc>
          <w:tcPr>
            <w:tcW w:w="1670" w:type="dxa"/>
            <w:vAlign w:val="center"/>
          </w:tcPr>
          <w:p w14:paraId="41C4F926" w14:textId="2A99AEBD" w:rsidR="41D8F452" w:rsidRDefault="41D8F452" w:rsidP="41D8F452">
            <w:pPr>
              <w:spacing w:after="0"/>
              <w:jc w:val="right"/>
            </w:pPr>
            <w:r w:rsidRPr="41D8F452">
              <w:rPr>
                <w:rFonts w:ascii="Aptos Narrow" w:eastAsia="Aptos Narrow" w:hAnsi="Aptos Narrow" w:cs="Aptos Narrow"/>
                <w:color w:val="000000" w:themeColor="text1"/>
                <w:sz w:val="22"/>
                <w:szCs w:val="22"/>
              </w:rPr>
              <w:t>0.3075</w:t>
            </w:r>
          </w:p>
        </w:tc>
        <w:tc>
          <w:tcPr>
            <w:tcW w:w="1322" w:type="dxa"/>
            <w:vAlign w:val="center"/>
          </w:tcPr>
          <w:p w14:paraId="5AD33DB6" w14:textId="0338D1D4" w:rsidR="41D8F452" w:rsidRDefault="41D8F452" w:rsidP="41D8F452">
            <w:pPr>
              <w:spacing w:after="0"/>
              <w:jc w:val="right"/>
            </w:pPr>
            <w:r w:rsidRPr="41D8F452">
              <w:rPr>
                <w:rFonts w:ascii="Aptos Narrow" w:eastAsia="Aptos Narrow" w:hAnsi="Aptos Narrow" w:cs="Aptos Narrow"/>
                <w:color w:val="000000" w:themeColor="text1"/>
                <w:sz w:val="22"/>
                <w:szCs w:val="22"/>
              </w:rPr>
              <w:t>2.9403</w:t>
            </w:r>
          </w:p>
        </w:tc>
      </w:tr>
      <w:tr w:rsidR="41D8F452" w14:paraId="486F96C0" w14:textId="77777777" w:rsidTr="5A746606">
        <w:trPr>
          <w:trHeight w:val="300"/>
        </w:trPr>
        <w:tc>
          <w:tcPr>
            <w:tcW w:w="860" w:type="dxa"/>
            <w:vAlign w:val="center"/>
          </w:tcPr>
          <w:p w14:paraId="024E9732" w14:textId="0EBD0E8D" w:rsidR="237FFED3" w:rsidRDefault="237FFED3" w:rsidP="41D8F452">
            <w:r>
              <w:t>12</w:t>
            </w:r>
          </w:p>
        </w:tc>
        <w:tc>
          <w:tcPr>
            <w:tcW w:w="2325" w:type="dxa"/>
            <w:vAlign w:val="center"/>
          </w:tcPr>
          <w:p w14:paraId="19DEEF21" w14:textId="13786576" w:rsidR="41D8F452" w:rsidRDefault="41D8F452" w:rsidP="41D8F452">
            <w:pPr>
              <w:spacing w:after="0"/>
            </w:pPr>
            <w:r w:rsidRPr="41D8F452">
              <w:rPr>
                <w:rFonts w:ascii="Aptos Narrow" w:eastAsia="Aptos Narrow" w:hAnsi="Aptos Narrow" w:cs="Aptos Narrow"/>
                <w:color w:val="000000" w:themeColor="text1"/>
                <w:sz w:val="22"/>
                <w:szCs w:val="22"/>
              </w:rPr>
              <w:t>Cameron County, TX</w:t>
            </w:r>
          </w:p>
        </w:tc>
        <w:tc>
          <w:tcPr>
            <w:tcW w:w="1230" w:type="dxa"/>
            <w:vAlign w:val="center"/>
          </w:tcPr>
          <w:p w14:paraId="18928A61" w14:textId="25F61BEC" w:rsidR="41D8F452" w:rsidRDefault="41D8F452" w:rsidP="41D8F452">
            <w:pPr>
              <w:spacing w:after="0"/>
              <w:jc w:val="right"/>
            </w:pPr>
            <w:r w:rsidRPr="41D8F452">
              <w:rPr>
                <w:rFonts w:ascii="Aptos Narrow" w:eastAsia="Aptos Narrow" w:hAnsi="Aptos Narrow" w:cs="Aptos Narrow"/>
                <w:color w:val="000000" w:themeColor="text1"/>
                <w:sz w:val="22"/>
                <w:szCs w:val="22"/>
              </w:rPr>
              <w:t>2.102</w:t>
            </w:r>
            <w:r w:rsidR="5AA78627" w:rsidRPr="41D8F452">
              <w:rPr>
                <w:rFonts w:ascii="Aptos Narrow" w:eastAsia="Aptos Narrow" w:hAnsi="Aptos Narrow" w:cs="Aptos Narrow"/>
                <w:color w:val="000000" w:themeColor="text1"/>
                <w:sz w:val="22"/>
                <w:szCs w:val="22"/>
              </w:rPr>
              <w:t>3</w:t>
            </w:r>
          </w:p>
        </w:tc>
        <w:tc>
          <w:tcPr>
            <w:tcW w:w="1176" w:type="dxa"/>
            <w:vAlign w:val="center"/>
          </w:tcPr>
          <w:p w14:paraId="304E4910" w14:textId="7726390B" w:rsidR="41D8F452" w:rsidRDefault="41D8F452" w:rsidP="41D8F452">
            <w:pPr>
              <w:spacing w:after="0"/>
              <w:jc w:val="right"/>
            </w:pPr>
            <w:r w:rsidRPr="41D8F452">
              <w:rPr>
                <w:rFonts w:ascii="Aptos Narrow" w:eastAsia="Aptos Narrow" w:hAnsi="Aptos Narrow" w:cs="Aptos Narrow"/>
                <w:color w:val="000000" w:themeColor="text1"/>
                <w:sz w:val="22"/>
                <w:szCs w:val="22"/>
              </w:rPr>
              <w:t>-2.2589</w:t>
            </w:r>
          </w:p>
        </w:tc>
        <w:tc>
          <w:tcPr>
            <w:tcW w:w="1670" w:type="dxa"/>
            <w:vAlign w:val="center"/>
          </w:tcPr>
          <w:p w14:paraId="6E710707" w14:textId="423BB95A" w:rsidR="41D8F452" w:rsidRDefault="41D8F452" w:rsidP="41D8F452">
            <w:pPr>
              <w:spacing w:after="0"/>
              <w:jc w:val="right"/>
            </w:pPr>
            <w:r w:rsidRPr="41D8F452">
              <w:rPr>
                <w:rFonts w:ascii="Aptos Narrow" w:eastAsia="Aptos Narrow" w:hAnsi="Aptos Narrow" w:cs="Aptos Narrow"/>
                <w:color w:val="000000" w:themeColor="text1"/>
                <w:sz w:val="22"/>
                <w:szCs w:val="22"/>
              </w:rPr>
              <w:t>1.2879</w:t>
            </w:r>
          </w:p>
        </w:tc>
        <w:tc>
          <w:tcPr>
            <w:tcW w:w="1322" w:type="dxa"/>
            <w:vAlign w:val="center"/>
          </w:tcPr>
          <w:p w14:paraId="280AC53D" w14:textId="4DF3FF24" w:rsidR="41D8F452" w:rsidRDefault="41D8F452" w:rsidP="41D8F452">
            <w:pPr>
              <w:spacing w:after="0"/>
              <w:jc w:val="right"/>
            </w:pPr>
            <w:r w:rsidRPr="41D8F452">
              <w:rPr>
                <w:rFonts w:ascii="Aptos Narrow" w:eastAsia="Aptos Narrow" w:hAnsi="Aptos Narrow" w:cs="Aptos Narrow"/>
                <w:color w:val="000000" w:themeColor="text1"/>
                <w:sz w:val="22"/>
                <w:szCs w:val="22"/>
              </w:rPr>
              <w:t>2.922</w:t>
            </w:r>
            <w:r w:rsidR="6D6018E2" w:rsidRPr="41D8F452">
              <w:rPr>
                <w:rFonts w:ascii="Aptos Narrow" w:eastAsia="Aptos Narrow" w:hAnsi="Aptos Narrow" w:cs="Aptos Narrow"/>
                <w:color w:val="000000" w:themeColor="text1"/>
                <w:sz w:val="22"/>
                <w:szCs w:val="22"/>
              </w:rPr>
              <w:t>9</w:t>
            </w:r>
          </w:p>
        </w:tc>
      </w:tr>
      <w:tr w:rsidR="41D8F452" w14:paraId="5EAD236A" w14:textId="77777777" w:rsidTr="5A746606">
        <w:trPr>
          <w:trHeight w:val="300"/>
        </w:trPr>
        <w:tc>
          <w:tcPr>
            <w:tcW w:w="860" w:type="dxa"/>
            <w:vAlign w:val="center"/>
          </w:tcPr>
          <w:p w14:paraId="18F76F31" w14:textId="4E36D325" w:rsidR="304B17A1" w:rsidRDefault="304B17A1" w:rsidP="41D8F452">
            <w:r>
              <w:t>13</w:t>
            </w:r>
          </w:p>
        </w:tc>
        <w:tc>
          <w:tcPr>
            <w:tcW w:w="2325" w:type="dxa"/>
            <w:vAlign w:val="center"/>
          </w:tcPr>
          <w:p w14:paraId="18422AFA" w14:textId="2C737A62" w:rsidR="41D8F452" w:rsidRDefault="41D8F452" w:rsidP="41D8F452">
            <w:pPr>
              <w:spacing w:after="0"/>
            </w:pPr>
            <w:r w:rsidRPr="41D8F452">
              <w:rPr>
                <w:rFonts w:ascii="Aptos Narrow" w:eastAsia="Aptos Narrow" w:hAnsi="Aptos Narrow" w:cs="Aptos Narrow"/>
                <w:color w:val="000000" w:themeColor="text1"/>
                <w:sz w:val="22"/>
                <w:szCs w:val="22"/>
              </w:rPr>
              <w:t>Lafourche Parish, LA</w:t>
            </w:r>
          </w:p>
        </w:tc>
        <w:tc>
          <w:tcPr>
            <w:tcW w:w="1230" w:type="dxa"/>
            <w:vAlign w:val="center"/>
          </w:tcPr>
          <w:p w14:paraId="5DEF4792" w14:textId="6B800996" w:rsidR="41D8F452" w:rsidRDefault="41D8F452" w:rsidP="41D8F452">
            <w:pPr>
              <w:spacing w:after="0"/>
              <w:jc w:val="right"/>
            </w:pPr>
            <w:r w:rsidRPr="41D8F452">
              <w:rPr>
                <w:rFonts w:ascii="Aptos Narrow" w:eastAsia="Aptos Narrow" w:hAnsi="Aptos Narrow" w:cs="Aptos Narrow"/>
                <w:color w:val="000000" w:themeColor="text1"/>
                <w:sz w:val="22"/>
                <w:szCs w:val="22"/>
              </w:rPr>
              <w:t>3.0059</w:t>
            </w:r>
          </w:p>
        </w:tc>
        <w:tc>
          <w:tcPr>
            <w:tcW w:w="1176" w:type="dxa"/>
            <w:vAlign w:val="center"/>
          </w:tcPr>
          <w:p w14:paraId="1D2FC464" w14:textId="27CB21FE" w:rsidR="41D8F452" w:rsidRDefault="41D8F452" w:rsidP="41D8F452">
            <w:pPr>
              <w:spacing w:after="0"/>
              <w:jc w:val="right"/>
            </w:pPr>
            <w:r w:rsidRPr="41D8F452">
              <w:rPr>
                <w:rFonts w:ascii="Aptos Narrow" w:eastAsia="Aptos Narrow" w:hAnsi="Aptos Narrow" w:cs="Aptos Narrow"/>
                <w:color w:val="000000" w:themeColor="text1"/>
                <w:sz w:val="22"/>
                <w:szCs w:val="22"/>
              </w:rPr>
              <w:t>-2.1092</w:t>
            </w:r>
          </w:p>
        </w:tc>
        <w:tc>
          <w:tcPr>
            <w:tcW w:w="1670" w:type="dxa"/>
            <w:vAlign w:val="center"/>
          </w:tcPr>
          <w:p w14:paraId="290B7178" w14:textId="5AC87AC6" w:rsidR="41D8F452" w:rsidRDefault="41D8F452" w:rsidP="41D8F452">
            <w:pPr>
              <w:spacing w:after="0"/>
              <w:jc w:val="right"/>
            </w:pPr>
            <w:r w:rsidRPr="41D8F452">
              <w:rPr>
                <w:rFonts w:ascii="Aptos Narrow" w:eastAsia="Aptos Narrow" w:hAnsi="Aptos Narrow" w:cs="Aptos Narrow"/>
                <w:color w:val="000000" w:themeColor="text1"/>
                <w:sz w:val="22"/>
                <w:szCs w:val="22"/>
              </w:rPr>
              <w:t>0.3287</w:t>
            </w:r>
          </w:p>
        </w:tc>
        <w:tc>
          <w:tcPr>
            <w:tcW w:w="1322" w:type="dxa"/>
            <w:vAlign w:val="center"/>
          </w:tcPr>
          <w:p w14:paraId="0769BF4F" w14:textId="2C87337C" w:rsidR="41D8F452" w:rsidRDefault="41D8F452" w:rsidP="41D8F452">
            <w:pPr>
              <w:spacing w:after="0"/>
              <w:jc w:val="right"/>
            </w:pPr>
            <w:r w:rsidRPr="41D8F452">
              <w:rPr>
                <w:rFonts w:ascii="Aptos Narrow" w:eastAsia="Aptos Narrow" w:hAnsi="Aptos Narrow" w:cs="Aptos Narrow"/>
                <w:color w:val="000000" w:themeColor="text1"/>
                <w:sz w:val="22"/>
                <w:szCs w:val="22"/>
              </w:rPr>
              <w:t>2.8167</w:t>
            </w:r>
          </w:p>
        </w:tc>
      </w:tr>
      <w:tr w:rsidR="41D8F452" w14:paraId="76248391" w14:textId="77777777" w:rsidTr="5A746606">
        <w:trPr>
          <w:trHeight w:val="300"/>
        </w:trPr>
        <w:tc>
          <w:tcPr>
            <w:tcW w:w="860" w:type="dxa"/>
            <w:vAlign w:val="center"/>
          </w:tcPr>
          <w:p w14:paraId="16628423" w14:textId="757877B6" w:rsidR="28A968C0" w:rsidRDefault="28A968C0" w:rsidP="41D8F452">
            <w:r>
              <w:t>14</w:t>
            </w:r>
          </w:p>
        </w:tc>
        <w:tc>
          <w:tcPr>
            <w:tcW w:w="2325" w:type="dxa"/>
            <w:vAlign w:val="center"/>
          </w:tcPr>
          <w:p w14:paraId="2736411D" w14:textId="202A327A" w:rsidR="41D8F452" w:rsidRDefault="41D8F452" w:rsidP="41D8F452">
            <w:pPr>
              <w:spacing w:after="0"/>
            </w:pPr>
            <w:r w:rsidRPr="41D8F452">
              <w:rPr>
                <w:rFonts w:ascii="Aptos Narrow" w:eastAsia="Aptos Narrow" w:hAnsi="Aptos Narrow" w:cs="Aptos Narrow"/>
                <w:color w:val="000000" w:themeColor="text1"/>
                <w:sz w:val="22"/>
                <w:szCs w:val="22"/>
              </w:rPr>
              <w:t>Montgomery County, TX</w:t>
            </w:r>
          </w:p>
        </w:tc>
        <w:tc>
          <w:tcPr>
            <w:tcW w:w="1230" w:type="dxa"/>
            <w:vAlign w:val="center"/>
          </w:tcPr>
          <w:p w14:paraId="3EB54E2B" w14:textId="3740117F" w:rsidR="41D8F452" w:rsidRDefault="41D8F452" w:rsidP="41D8F452">
            <w:pPr>
              <w:spacing w:after="0"/>
              <w:jc w:val="right"/>
            </w:pPr>
            <w:r w:rsidRPr="41D8F452">
              <w:rPr>
                <w:rFonts w:ascii="Aptos Narrow" w:eastAsia="Aptos Narrow" w:hAnsi="Aptos Narrow" w:cs="Aptos Narrow"/>
                <w:color w:val="000000" w:themeColor="text1"/>
                <w:sz w:val="22"/>
                <w:szCs w:val="22"/>
              </w:rPr>
              <w:t>3.0059</w:t>
            </w:r>
          </w:p>
        </w:tc>
        <w:tc>
          <w:tcPr>
            <w:tcW w:w="1176" w:type="dxa"/>
            <w:vAlign w:val="center"/>
          </w:tcPr>
          <w:p w14:paraId="0227E45C" w14:textId="436392FC" w:rsidR="41D8F452" w:rsidRDefault="41D8F452" w:rsidP="41D8F452">
            <w:pPr>
              <w:spacing w:after="0"/>
              <w:jc w:val="right"/>
            </w:pPr>
            <w:r w:rsidRPr="41D8F452">
              <w:rPr>
                <w:rFonts w:ascii="Aptos Narrow" w:eastAsia="Aptos Narrow" w:hAnsi="Aptos Narrow" w:cs="Aptos Narrow"/>
                <w:color w:val="000000" w:themeColor="text1"/>
                <w:sz w:val="22"/>
                <w:szCs w:val="22"/>
              </w:rPr>
              <w:t>-2.7419</w:t>
            </w:r>
          </w:p>
        </w:tc>
        <w:tc>
          <w:tcPr>
            <w:tcW w:w="1670" w:type="dxa"/>
            <w:vAlign w:val="center"/>
          </w:tcPr>
          <w:p w14:paraId="00B54257" w14:textId="42AEC9C9" w:rsidR="41D8F452" w:rsidRDefault="41D8F452" w:rsidP="41D8F452">
            <w:pPr>
              <w:spacing w:after="0"/>
              <w:jc w:val="right"/>
            </w:pPr>
            <w:r w:rsidRPr="41D8F452">
              <w:rPr>
                <w:rFonts w:ascii="Aptos Narrow" w:eastAsia="Aptos Narrow" w:hAnsi="Aptos Narrow" w:cs="Aptos Narrow"/>
                <w:color w:val="000000" w:themeColor="text1"/>
                <w:sz w:val="22"/>
                <w:szCs w:val="22"/>
              </w:rPr>
              <w:t>-0.3093</w:t>
            </w:r>
          </w:p>
        </w:tc>
        <w:tc>
          <w:tcPr>
            <w:tcW w:w="1322" w:type="dxa"/>
            <w:vAlign w:val="center"/>
          </w:tcPr>
          <w:p w14:paraId="325C3939" w14:textId="1FD1227F" w:rsidR="41D8F452" w:rsidRDefault="41D8F452" w:rsidP="41D8F452">
            <w:pPr>
              <w:spacing w:after="0"/>
              <w:jc w:val="right"/>
            </w:pPr>
            <w:r w:rsidRPr="41D8F452">
              <w:rPr>
                <w:rFonts w:ascii="Aptos Narrow" w:eastAsia="Aptos Narrow" w:hAnsi="Aptos Narrow" w:cs="Aptos Narrow"/>
                <w:color w:val="000000" w:themeColor="text1"/>
                <w:sz w:val="22"/>
                <w:szCs w:val="22"/>
              </w:rPr>
              <w:t>2.8139</w:t>
            </w:r>
          </w:p>
        </w:tc>
      </w:tr>
      <w:tr w:rsidR="41D8F452" w14:paraId="4E9273A3" w14:textId="77777777" w:rsidTr="5A746606">
        <w:trPr>
          <w:trHeight w:val="300"/>
        </w:trPr>
        <w:tc>
          <w:tcPr>
            <w:tcW w:w="860" w:type="dxa"/>
            <w:vAlign w:val="center"/>
          </w:tcPr>
          <w:p w14:paraId="76B71494" w14:textId="5D9DD377" w:rsidR="28A968C0" w:rsidRDefault="28A968C0" w:rsidP="41D8F452">
            <w:r>
              <w:t>15</w:t>
            </w:r>
          </w:p>
        </w:tc>
        <w:tc>
          <w:tcPr>
            <w:tcW w:w="2325" w:type="dxa"/>
            <w:vAlign w:val="center"/>
          </w:tcPr>
          <w:p w14:paraId="000FD863" w14:textId="766404F1" w:rsidR="41D8F452" w:rsidRDefault="41D8F452" w:rsidP="41D8F452">
            <w:pPr>
              <w:spacing w:after="0"/>
            </w:pPr>
            <w:r w:rsidRPr="41D8F452">
              <w:rPr>
                <w:rFonts w:ascii="Aptos Narrow" w:eastAsia="Aptos Narrow" w:hAnsi="Aptos Narrow" w:cs="Aptos Narrow"/>
                <w:color w:val="000000" w:themeColor="text1"/>
                <w:sz w:val="22"/>
                <w:szCs w:val="22"/>
              </w:rPr>
              <w:t>Willacy County, TX</w:t>
            </w:r>
          </w:p>
        </w:tc>
        <w:tc>
          <w:tcPr>
            <w:tcW w:w="1230" w:type="dxa"/>
            <w:vAlign w:val="center"/>
          </w:tcPr>
          <w:p w14:paraId="46A95788" w14:textId="4706B5B7" w:rsidR="41D8F452" w:rsidRDefault="41D8F452" w:rsidP="41D8F452">
            <w:pPr>
              <w:spacing w:after="0"/>
              <w:jc w:val="right"/>
            </w:pPr>
            <w:r w:rsidRPr="41D8F452">
              <w:rPr>
                <w:rFonts w:ascii="Aptos Narrow" w:eastAsia="Aptos Narrow" w:hAnsi="Aptos Narrow" w:cs="Aptos Narrow"/>
                <w:color w:val="000000" w:themeColor="text1"/>
                <w:sz w:val="22"/>
                <w:szCs w:val="22"/>
              </w:rPr>
              <w:t>2.102</w:t>
            </w:r>
            <w:r w:rsidR="17DC3245" w:rsidRPr="41D8F452">
              <w:rPr>
                <w:rFonts w:ascii="Aptos Narrow" w:eastAsia="Aptos Narrow" w:hAnsi="Aptos Narrow" w:cs="Aptos Narrow"/>
                <w:color w:val="000000" w:themeColor="text1"/>
                <w:sz w:val="22"/>
                <w:szCs w:val="22"/>
              </w:rPr>
              <w:t>6</w:t>
            </w:r>
          </w:p>
        </w:tc>
        <w:tc>
          <w:tcPr>
            <w:tcW w:w="1176" w:type="dxa"/>
            <w:vAlign w:val="center"/>
          </w:tcPr>
          <w:p w14:paraId="03A72323" w14:textId="31472DC8" w:rsidR="41D8F452" w:rsidRDefault="41D8F452" w:rsidP="41D8F452">
            <w:pPr>
              <w:spacing w:after="0"/>
              <w:jc w:val="right"/>
            </w:pPr>
            <w:r w:rsidRPr="41D8F452">
              <w:rPr>
                <w:rFonts w:ascii="Aptos Narrow" w:eastAsia="Aptos Narrow" w:hAnsi="Aptos Narrow" w:cs="Aptos Narrow"/>
                <w:color w:val="000000" w:themeColor="text1"/>
                <w:sz w:val="22"/>
                <w:szCs w:val="22"/>
              </w:rPr>
              <w:t>-1.905</w:t>
            </w:r>
            <w:r w:rsidR="4B904C6C" w:rsidRPr="41D8F452">
              <w:rPr>
                <w:rFonts w:ascii="Aptos Narrow" w:eastAsia="Aptos Narrow" w:hAnsi="Aptos Narrow" w:cs="Aptos Narrow"/>
                <w:color w:val="000000" w:themeColor="text1"/>
                <w:sz w:val="22"/>
                <w:szCs w:val="22"/>
              </w:rPr>
              <w:t>4</w:t>
            </w:r>
          </w:p>
        </w:tc>
        <w:tc>
          <w:tcPr>
            <w:tcW w:w="1670" w:type="dxa"/>
            <w:vAlign w:val="center"/>
          </w:tcPr>
          <w:p w14:paraId="4563B24C" w14:textId="73BA0A91" w:rsidR="41D8F452" w:rsidRDefault="41D8F452" w:rsidP="41D8F452">
            <w:pPr>
              <w:spacing w:after="0"/>
              <w:jc w:val="right"/>
            </w:pPr>
            <w:r w:rsidRPr="41D8F452">
              <w:rPr>
                <w:rFonts w:ascii="Aptos Narrow" w:eastAsia="Aptos Narrow" w:hAnsi="Aptos Narrow" w:cs="Aptos Narrow"/>
                <w:color w:val="000000" w:themeColor="text1"/>
                <w:sz w:val="22"/>
                <w:szCs w:val="22"/>
              </w:rPr>
              <w:t>1.371</w:t>
            </w:r>
            <w:r w:rsidR="223B2F11" w:rsidRPr="41D8F452">
              <w:rPr>
                <w:rFonts w:ascii="Aptos Narrow" w:eastAsia="Aptos Narrow" w:hAnsi="Aptos Narrow" w:cs="Aptos Narrow"/>
                <w:color w:val="000000" w:themeColor="text1"/>
                <w:sz w:val="22"/>
                <w:szCs w:val="22"/>
              </w:rPr>
              <w:t>7</w:t>
            </w:r>
          </w:p>
        </w:tc>
        <w:tc>
          <w:tcPr>
            <w:tcW w:w="1322" w:type="dxa"/>
            <w:vAlign w:val="center"/>
          </w:tcPr>
          <w:p w14:paraId="056A2E40" w14:textId="2457AE6B" w:rsidR="41D8F452" w:rsidRDefault="41D8F452" w:rsidP="41D8F452">
            <w:pPr>
              <w:spacing w:after="0"/>
              <w:jc w:val="right"/>
            </w:pPr>
            <w:r w:rsidRPr="41D8F452">
              <w:rPr>
                <w:rFonts w:ascii="Aptos Narrow" w:eastAsia="Aptos Narrow" w:hAnsi="Aptos Narrow" w:cs="Aptos Narrow"/>
                <w:color w:val="000000" w:themeColor="text1"/>
                <w:sz w:val="22"/>
                <w:szCs w:val="22"/>
              </w:rPr>
              <w:t>2.7835</w:t>
            </w:r>
          </w:p>
        </w:tc>
      </w:tr>
      <w:tr w:rsidR="41D8F452" w14:paraId="33A459CB" w14:textId="77777777" w:rsidTr="5A746606">
        <w:trPr>
          <w:trHeight w:val="300"/>
        </w:trPr>
        <w:tc>
          <w:tcPr>
            <w:tcW w:w="860" w:type="dxa"/>
            <w:vAlign w:val="center"/>
          </w:tcPr>
          <w:p w14:paraId="42140608" w14:textId="7A775BC9" w:rsidR="58DE8390" w:rsidRDefault="58DE8390" w:rsidP="41D8F452">
            <w:r>
              <w:t>16</w:t>
            </w:r>
          </w:p>
        </w:tc>
        <w:tc>
          <w:tcPr>
            <w:tcW w:w="2325" w:type="dxa"/>
            <w:vAlign w:val="center"/>
          </w:tcPr>
          <w:p w14:paraId="0435BE79" w14:textId="66507A8F" w:rsidR="41D8F452" w:rsidRDefault="41D8F452" w:rsidP="41D8F452">
            <w:pPr>
              <w:spacing w:after="0"/>
            </w:pPr>
            <w:r w:rsidRPr="41D8F452">
              <w:rPr>
                <w:rFonts w:ascii="Aptos Narrow" w:eastAsia="Aptos Narrow" w:hAnsi="Aptos Narrow" w:cs="Aptos Narrow"/>
                <w:color w:val="000000" w:themeColor="text1"/>
                <w:sz w:val="22"/>
                <w:szCs w:val="22"/>
              </w:rPr>
              <w:t>Liberty County, TX</w:t>
            </w:r>
          </w:p>
        </w:tc>
        <w:tc>
          <w:tcPr>
            <w:tcW w:w="1230" w:type="dxa"/>
            <w:vAlign w:val="center"/>
          </w:tcPr>
          <w:p w14:paraId="6DDF1EE3" w14:textId="73BD684E" w:rsidR="41D8F452" w:rsidRDefault="41D8F452" w:rsidP="41D8F452">
            <w:pPr>
              <w:spacing w:after="0"/>
              <w:jc w:val="right"/>
            </w:pPr>
            <w:r w:rsidRPr="41D8F452">
              <w:rPr>
                <w:rFonts w:ascii="Aptos Narrow" w:eastAsia="Aptos Narrow" w:hAnsi="Aptos Narrow" w:cs="Aptos Narrow"/>
                <w:color w:val="000000" w:themeColor="text1"/>
                <w:sz w:val="22"/>
                <w:szCs w:val="22"/>
              </w:rPr>
              <w:t>2.102</w:t>
            </w:r>
            <w:r w:rsidR="63AD213C" w:rsidRPr="41D8F452">
              <w:rPr>
                <w:rFonts w:ascii="Aptos Narrow" w:eastAsia="Aptos Narrow" w:hAnsi="Aptos Narrow" w:cs="Aptos Narrow"/>
                <w:color w:val="000000" w:themeColor="text1"/>
                <w:sz w:val="22"/>
                <w:szCs w:val="22"/>
              </w:rPr>
              <w:t>6</w:t>
            </w:r>
          </w:p>
        </w:tc>
        <w:tc>
          <w:tcPr>
            <w:tcW w:w="1176" w:type="dxa"/>
            <w:vAlign w:val="center"/>
          </w:tcPr>
          <w:p w14:paraId="3336D6CE" w14:textId="37F6B1D3" w:rsidR="41D8F452" w:rsidRDefault="41D8F452" w:rsidP="41D8F452">
            <w:pPr>
              <w:spacing w:after="0"/>
              <w:jc w:val="right"/>
            </w:pPr>
            <w:r w:rsidRPr="41D8F452">
              <w:rPr>
                <w:rFonts w:ascii="Aptos Narrow" w:eastAsia="Aptos Narrow" w:hAnsi="Aptos Narrow" w:cs="Aptos Narrow"/>
                <w:color w:val="000000" w:themeColor="text1"/>
                <w:sz w:val="22"/>
                <w:szCs w:val="22"/>
              </w:rPr>
              <w:t>-2.165</w:t>
            </w:r>
            <w:r w:rsidR="646DE51D" w:rsidRPr="41D8F452">
              <w:rPr>
                <w:rFonts w:ascii="Aptos Narrow" w:eastAsia="Aptos Narrow" w:hAnsi="Aptos Narrow" w:cs="Aptos Narrow"/>
                <w:color w:val="000000" w:themeColor="text1"/>
                <w:sz w:val="22"/>
                <w:szCs w:val="22"/>
              </w:rPr>
              <w:t>9</w:t>
            </w:r>
          </w:p>
        </w:tc>
        <w:tc>
          <w:tcPr>
            <w:tcW w:w="1670" w:type="dxa"/>
            <w:vAlign w:val="center"/>
          </w:tcPr>
          <w:p w14:paraId="102CBA9E" w14:textId="103B4401" w:rsidR="41D8F452" w:rsidRDefault="41D8F452" w:rsidP="41D8F452">
            <w:pPr>
              <w:spacing w:after="0"/>
              <w:jc w:val="right"/>
              <w:rPr>
                <w:rFonts w:ascii="Aptos Narrow" w:eastAsia="Aptos Narrow" w:hAnsi="Aptos Narrow" w:cs="Aptos Narrow"/>
                <w:color w:val="000000" w:themeColor="text1"/>
                <w:sz w:val="22"/>
                <w:szCs w:val="22"/>
              </w:rPr>
            </w:pPr>
            <w:r w:rsidRPr="41D8F452">
              <w:rPr>
                <w:rFonts w:ascii="Aptos Narrow" w:eastAsia="Aptos Narrow" w:hAnsi="Aptos Narrow" w:cs="Aptos Narrow"/>
                <w:color w:val="000000" w:themeColor="text1"/>
                <w:sz w:val="22"/>
                <w:szCs w:val="22"/>
              </w:rPr>
              <w:t>1.0405</w:t>
            </w:r>
          </w:p>
        </w:tc>
        <w:tc>
          <w:tcPr>
            <w:tcW w:w="1322" w:type="dxa"/>
            <w:vAlign w:val="center"/>
          </w:tcPr>
          <w:p w14:paraId="7D962845" w14:textId="379FADA8" w:rsidR="41D8F452" w:rsidRDefault="41D8F452" w:rsidP="41D8F452">
            <w:pPr>
              <w:spacing w:after="0"/>
              <w:jc w:val="right"/>
            </w:pPr>
            <w:r w:rsidRPr="41D8F452">
              <w:rPr>
                <w:rFonts w:ascii="Aptos Narrow" w:eastAsia="Aptos Narrow" w:hAnsi="Aptos Narrow" w:cs="Aptos Narrow"/>
                <w:color w:val="000000" w:themeColor="text1"/>
                <w:sz w:val="22"/>
                <w:szCs w:val="22"/>
              </w:rPr>
              <w:t>2.7470</w:t>
            </w:r>
          </w:p>
        </w:tc>
      </w:tr>
      <w:tr w:rsidR="41D8F452" w14:paraId="3768B748" w14:textId="77777777" w:rsidTr="5A746606">
        <w:trPr>
          <w:trHeight w:val="300"/>
        </w:trPr>
        <w:tc>
          <w:tcPr>
            <w:tcW w:w="860" w:type="dxa"/>
            <w:vAlign w:val="center"/>
          </w:tcPr>
          <w:p w14:paraId="0CBE3625" w14:textId="05CE36A3" w:rsidR="58DE8390" w:rsidRDefault="58DE8390" w:rsidP="41D8F452">
            <w:r>
              <w:t>17</w:t>
            </w:r>
          </w:p>
        </w:tc>
        <w:tc>
          <w:tcPr>
            <w:tcW w:w="2325" w:type="dxa"/>
            <w:vAlign w:val="center"/>
          </w:tcPr>
          <w:p w14:paraId="0BF49D25" w14:textId="1E3C8049" w:rsidR="41D8F452" w:rsidRDefault="41D8F452" w:rsidP="41D8F452">
            <w:pPr>
              <w:spacing w:after="0"/>
            </w:pPr>
            <w:r w:rsidRPr="41D8F452">
              <w:rPr>
                <w:rFonts w:ascii="Aptos Narrow" w:eastAsia="Aptos Narrow" w:hAnsi="Aptos Narrow" w:cs="Aptos Narrow"/>
                <w:color w:val="000000" w:themeColor="text1"/>
                <w:sz w:val="22"/>
                <w:szCs w:val="22"/>
              </w:rPr>
              <w:t>Brazoria County, TX</w:t>
            </w:r>
          </w:p>
        </w:tc>
        <w:tc>
          <w:tcPr>
            <w:tcW w:w="1230" w:type="dxa"/>
            <w:vAlign w:val="center"/>
          </w:tcPr>
          <w:p w14:paraId="4490845A" w14:textId="0928224D" w:rsidR="41D8F452" w:rsidRDefault="41D8F452" w:rsidP="41D8F452">
            <w:pPr>
              <w:spacing w:after="0"/>
              <w:jc w:val="right"/>
            </w:pPr>
            <w:r w:rsidRPr="41D8F452">
              <w:rPr>
                <w:rFonts w:ascii="Aptos Narrow" w:eastAsia="Aptos Narrow" w:hAnsi="Aptos Narrow" w:cs="Aptos Narrow"/>
                <w:color w:val="000000" w:themeColor="text1"/>
                <w:sz w:val="22"/>
                <w:szCs w:val="22"/>
              </w:rPr>
              <w:t>2.102</w:t>
            </w:r>
            <w:r w:rsidR="1AA4E82D" w:rsidRPr="41D8F452">
              <w:rPr>
                <w:rFonts w:ascii="Aptos Narrow" w:eastAsia="Aptos Narrow" w:hAnsi="Aptos Narrow" w:cs="Aptos Narrow"/>
                <w:color w:val="000000" w:themeColor="text1"/>
                <w:sz w:val="22"/>
                <w:szCs w:val="22"/>
              </w:rPr>
              <w:t>6</w:t>
            </w:r>
          </w:p>
        </w:tc>
        <w:tc>
          <w:tcPr>
            <w:tcW w:w="1176" w:type="dxa"/>
            <w:vAlign w:val="center"/>
          </w:tcPr>
          <w:p w14:paraId="76633006" w14:textId="50DEAAE9" w:rsidR="41D8F452" w:rsidRDefault="41D8F452" w:rsidP="41D8F452">
            <w:pPr>
              <w:spacing w:after="0"/>
              <w:jc w:val="right"/>
            </w:pPr>
            <w:r w:rsidRPr="41D8F452">
              <w:rPr>
                <w:rFonts w:ascii="Aptos Narrow" w:eastAsia="Aptos Narrow" w:hAnsi="Aptos Narrow" w:cs="Aptos Narrow"/>
                <w:color w:val="000000" w:themeColor="text1"/>
                <w:sz w:val="22"/>
                <w:szCs w:val="22"/>
              </w:rPr>
              <w:t>-2.9288</w:t>
            </w:r>
          </w:p>
        </w:tc>
        <w:tc>
          <w:tcPr>
            <w:tcW w:w="1670" w:type="dxa"/>
            <w:vAlign w:val="center"/>
          </w:tcPr>
          <w:p w14:paraId="7605B8BF" w14:textId="29C9C53B" w:rsidR="41D8F452" w:rsidRDefault="41D8F452" w:rsidP="41D8F452">
            <w:pPr>
              <w:spacing w:after="0"/>
              <w:jc w:val="right"/>
            </w:pPr>
            <w:r w:rsidRPr="41D8F452">
              <w:rPr>
                <w:rFonts w:ascii="Aptos Narrow" w:eastAsia="Aptos Narrow" w:hAnsi="Aptos Narrow" w:cs="Aptos Narrow"/>
                <w:color w:val="000000" w:themeColor="text1"/>
                <w:sz w:val="22"/>
                <w:szCs w:val="22"/>
              </w:rPr>
              <w:t>0.0142</w:t>
            </w:r>
          </w:p>
        </w:tc>
        <w:tc>
          <w:tcPr>
            <w:tcW w:w="1322" w:type="dxa"/>
            <w:vAlign w:val="center"/>
          </w:tcPr>
          <w:p w14:paraId="50B5FE54" w14:textId="37149BD7" w:rsidR="41D8F452" w:rsidRDefault="41D8F452" w:rsidP="41D8F452">
            <w:pPr>
              <w:spacing w:after="0"/>
              <w:jc w:val="right"/>
              <w:rPr>
                <w:rFonts w:ascii="Aptos Narrow" w:eastAsia="Aptos Narrow" w:hAnsi="Aptos Narrow" w:cs="Aptos Narrow"/>
                <w:color w:val="000000" w:themeColor="text1"/>
                <w:sz w:val="22"/>
                <w:szCs w:val="22"/>
              </w:rPr>
            </w:pPr>
            <w:r w:rsidRPr="41D8F452">
              <w:rPr>
                <w:rFonts w:ascii="Aptos Narrow" w:eastAsia="Aptos Narrow" w:hAnsi="Aptos Narrow" w:cs="Aptos Narrow"/>
                <w:color w:val="000000" w:themeColor="text1"/>
                <w:sz w:val="22"/>
                <w:szCs w:val="22"/>
              </w:rPr>
              <w:t>2.61</w:t>
            </w:r>
            <w:r w:rsidR="0DC98331" w:rsidRPr="41D8F452">
              <w:rPr>
                <w:rFonts w:ascii="Aptos Narrow" w:eastAsia="Aptos Narrow" w:hAnsi="Aptos Narrow" w:cs="Aptos Narrow"/>
                <w:color w:val="000000" w:themeColor="text1"/>
                <w:sz w:val="22"/>
                <w:szCs w:val="22"/>
              </w:rPr>
              <w:t>10</w:t>
            </w:r>
          </w:p>
        </w:tc>
      </w:tr>
      <w:tr w:rsidR="41D8F452" w14:paraId="5A1C4DA9" w14:textId="77777777" w:rsidTr="5A746606">
        <w:trPr>
          <w:trHeight w:val="300"/>
        </w:trPr>
        <w:tc>
          <w:tcPr>
            <w:tcW w:w="860" w:type="dxa"/>
            <w:vAlign w:val="center"/>
          </w:tcPr>
          <w:p w14:paraId="2ABFA3DB" w14:textId="34108AD5" w:rsidR="4C7BC144" w:rsidRDefault="4C7BC144" w:rsidP="41D8F452">
            <w:r>
              <w:t>18</w:t>
            </w:r>
          </w:p>
        </w:tc>
        <w:tc>
          <w:tcPr>
            <w:tcW w:w="2325" w:type="dxa"/>
            <w:vAlign w:val="center"/>
          </w:tcPr>
          <w:p w14:paraId="43CB1739" w14:textId="2E011B64" w:rsidR="41D8F452" w:rsidRDefault="41D8F452" w:rsidP="41D8F452">
            <w:pPr>
              <w:spacing w:after="0"/>
            </w:pPr>
            <w:r w:rsidRPr="41D8F452">
              <w:rPr>
                <w:rFonts w:ascii="Aptos Narrow" w:eastAsia="Aptos Narrow" w:hAnsi="Aptos Narrow" w:cs="Aptos Narrow"/>
                <w:color w:val="000000" w:themeColor="text1"/>
                <w:sz w:val="22"/>
                <w:szCs w:val="22"/>
              </w:rPr>
              <w:t>Washington Parish, LA</w:t>
            </w:r>
          </w:p>
        </w:tc>
        <w:tc>
          <w:tcPr>
            <w:tcW w:w="1230" w:type="dxa"/>
            <w:vAlign w:val="center"/>
          </w:tcPr>
          <w:p w14:paraId="0D337F90" w14:textId="29F81A88" w:rsidR="41D8F452" w:rsidRDefault="41D8F452" w:rsidP="41D8F452">
            <w:pPr>
              <w:spacing w:after="0"/>
              <w:jc w:val="right"/>
            </w:pPr>
            <w:r w:rsidRPr="41D8F452">
              <w:rPr>
                <w:rFonts w:ascii="Aptos Narrow" w:eastAsia="Aptos Narrow" w:hAnsi="Aptos Narrow" w:cs="Aptos Narrow"/>
                <w:color w:val="000000" w:themeColor="text1"/>
                <w:sz w:val="22"/>
                <w:szCs w:val="22"/>
              </w:rPr>
              <w:t>2.102</w:t>
            </w:r>
            <w:r w:rsidR="1D5B4837" w:rsidRPr="41D8F452">
              <w:rPr>
                <w:rFonts w:ascii="Aptos Narrow" w:eastAsia="Aptos Narrow" w:hAnsi="Aptos Narrow" w:cs="Aptos Narrow"/>
                <w:color w:val="000000" w:themeColor="text1"/>
                <w:sz w:val="22"/>
                <w:szCs w:val="22"/>
              </w:rPr>
              <w:t>6</w:t>
            </w:r>
          </w:p>
        </w:tc>
        <w:tc>
          <w:tcPr>
            <w:tcW w:w="1176" w:type="dxa"/>
            <w:vAlign w:val="center"/>
          </w:tcPr>
          <w:p w14:paraId="6CF6FDC4" w14:textId="35FFA8D8" w:rsidR="41D8F452" w:rsidRDefault="41D8F452" w:rsidP="41D8F452">
            <w:pPr>
              <w:spacing w:after="0"/>
              <w:jc w:val="right"/>
            </w:pPr>
            <w:r w:rsidRPr="41D8F452">
              <w:rPr>
                <w:rFonts w:ascii="Aptos Narrow" w:eastAsia="Aptos Narrow" w:hAnsi="Aptos Narrow" w:cs="Aptos Narrow"/>
                <w:color w:val="000000" w:themeColor="text1"/>
                <w:sz w:val="22"/>
                <w:szCs w:val="22"/>
              </w:rPr>
              <w:t>-1.347</w:t>
            </w:r>
            <w:r w:rsidR="5FD19521" w:rsidRPr="41D8F452">
              <w:rPr>
                <w:rFonts w:ascii="Aptos Narrow" w:eastAsia="Aptos Narrow" w:hAnsi="Aptos Narrow" w:cs="Aptos Narrow"/>
                <w:color w:val="000000" w:themeColor="text1"/>
                <w:sz w:val="22"/>
                <w:szCs w:val="22"/>
              </w:rPr>
              <w:t>1</w:t>
            </w:r>
          </w:p>
        </w:tc>
        <w:tc>
          <w:tcPr>
            <w:tcW w:w="1670" w:type="dxa"/>
            <w:vAlign w:val="center"/>
          </w:tcPr>
          <w:p w14:paraId="09C4DAFF" w14:textId="65287583" w:rsidR="41D8F452" w:rsidRDefault="41D8F452" w:rsidP="41D8F452">
            <w:pPr>
              <w:spacing w:after="0"/>
              <w:jc w:val="right"/>
            </w:pPr>
            <w:r w:rsidRPr="41D8F452">
              <w:rPr>
                <w:rFonts w:ascii="Aptos Narrow" w:eastAsia="Aptos Narrow" w:hAnsi="Aptos Narrow" w:cs="Aptos Narrow"/>
                <w:color w:val="000000" w:themeColor="text1"/>
                <w:sz w:val="22"/>
                <w:szCs w:val="22"/>
              </w:rPr>
              <w:t>1.2866</w:t>
            </w:r>
          </w:p>
        </w:tc>
        <w:tc>
          <w:tcPr>
            <w:tcW w:w="1322" w:type="dxa"/>
            <w:vAlign w:val="center"/>
          </w:tcPr>
          <w:p w14:paraId="6E3375AB" w14:textId="531F1D36" w:rsidR="41D8F452" w:rsidRDefault="41D8F452" w:rsidP="41D8F452">
            <w:pPr>
              <w:spacing w:after="0"/>
              <w:jc w:val="right"/>
            </w:pPr>
            <w:r w:rsidRPr="41D8F452">
              <w:rPr>
                <w:rFonts w:ascii="Aptos Narrow" w:eastAsia="Aptos Narrow" w:hAnsi="Aptos Narrow" w:cs="Aptos Narrow"/>
                <w:color w:val="000000" w:themeColor="text1"/>
                <w:sz w:val="22"/>
                <w:szCs w:val="22"/>
              </w:rPr>
              <w:t>2.451</w:t>
            </w:r>
            <w:r w:rsidR="26F2C607" w:rsidRPr="41D8F452">
              <w:rPr>
                <w:rFonts w:ascii="Aptos Narrow" w:eastAsia="Aptos Narrow" w:hAnsi="Aptos Narrow" w:cs="Aptos Narrow"/>
                <w:color w:val="000000" w:themeColor="text1"/>
                <w:sz w:val="22"/>
                <w:szCs w:val="22"/>
              </w:rPr>
              <w:t>2</w:t>
            </w:r>
          </w:p>
        </w:tc>
      </w:tr>
      <w:tr w:rsidR="41D8F452" w14:paraId="4ED9C3CD" w14:textId="77777777" w:rsidTr="5A746606">
        <w:trPr>
          <w:trHeight w:val="300"/>
        </w:trPr>
        <w:tc>
          <w:tcPr>
            <w:tcW w:w="860" w:type="dxa"/>
            <w:vAlign w:val="center"/>
          </w:tcPr>
          <w:p w14:paraId="70924FB9" w14:textId="5FA4C224" w:rsidR="4C7BC144" w:rsidRDefault="4C7BC144" w:rsidP="41D8F452">
            <w:r>
              <w:t>19</w:t>
            </w:r>
          </w:p>
        </w:tc>
        <w:tc>
          <w:tcPr>
            <w:tcW w:w="2325" w:type="dxa"/>
            <w:vAlign w:val="center"/>
          </w:tcPr>
          <w:p w14:paraId="4103298C" w14:textId="530BF5C9" w:rsidR="41D8F452" w:rsidRDefault="41D8F452" w:rsidP="41D8F452">
            <w:pPr>
              <w:spacing w:after="0"/>
            </w:pPr>
            <w:r w:rsidRPr="41D8F452">
              <w:rPr>
                <w:rFonts w:ascii="Aptos Narrow" w:eastAsia="Aptos Narrow" w:hAnsi="Aptos Narrow" w:cs="Aptos Narrow"/>
                <w:color w:val="000000" w:themeColor="text1"/>
                <w:sz w:val="22"/>
                <w:szCs w:val="22"/>
              </w:rPr>
              <w:t>Calcasieu Parish, LA</w:t>
            </w:r>
          </w:p>
        </w:tc>
        <w:tc>
          <w:tcPr>
            <w:tcW w:w="1230" w:type="dxa"/>
            <w:vAlign w:val="center"/>
          </w:tcPr>
          <w:p w14:paraId="5812972E" w14:textId="4FF2AC73" w:rsidR="41D8F452" w:rsidRDefault="41D8F452" w:rsidP="41D8F452">
            <w:pPr>
              <w:spacing w:after="0"/>
              <w:jc w:val="right"/>
            </w:pPr>
            <w:r w:rsidRPr="41D8F452">
              <w:rPr>
                <w:rFonts w:ascii="Aptos Narrow" w:eastAsia="Aptos Narrow" w:hAnsi="Aptos Narrow" w:cs="Aptos Narrow"/>
                <w:color w:val="000000" w:themeColor="text1"/>
                <w:sz w:val="22"/>
                <w:szCs w:val="22"/>
              </w:rPr>
              <w:t>2.102</w:t>
            </w:r>
            <w:r w:rsidR="5C3498D6" w:rsidRPr="41D8F452">
              <w:rPr>
                <w:rFonts w:ascii="Aptos Narrow" w:eastAsia="Aptos Narrow" w:hAnsi="Aptos Narrow" w:cs="Aptos Narrow"/>
                <w:color w:val="000000" w:themeColor="text1"/>
                <w:sz w:val="22"/>
                <w:szCs w:val="22"/>
              </w:rPr>
              <w:t>6</w:t>
            </w:r>
          </w:p>
        </w:tc>
        <w:tc>
          <w:tcPr>
            <w:tcW w:w="1176" w:type="dxa"/>
            <w:vAlign w:val="center"/>
          </w:tcPr>
          <w:p w14:paraId="239E9BA0" w14:textId="4398B68A" w:rsidR="41D8F452" w:rsidRDefault="41D8F452" w:rsidP="41D8F452">
            <w:pPr>
              <w:spacing w:after="0"/>
              <w:jc w:val="right"/>
            </w:pPr>
            <w:r w:rsidRPr="41D8F452">
              <w:rPr>
                <w:rFonts w:ascii="Aptos Narrow" w:eastAsia="Aptos Narrow" w:hAnsi="Aptos Narrow" w:cs="Aptos Narrow"/>
                <w:color w:val="000000" w:themeColor="text1"/>
                <w:sz w:val="22"/>
                <w:szCs w:val="22"/>
              </w:rPr>
              <w:t>-2.203</w:t>
            </w:r>
            <w:r w:rsidR="21260B03" w:rsidRPr="41D8F452">
              <w:rPr>
                <w:rFonts w:ascii="Aptos Narrow" w:eastAsia="Aptos Narrow" w:hAnsi="Aptos Narrow" w:cs="Aptos Narrow"/>
                <w:color w:val="000000" w:themeColor="text1"/>
                <w:sz w:val="22"/>
                <w:szCs w:val="22"/>
              </w:rPr>
              <w:t>1</w:t>
            </w:r>
          </w:p>
        </w:tc>
        <w:tc>
          <w:tcPr>
            <w:tcW w:w="1670" w:type="dxa"/>
            <w:vAlign w:val="center"/>
          </w:tcPr>
          <w:p w14:paraId="69348C92" w14:textId="5E87C907" w:rsidR="41D8F452" w:rsidRDefault="41D8F452" w:rsidP="41D8F452">
            <w:pPr>
              <w:spacing w:after="0"/>
              <w:jc w:val="right"/>
            </w:pPr>
            <w:r w:rsidRPr="41D8F452">
              <w:rPr>
                <w:rFonts w:ascii="Aptos Narrow" w:eastAsia="Aptos Narrow" w:hAnsi="Aptos Narrow" w:cs="Aptos Narrow"/>
                <w:color w:val="000000" w:themeColor="text1"/>
                <w:sz w:val="22"/>
                <w:szCs w:val="22"/>
              </w:rPr>
              <w:t>0.277</w:t>
            </w:r>
            <w:r w:rsidR="2EEB36EE" w:rsidRPr="41D8F452">
              <w:rPr>
                <w:rFonts w:ascii="Aptos Narrow" w:eastAsia="Aptos Narrow" w:hAnsi="Aptos Narrow" w:cs="Aptos Narrow"/>
                <w:color w:val="000000" w:themeColor="text1"/>
                <w:sz w:val="22"/>
                <w:szCs w:val="22"/>
              </w:rPr>
              <w:t>2</w:t>
            </w:r>
          </w:p>
        </w:tc>
        <w:tc>
          <w:tcPr>
            <w:tcW w:w="1322" w:type="dxa"/>
            <w:vAlign w:val="center"/>
          </w:tcPr>
          <w:p w14:paraId="3C820672" w14:textId="1E48FA92" w:rsidR="41D8F452" w:rsidRDefault="41D8F452" w:rsidP="41D8F452">
            <w:pPr>
              <w:spacing w:after="0"/>
              <w:jc w:val="right"/>
            </w:pPr>
            <w:r w:rsidRPr="41D8F452">
              <w:rPr>
                <w:rFonts w:ascii="Aptos Narrow" w:eastAsia="Aptos Narrow" w:hAnsi="Aptos Narrow" w:cs="Aptos Narrow"/>
                <w:color w:val="000000" w:themeColor="text1"/>
                <w:sz w:val="22"/>
                <w:szCs w:val="22"/>
              </w:rPr>
              <w:t>2.371</w:t>
            </w:r>
            <w:r w:rsidR="374864D0" w:rsidRPr="41D8F452">
              <w:rPr>
                <w:rFonts w:ascii="Aptos Narrow" w:eastAsia="Aptos Narrow" w:hAnsi="Aptos Narrow" w:cs="Aptos Narrow"/>
                <w:color w:val="000000" w:themeColor="text1"/>
                <w:sz w:val="22"/>
                <w:szCs w:val="22"/>
              </w:rPr>
              <w:t>9</w:t>
            </w:r>
          </w:p>
        </w:tc>
      </w:tr>
      <w:tr w:rsidR="41D8F452" w14:paraId="4C373CF0" w14:textId="77777777" w:rsidTr="5A746606">
        <w:trPr>
          <w:trHeight w:val="300"/>
        </w:trPr>
        <w:tc>
          <w:tcPr>
            <w:tcW w:w="860" w:type="dxa"/>
            <w:vAlign w:val="center"/>
          </w:tcPr>
          <w:p w14:paraId="00F7C57F" w14:textId="26E805A5" w:rsidR="4C7BC144" w:rsidRDefault="4C7BC144" w:rsidP="41D8F452">
            <w:r>
              <w:t>20</w:t>
            </w:r>
          </w:p>
        </w:tc>
        <w:tc>
          <w:tcPr>
            <w:tcW w:w="2325" w:type="dxa"/>
            <w:vAlign w:val="center"/>
          </w:tcPr>
          <w:p w14:paraId="6E893063" w14:textId="3BD55C54" w:rsidR="41D8F452" w:rsidRDefault="41D8F452" w:rsidP="41D8F452">
            <w:pPr>
              <w:spacing w:after="0"/>
            </w:pPr>
            <w:r w:rsidRPr="41D8F452">
              <w:rPr>
                <w:rFonts w:ascii="Aptos Narrow" w:eastAsia="Aptos Narrow" w:hAnsi="Aptos Narrow" w:cs="Aptos Narrow"/>
                <w:color w:val="000000" w:themeColor="text1"/>
                <w:sz w:val="22"/>
                <w:szCs w:val="22"/>
              </w:rPr>
              <w:t>Gregg County, TX</w:t>
            </w:r>
          </w:p>
        </w:tc>
        <w:tc>
          <w:tcPr>
            <w:tcW w:w="1230" w:type="dxa"/>
            <w:vAlign w:val="center"/>
          </w:tcPr>
          <w:p w14:paraId="575D7F1E" w14:textId="7F313C44" w:rsidR="41D8F452" w:rsidRDefault="41D8F452" w:rsidP="41D8F452">
            <w:pPr>
              <w:spacing w:after="0"/>
              <w:jc w:val="right"/>
            </w:pPr>
            <w:r w:rsidRPr="41D8F452">
              <w:rPr>
                <w:rFonts w:ascii="Aptos Narrow" w:eastAsia="Aptos Narrow" w:hAnsi="Aptos Narrow" w:cs="Aptos Narrow"/>
                <w:color w:val="000000" w:themeColor="text1"/>
                <w:sz w:val="22"/>
                <w:szCs w:val="22"/>
              </w:rPr>
              <w:t>2.102</w:t>
            </w:r>
            <w:r w:rsidR="3F8B5DE3" w:rsidRPr="41D8F452">
              <w:rPr>
                <w:rFonts w:ascii="Aptos Narrow" w:eastAsia="Aptos Narrow" w:hAnsi="Aptos Narrow" w:cs="Aptos Narrow"/>
                <w:color w:val="000000" w:themeColor="text1"/>
                <w:sz w:val="22"/>
                <w:szCs w:val="22"/>
              </w:rPr>
              <w:t>6</w:t>
            </w:r>
          </w:p>
        </w:tc>
        <w:tc>
          <w:tcPr>
            <w:tcW w:w="1176" w:type="dxa"/>
            <w:vAlign w:val="center"/>
          </w:tcPr>
          <w:p w14:paraId="3B679621" w14:textId="7A7FA48C" w:rsidR="41D8F452" w:rsidRDefault="41D8F452" w:rsidP="41D8F452">
            <w:pPr>
              <w:spacing w:after="0"/>
              <w:jc w:val="right"/>
            </w:pPr>
            <w:r w:rsidRPr="41D8F452">
              <w:rPr>
                <w:rFonts w:ascii="Aptos Narrow" w:eastAsia="Aptos Narrow" w:hAnsi="Aptos Narrow" w:cs="Aptos Narrow"/>
                <w:color w:val="000000" w:themeColor="text1"/>
                <w:sz w:val="22"/>
                <w:szCs w:val="22"/>
              </w:rPr>
              <w:t>-1.682</w:t>
            </w:r>
            <w:r w:rsidR="65DAEB40" w:rsidRPr="41D8F452">
              <w:rPr>
                <w:rFonts w:ascii="Aptos Narrow" w:eastAsia="Aptos Narrow" w:hAnsi="Aptos Narrow" w:cs="Aptos Narrow"/>
                <w:color w:val="000000" w:themeColor="text1"/>
                <w:sz w:val="22"/>
                <w:szCs w:val="22"/>
              </w:rPr>
              <w:t>1</w:t>
            </w:r>
          </w:p>
        </w:tc>
        <w:tc>
          <w:tcPr>
            <w:tcW w:w="1670" w:type="dxa"/>
            <w:vAlign w:val="center"/>
          </w:tcPr>
          <w:p w14:paraId="4C29BFA5" w14:textId="2DF90580" w:rsidR="41D8F452" w:rsidRDefault="41D8F452" w:rsidP="41D8F452">
            <w:pPr>
              <w:spacing w:after="0"/>
              <w:jc w:val="right"/>
            </w:pPr>
            <w:r w:rsidRPr="41D8F452">
              <w:rPr>
                <w:rFonts w:ascii="Aptos Narrow" w:eastAsia="Aptos Narrow" w:hAnsi="Aptos Narrow" w:cs="Aptos Narrow"/>
                <w:color w:val="000000" w:themeColor="text1"/>
                <w:sz w:val="22"/>
                <w:szCs w:val="22"/>
              </w:rPr>
              <w:t>0.795</w:t>
            </w:r>
            <w:r w:rsidR="6618AC5B" w:rsidRPr="41D8F452">
              <w:rPr>
                <w:rFonts w:ascii="Aptos Narrow" w:eastAsia="Aptos Narrow" w:hAnsi="Aptos Narrow" w:cs="Aptos Narrow"/>
                <w:color w:val="000000" w:themeColor="text1"/>
                <w:sz w:val="22"/>
                <w:szCs w:val="22"/>
              </w:rPr>
              <w:t>5</w:t>
            </w:r>
          </w:p>
        </w:tc>
        <w:tc>
          <w:tcPr>
            <w:tcW w:w="1322" w:type="dxa"/>
            <w:vAlign w:val="center"/>
          </w:tcPr>
          <w:p w14:paraId="5597BDE4" w14:textId="18CBB1A1" w:rsidR="41D8F452" w:rsidRDefault="41D8F452" w:rsidP="41D8F452">
            <w:pPr>
              <w:spacing w:after="0"/>
              <w:jc w:val="right"/>
            </w:pPr>
            <w:r w:rsidRPr="41D8F452">
              <w:rPr>
                <w:rFonts w:ascii="Aptos Narrow" w:eastAsia="Aptos Narrow" w:hAnsi="Aptos Narrow" w:cs="Aptos Narrow"/>
                <w:color w:val="000000" w:themeColor="text1"/>
                <w:sz w:val="22"/>
                <w:szCs w:val="22"/>
              </w:rPr>
              <w:t>2.370</w:t>
            </w:r>
            <w:r w:rsidR="77D3B306" w:rsidRPr="41D8F452">
              <w:rPr>
                <w:rFonts w:ascii="Aptos Narrow" w:eastAsia="Aptos Narrow" w:hAnsi="Aptos Narrow" w:cs="Aptos Narrow"/>
                <w:color w:val="000000" w:themeColor="text1"/>
                <w:sz w:val="22"/>
                <w:szCs w:val="22"/>
              </w:rPr>
              <w:t>5</w:t>
            </w:r>
          </w:p>
        </w:tc>
      </w:tr>
    </w:tbl>
    <w:p w14:paraId="34BDA163" w14:textId="60AA87F5" w:rsidR="19ABC65E" w:rsidRDefault="40806A77" w:rsidP="09DFBBFF">
      <w:pPr>
        <w:rPr>
          <w:rFonts w:ascii="Aptos" w:eastAsia="Aptos" w:hAnsi="Aptos" w:cs="Aptos"/>
          <w:b/>
          <w:bCs/>
        </w:rPr>
      </w:pPr>
      <w:r w:rsidRPr="5A746606">
        <w:rPr>
          <w:rFonts w:ascii="Aptos" w:eastAsia="Aptos" w:hAnsi="Aptos" w:cs="Aptos"/>
          <w:b/>
          <w:bCs/>
        </w:rPr>
        <w:t>6</w:t>
      </w:r>
      <w:r w:rsidR="37F09B24" w:rsidRPr="5A746606">
        <w:rPr>
          <w:rFonts w:ascii="Aptos" w:eastAsia="Aptos" w:hAnsi="Aptos" w:cs="Aptos"/>
          <w:b/>
          <w:bCs/>
        </w:rPr>
        <w:t>. Discussion</w:t>
      </w:r>
    </w:p>
    <w:p w14:paraId="1A2C4F1D" w14:textId="48349E22" w:rsidR="3D179A63" w:rsidRDefault="3D179A63" w:rsidP="5A746606">
      <w:pPr>
        <w:rPr>
          <w:rFonts w:ascii="Aptos" w:eastAsia="Aptos" w:hAnsi="Aptos" w:cs="Aptos"/>
          <w:b/>
          <w:bCs/>
        </w:rPr>
      </w:pPr>
      <w:r w:rsidRPr="5A746606">
        <w:rPr>
          <w:rFonts w:ascii="Aptos" w:eastAsia="Aptos" w:hAnsi="Aptos" w:cs="Aptos"/>
          <w:b/>
          <w:bCs/>
        </w:rPr>
        <w:t xml:space="preserve">6.1. </w:t>
      </w:r>
      <w:r w:rsidR="7DF27D89" w:rsidRPr="5A746606">
        <w:rPr>
          <w:rFonts w:ascii="Aptos" w:eastAsia="Aptos" w:hAnsi="Aptos" w:cs="Aptos"/>
          <w:b/>
          <w:bCs/>
        </w:rPr>
        <w:t>Rethinking governmental capacity: A multi-dimensional and relational perspective</w:t>
      </w:r>
    </w:p>
    <w:p w14:paraId="71345044" w14:textId="2FC33415" w:rsidR="6A4FC56B" w:rsidRDefault="24C6777C" w:rsidP="5A746606">
      <w:pPr>
        <w:rPr>
          <w:rFonts w:ascii="Aptos" w:eastAsia="Aptos" w:hAnsi="Aptos" w:cs="Aptos"/>
        </w:rPr>
      </w:pPr>
      <w:r>
        <w:rPr>
          <w:rFonts w:ascii="Aptos" w:hAnsi="Aptos"/>
        </w:rPr>
        <w:t>This study advances a more differentiated understanding of governmental capacity in disaster recovery by showing that capacity is not well captured by a single resource proxy. Across the revised SEM, descriptive spatial maps, and gap diagnostics, the most consistent pattern is that recovery outcomes are more closely aligned with workload manageability than with staffing and payroll intensity alone. That does not mean resources are irrelevant; rather, it suggests that resources must be interpreted relative to the disaster and program burdens they are expected to absorb.</w:t>
      </w:r>
    </w:p>
    <w:p w14:paraId="11ACFAA8" w14:textId="07A538B0" w:rsidR="6A4FC56B" w:rsidRDefault="24C6777C" w:rsidP="4563BE08">
      <w:r w:rsidRPr="5A746606">
        <w:rPr>
          <w:rFonts w:ascii="Aptos" w:eastAsia="Aptos" w:hAnsi="Aptos" w:cs="Aptos"/>
        </w:rPr>
        <w:t>Consistent with Annan-Prah &amp; Andoh (2023), this study conceptualizes governmental capacity as a joint reflection of resources and performance. However, it further refines this perspective by introducing Administrative Burden Capacity, defined as the effective capacity remaining after accounting for workload pressures and contextual constraints such as social vulnerability. This conceptualization highlights that capacity is inherently relational: administrative resources only translate into effective recovery outcomes when workload demands remain within manageable levels.</w:t>
      </w:r>
    </w:p>
    <w:p w14:paraId="6219FC26" w14:textId="55732893" w:rsidR="6A4FC56B" w:rsidRDefault="24C6777C" w:rsidP="4563BE08">
      <w:r>
        <w:rPr>
          <w:rFonts w:ascii="Aptos" w:hAnsi="Aptos"/>
        </w:rPr>
        <w:t>A central contribution of the revised paper is the distinction between Administrative Resources and Administrative Burden Capacity. Staffing and payroll reflect the scale of the administrative system, whereas burden capacity reflects how stretched that system is across disasters and programs. The empirical evidence is strongest for Recovery Timeliness, where lower workload pressure is associated with faster implementation. For Recovery Performance, the burden-capacity path is positive but only marginal, which suggests that the performance construct also reflects other dimensions of organizational context, program design, and reporting complexity. The revised interpretation is therefore more precise than the earlier draft: burden capacity appears especially important for timing, and plausibly relevant for performance, but not sufficient by itself to explain all observed differences in recovery execution.</w:t>
      </w:r>
    </w:p>
    <w:p w14:paraId="48A7CE91" w14:textId="0F92B953" w:rsidR="6A4FC56B" w:rsidRDefault="24C6777C" w:rsidP="5A746606">
      <w:r>
        <w:rPr>
          <w:rFonts w:ascii="Aptos" w:hAnsi="Aptos"/>
        </w:rPr>
        <w:t>The negative association between Administrative Resources and Recovery Performance further supports this interpretation. Rather than implying that additional staff or payroll harms recovery, the coefficient likely reflects portfolio complexity, organizational layering, or the fact that more administratively intensive jurisdictions often manage more demanding recovery contexts. Once workload is modeled explicitly, pure resource intensity ceases to function as a simple proxy for effectiveness. This finding is useful substantively because it cautions against equating larger bureaucratic scale with stronger recovery administration.</w:t>
      </w:r>
    </w:p>
    <w:p w14:paraId="64115163" w14:textId="3FDC0F0B" w:rsidR="6A4FC56B" w:rsidRDefault="24C6777C" w:rsidP="5A746606">
      <w:pPr>
        <w:rPr>
          <w:rFonts w:ascii="Aptos" w:eastAsia="Aptos" w:hAnsi="Aptos" w:cs="Aptos"/>
        </w:rPr>
      </w:pPr>
      <w:r w:rsidRPr="5A746606">
        <w:rPr>
          <w:rFonts w:ascii="Aptos" w:eastAsia="Aptos" w:hAnsi="Aptos" w:cs="Aptos"/>
          <w:b/>
          <w:bCs/>
        </w:rPr>
        <w:t xml:space="preserve">6.2. </w:t>
      </w:r>
      <w:r w:rsidR="44322222" w:rsidRPr="5A746606">
        <w:rPr>
          <w:rFonts w:ascii="Aptos" w:eastAsia="Aptos" w:hAnsi="Aptos" w:cs="Aptos"/>
          <w:b/>
          <w:bCs/>
        </w:rPr>
        <w:t>A burden-capacity framework for understanding spatial inequality in disaster recovery</w:t>
      </w:r>
    </w:p>
    <w:p w14:paraId="434F5319" w14:textId="1375FD31" w:rsidR="595B85ED" w:rsidRDefault="595B85ED" w:rsidP="5A746606">
      <w:pPr>
        <w:rPr>
          <w:rFonts w:ascii="Aptos" w:eastAsia="Aptos" w:hAnsi="Aptos" w:cs="Aptos"/>
        </w:rPr>
      </w:pPr>
      <w:r>
        <w:rPr>
          <w:rFonts w:ascii="Aptos" w:hAnsi="Aptos"/>
        </w:rPr>
        <w:t>The revised results also show that different dimensions of social vulnerability relate to recovery outcomes through distinct channels. Minority status and language vulnerability are most clearly associated with weaker Recovery Performance, whereas socioeconomic vulnerability and household composition/disability are more strongly associated with slower Recovery Timeliness. One plausible interpretation is that vulnerability intensifies the administrative demands of outreach, verification, coordination, and service delivery in different ways. The SEM does not identify those mechanisms directly, but the differentiated theme coefficients are consistent with the idea that recovery governance becomes more difficult when vulnerability and administrative burden overlap.</w:t>
      </w:r>
    </w:p>
    <w:p w14:paraId="7CAA332F" w14:textId="180FC2FD" w:rsidR="595B85ED" w:rsidRDefault="595B85ED" w:rsidP="5A746606">
      <w:r>
        <w:rPr>
          <w:rFonts w:ascii="Aptos" w:hAnsi="Aptos"/>
        </w:rPr>
        <w:t>The spatial analyses reinforce this interpretation by showing convergence across multiple descriptive lenses. Administrative Burden Capacity quadrant maps, gap diagnostics, and the governance risk screen all highlight parts of the Gulf Coast and the broader South as places where disaster exposure, social vulnerability, and administrative strain frequently coincide. The important revision, however, is interpretive: these maps are best read as spatial screening tools rather than as self-sufficient proofs of governance failure. They help identify where recovery systems may be under the greatest stress, but they do not by themselves establish why that stress occurs or whether it reflects resources, rules, market conditions, or disaster severity.</w:t>
      </w:r>
    </w:p>
    <w:p w14:paraId="0D648B32" w14:textId="2D7229E2" w:rsidR="595B85ED" w:rsidRDefault="595B85ED" w:rsidP="5A746606">
      <w:r>
        <w:rPr>
          <w:rFonts w:ascii="Aptos" w:hAnsi="Aptos"/>
        </w:rPr>
        <w:t>The patterns are also not purely regional. Localized pockets of elevated risk appear in the West and Northeast as well, indicating that recovery governance constraints can emerge wherever institutional workload outpaces local administrative capacity and social conditions complicate implementation.</w:t>
      </w:r>
    </w:p>
    <w:p w14:paraId="22870F00" w14:textId="7E3907C3" w:rsidR="595B85ED" w:rsidRDefault="595B85ED" w:rsidP="5A746606">
      <w:r>
        <w:rPr>
          <w:rFonts w:ascii="Aptos" w:hAnsi="Aptos"/>
        </w:rPr>
        <w:t>Overall, the study advances a burden-capacity framework for understanding spatial inequality in disaster recovery governance. That framework helps explain why jurisdictions with similar funding volumes may experience different administrative trajectories, and it suggests that future work should combine dynamic process data, clearer measurement validation, and longitudinal designs to determine which parts of this burden-capacity story remain stable once stronger temporal evidence is introduced.</w:t>
      </w:r>
    </w:p>
    <w:p w14:paraId="4532AD1F" w14:textId="7BDF763F" w:rsidR="2E7E41D1" w:rsidRDefault="2E7E41D1" w:rsidP="5A746606">
      <w:pPr>
        <w:rPr>
          <w:rFonts w:ascii="Aptos" w:eastAsia="Aptos" w:hAnsi="Aptos" w:cs="Aptos"/>
        </w:rPr>
      </w:pPr>
      <w:r w:rsidRPr="5A746606">
        <w:rPr>
          <w:rFonts w:ascii="Aptos" w:eastAsia="Aptos" w:hAnsi="Aptos" w:cs="Aptos"/>
          <w:b/>
          <w:bCs/>
        </w:rPr>
        <w:t>6.</w:t>
      </w:r>
      <w:r w:rsidR="5AF44B8C" w:rsidRPr="5A746606">
        <w:rPr>
          <w:rFonts w:ascii="Aptos" w:eastAsia="Aptos" w:hAnsi="Aptos" w:cs="Aptos"/>
          <w:b/>
          <w:bCs/>
        </w:rPr>
        <w:t>3</w:t>
      </w:r>
      <w:r w:rsidRPr="5A746606">
        <w:rPr>
          <w:rFonts w:ascii="Aptos" w:eastAsia="Aptos" w:hAnsi="Aptos" w:cs="Aptos"/>
          <w:b/>
          <w:bCs/>
        </w:rPr>
        <w:t>. Practical implications</w:t>
      </w:r>
    </w:p>
    <w:p w14:paraId="342BB9C0" w14:textId="5201B5F0" w:rsidR="7E4078FB" w:rsidRDefault="7E4078FB" w:rsidP="5A746606">
      <w:pPr>
        <w:rPr>
          <w:rFonts w:ascii="Aptos" w:eastAsia="Aptos" w:hAnsi="Aptos" w:cs="Aptos"/>
        </w:rPr>
      </w:pPr>
      <w:r>
        <w:rPr>
          <w:rFonts w:ascii="Aptos" w:hAnsi="Aptos"/>
        </w:rPr>
        <w:t>The findings provide decision-makers and practitioners with a more nuanced understanding of governmental capacity by distinguishing resource levels from workload strain. For practice, the key implication is diagnostic: when recovery performance is weak or implementation is slow, the problem may not be simple resource scarcity. It may instead reflect the way staffing, portfolio complexity, disaster exposure, and community vulnerability interact. This perspective can help practitioners diagnose whether recovery challenges stem from insufficient resources, excessive administrative burden, or a broader misalignment between institutional capacity and local recovery needs.</w:t>
      </w:r>
    </w:p>
    <w:p w14:paraId="1904AEF9" w14:textId="0B0926B7" w:rsidR="7E4078FB" w:rsidRDefault="7E4078FB" w:rsidP="5A746606">
      <w:pPr>
        <w:rPr>
          <w:rFonts w:ascii="Aptos" w:eastAsia="Aptos" w:hAnsi="Aptos" w:cs="Aptos"/>
        </w:rPr>
      </w:pPr>
      <w:bookmarkStart w:id="3" w:name="_Int_PfrYz7Lj"/>
      <w:bookmarkEnd w:id="3"/>
      <w:r>
        <w:rPr>
          <w:rFonts w:ascii="Aptos" w:hAnsi="Aptos"/>
        </w:rPr>
        <w:t>The Recovery Governance Risk Index and the related gap diagnostics provide an integrated descriptive lens that complements conventional indicators of disaster exposure or financial performance. Used carefully, these screening tools can help identify jurisdictions where high demand appears to coincide with limited burden capacity and elevated vulnerability. Their main value is triage: they highlight where additional technical assistance, closer institutional review, or targeted administrative support may be warranted.</w:t>
      </w:r>
    </w:p>
    <w:p w14:paraId="4B7BD63B" w14:textId="0EAF8228" w:rsidR="6A4FC56B" w:rsidRDefault="6265B11D" w:rsidP="5A746606">
      <w:pPr>
        <w:rPr>
          <w:rFonts w:ascii="Aptos" w:eastAsia="Aptos" w:hAnsi="Aptos" w:cs="Aptos"/>
        </w:rPr>
      </w:pPr>
      <w:r>
        <w:rPr>
          <w:rFonts w:ascii="Aptos" w:hAnsi="Aptos"/>
        </w:rPr>
        <w:t>From a policy perspective, the revised manuscript suggests that improving disaster recovery outcomes requires moving beyond resource-centric approaches toward workload-sensitive and context-aware interventions. Simply increasing funding or staffing may have limited effect if administrative systems remain overextended or if program complexity continues to impose substantial procedural burden. More promising strategies may include simplifying program rules, standardizing reporting and eligibility workflows, deploying temporary surge-capacity teams during high-demand periods, improving intergovernmental coordination, and prioritizing high-risk jurisdictions for language access, community outreach, and implementation support. These recommendations remain associationally motivated rather than experimentally verified, but they follow directly from the burden-sensitive interpretation of the results.</w:t>
      </w:r>
    </w:p>
    <w:p w14:paraId="5B60852C" w14:textId="48E69ADC" w:rsidR="6265B11D" w:rsidRDefault="6265B11D" w:rsidP="5A746606">
      <w:pPr>
        <w:rPr>
          <w:rFonts w:ascii="Aptos" w:eastAsia="Aptos" w:hAnsi="Aptos" w:cs="Aptos"/>
        </w:rPr>
      </w:pPr>
      <w:r>
        <w:rPr>
          <w:rFonts w:ascii="Aptos" w:hAnsi="Aptos"/>
        </w:rPr>
        <w:t>Although the real-world effectiveness of these strategies requires additional evaluation, the revised findings suggest that successful disaster recovery depends not only on the amount of resources available but also on whether those resources are adequate for the complexity, scale, and vulnerability of the recovery environment in which they are deployed.</w:t>
      </w:r>
    </w:p>
    <w:p w14:paraId="1B58BECF" w14:textId="3AC276F4" w:rsidR="2F14D1D6" w:rsidRDefault="2F14D1D6" w:rsidP="5A746606">
      <w:pPr>
        <w:rPr>
          <w:rFonts w:ascii="Aptos" w:eastAsia="Aptos" w:hAnsi="Aptos" w:cs="Aptos"/>
        </w:rPr>
      </w:pPr>
      <w:r w:rsidRPr="5A746606">
        <w:rPr>
          <w:rFonts w:ascii="Aptos" w:eastAsia="Aptos" w:hAnsi="Aptos" w:cs="Aptos"/>
          <w:b/>
          <w:bCs/>
        </w:rPr>
        <w:t>6.</w:t>
      </w:r>
      <w:r w:rsidR="173DBD0C" w:rsidRPr="5A746606">
        <w:rPr>
          <w:rFonts w:ascii="Aptos" w:eastAsia="Aptos" w:hAnsi="Aptos" w:cs="Aptos"/>
          <w:b/>
          <w:bCs/>
        </w:rPr>
        <w:t>4</w:t>
      </w:r>
      <w:r w:rsidRPr="5A746606">
        <w:rPr>
          <w:rFonts w:ascii="Aptos" w:eastAsia="Aptos" w:hAnsi="Aptos" w:cs="Aptos"/>
          <w:b/>
          <w:bCs/>
        </w:rPr>
        <w:t>. Study limitations</w:t>
      </w:r>
    </w:p>
    <w:p w14:paraId="2FE661BE" w14:textId="53A5A003" w:rsidR="755145F7" w:rsidRDefault="755145F7" w:rsidP="5A746606">
      <w:pPr>
        <w:rPr>
          <w:rFonts w:ascii="Aptos" w:eastAsia="Aptos" w:hAnsi="Aptos" w:cs="Aptos"/>
        </w:rPr>
      </w:pPr>
      <w:r>
        <w:rPr>
          <w:rFonts w:ascii="Aptos" w:hAnsi="Aptos"/>
        </w:rPr>
        <w:t>Several limitations should be acknowledged. First, the SEM relies on a cross-sectional grantee-level dataset, so the results are associational rather than causal. The aggregation from quarterly QPR activity data to one profile per grantee discards within-jurisdiction variation across disasters, policy regimes, staffing arrangements, and maturation windows. Second, the timeliness construct remains duration-based and therefore sensitive to right-censoring and disaster maturity. Newer grants and grantees with ongoing portfolios have had less time to complete recovery activities, which limits how strongly the timeliness factor can be interpreted.</w:t>
      </w:r>
    </w:p>
    <w:p w14:paraId="7856794A" w14:textId="0CD11B12" w:rsidR="4F3BFBB6" w:rsidRDefault="4F3BFBB6" w:rsidP="5A746606">
      <w:pPr>
        <w:rPr>
          <w:rFonts w:ascii="Aptos" w:eastAsia="Aptos" w:hAnsi="Aptos" w:cs="Aptos"/>
        </w:rPr>
      </w:pPr>
      <w:r>
        <w:rPr>
          <w:rFonts w:ascii="Aptos" w:hAnsi="Aptos"/>
        </w:rPr>
        <w:t>Third, the measurement of capacity remains indirect. QCEW NAICS 925110 employment and payroll are useful national proxies but do not directly measure CDBG-DR administrative teams, contractors, or interagency support structures. Similarly, the SVI covariates are used as cross-sectional contextual controls rather than as audited longitudinal trajectories across changing vintages. Fourth, the geography layer is derived from hierarchical name matching and county aggregation rather than from a fully reconstructed official Census relationship-file workflow. Finally, the gap diagnostics and governance risk index are retained as descriptive composites, but the original weighting and ranking scripts for those metrics are not yet fully recovered. For these reasons, the spatial and gap-based sections should be read as informative policy screens rather than as final measurement products.</w:t>
      </w:r>
    </w:p>
    <w:p w14:paraId="12FAA78F" w14:textId="25604B21" w:rsidR="5A1FF107" w:rsidRDefault="5A1FF107" w:rsidP="5A746606">
      <w:pPr>
        <w:rPr>
          <w:rFonts w:ascii="Aptos" w:eastAsia="Aptos" w:hAnsi="Aptos" w:cs="Aptos"/>
        </w:rPr>
      </w:pPr>
      <w:r>
        <w:rPr>
          <w:rFonts w:ascii="Aptos" w:hAnsi="Aptos"/>
        </w:rPr>
        <w:t>These limitations point to a clear future research agenda. Longitudinal or event-history designs would address maturity and censoring more directly. Reconstructing the full external-data workflow would allow researchers to audit QCEW extraction rules, SVI harmonization decisions, and geography matching against official Census files. More detailed administrative-process data - such as staffing assignments, contractor use, application processing times, and intergovernmental coordination mechanisms - would also make it possible to move from proxy capacity measures toward more direct operational indicators of recovery governance.</w:t>
      </w:r>
    </w:p>
    <w:p w14:paraId="1C02F8FF" w14:textId="6E11559D" w:rsidR="5A1FF107" w:rsidRDefault="5A1FF107" w:rsidP="5A746606">
      <w:r>
        <w:rPr>
          <w:rFonts w:ascii="Aptos" w:hAnsi="Aptos"/>
        </w:rPr>
        <w:t>Despite these limitations, the study still provides a useful empirical and conceptual contribution. Across the revised SEM and the descriptive spatial screens, the most consistent message is that disaster recovery governance is shaped not simply by how many resources a jurisdiction has, but by whether those resources are proportionate to disaster workload and to the social conditions of implementation. That is a meaningful insight even when treated explicitly as exploratory rather than causal.</w:t>
      </w:r>
    </w:p>
    <w:p w14:paraId="66659E48" w14:textId="2F047329" w:rsidR="49B01862" w:rsidRDefault="1FDE7970" w:rsidP="09DFBBFF">
      <w:pPr>
        <w:rPr>
          <w:rFonts w:ascii="Aptos" w:eastAsia="Aptos" w:hAnsi="Aptos" w:cs="Aptos"/>
          <w:b/>
          <w:bCs/>
        </w:rPr>
      </w:pPr>
      <w:r w:rsidRPr="5A746606">
        <w:rPr>
          <w:rFonts w:ascii="Aptos" w:eastAsia="Aptos" w:hAnsi="Aptos" w:cs="Aptos"/>
          <w:b/>
          <w:bCs/>
        </w:rPr>
        <w:t>7</w:t>
      </w:r>
      <w:r w:rsidR="37F09B24" w:rsidRPr="5A746606">
        <w:rPr>
          <w:rFonts w:ascii="Aptos" w:eastAsia="Aptos" w:hAnsi="Aptos" w:cs="Aptos"/>
          <w:b/>
          <w:bCs/>
        </w:rPr>
        <w:t>. Conclusions</w:t>
      </w:r>
    </w:p>
    <w:p w14:paraId="029FEE84" w14:textId="2A3E8E17" w:rsidR="4563BE08" w:rsidRDefault="7B40F4B3" w:rsidP="5A746606">
      <w:pPr>
        <w:rPr>
          <w:rFonts w:ascii="Aptos" w:eastAsia="Aptos" w:hAnsi="Aptos" w:cs="Aptos"/>
        </w:rPr>
      </w:pPr>
      <w:r>
        <w:rPr>
          <w:rFonts w:ascii="Aptos" w:hAnsi="Aptos"/>
        </w:rPr>
        <w:t>This revised study develops an integrated but explicitly exploratory framework for examining governmental capacity and disaster recovery outcomes across the United States. By combining cross-sectional structural equation modeling with descriptive spatial summaries, the manuscript moves beyond purely resource-based indicators and evaluates how staffing proxies, workload pressure, and contextual vulnerability co-occur with recovery performance and timeliness. The revised framing is narrower and more defensible than the earlier draft: it presents the SEM as an associational measurement exercise and treats the gap diagnostics and governance risk index as descriptive policy screens.</w:t>
      </w:r>
    </w:p>
    <w:p w14:paraId="342B09E0" w14:textId="608C7525" w:rsidR="4563BE08" w:rsidRDefault="7B40F4B3" w:rsidP="5A746606">
      <w:r>
        <w:rPr>
          <w:rFonts w:ascii="Aptos" w:hAnsi="Aptos"/>
        </w:rPr>
        <w:t>Several key insights emerge. First, governmental capacity is not well captured as a unidimensional construct. The two-factor model shows that Administrative Resources and Administrative Burden Capacity behave differently and should not be collapsed without checking the measurement tradeoff. Second, the strongest capacity-outcome association in the revised SEM is between lower workload pressure and faster Recovery Timeliness, whereas the relationship with the broader Recovery Performance construct is weaker and more conditional. Third, social vulnerability matters, but different SVI themes relate to different parts of the recovery process, reinforcing the view that capacity is embedded in broader institutional and community contexts.</w:t>
      </w:r>
    </w:p>
    <w:p w14:paraId="58E309F2" w14:textId="30A6BD87" w:rsidR="4563BE08" w:rsidRDefault="7B40F4B3" w:rsidP="4563BE08">
      <w:bookmarkStart w:id="4" w:name="_Int_waG1q66u"/>
      <w:bookmarkEnd w:id="4"/>
      <w:r>
        <w:rPr>
          <w:rFonts w:ascii="Aptos" w:hAnsi="Aptos"/>
        </w:rPr>
        <w:t>The descriptive spatial analyses add an important geographic dimension to those findings. They suggest that parts of the Gulf Coast and southern United States repeatedly appear where exposure, workload pressure, vulnerability, and weaker recovery outcomes overlap, while also showing that smaller clusters of governance strain occur elsewhere in the country.</w:t>
      </w:r>
    </w:p>
    <w:p w14:paraId="4C555C31" w14:textId="2917FC92" w:rsidR="4563BE08" w:rsidRDefault="26EC7AFD" w:rsidP="5A746606">
      <w:bookmarkStart w:id="5" w:name="_Int_If1BoQ0c"/>
      <w:bookmarkEnd w:id="5"/>
      <w:r>
        <w:rPr>
          <w:rFonts w:ascii="Aptos" w:hAnsi="Aptos"/>
        </w:rPr>
        <w:t>Taken together, the study contributes conceptually by advancing a workload-sensitive view of governmental capacity, methodologically by making the one-factor versus two-factor SEM tradeoff explicit, and practically by offering spatial screening tools for identifying jurisdictions that may benefit from targeted administrative support. The paper should therefore be read as a full revised manuscript for an exploratory cross-sectional SEM argument, not as a definitive causal account of CDBG-DR recovery governance.</w:t>
      </w:r>
    </w:p>
    <w:p w14:paraId="4FC83EA1" w14:textId="16B45A32" w:rsidR="4563BE08" w:rsidRDefault="1B677A2A" w:rsidP="5A746606">
      <w:r>
        <w:rPr>
          <w:rFonts w:ascii="Aptos" w:hAnsi="Aptos"/>
        </w:rPr>
        <w:t>Improving disaster recovery governance will require more than funding alone. It will require institutions whose staffing, workload, and social context are better aligned with the scale and complexity of recovery needs. The revised manuscript provides an empirical starting point for that discussion and a clearer foundation for the next round of critique.</w:t>
      </w:r>
    </w:p>
    <w:p w14:paraId="2262F8F8" w14:textId="62EC3B18" w:rsidR="715E8B94" w:rsidRDefault="715E8B94" w:rsidP="0FA9DDF5">
      <w:pPr>
        <w:rPr>
          <w:rFonts w:ascii="Aptos" w:eastAsia="Aptos" w:hAnsi="Aptos" w:cs="Aptos"/>
        </w:rPr>
      </w:pPr>
      <w:r w:rsidRPr="0FA9DDF5">
        <w:rPr>
          <w:rFonts w:ascii="Aptos" w:eastAsia="Aptos" w:hAnsi="Aptos" w:cs="Aptos"/>
          <w:b/>
          <w:bCs/>
        </w:rPr>
        <w:t>Acknowledgements</w:t>
      </w:r>
    </w:p>
    <w:p w14:paraId="6478BA50" w14:textId="60C52AEC" w:rsidR="715E8B94" w:rsidRDefault="715E8B94" w:rsidP="0FA9DDF5">
      <w:pPr>
        <w:rPr>
          <w:rFonts w:ascii="Aptos" w:eastAsia="Aptos" w:hAnsi="Aptos" w:cs="Aptos"/>
        </w:rPr>
      </w:pPr>
      <w:r w:rsidRPr="5A746606">
        <w:rPr>
          <w:rFonts w:ascii="Aptos" w:eastAsia="Aptos" w:hAnsi="Aptos" w:cs="Aptos"/>
        </w:rPr>
        <w:t>This study is partially supported by funding from the U.S. Department of Housing and Urban Development (Award# H21749CA). The findings and conclusions in this manuscript are those of the authors and do not represent the official position or views of the U.S. Department of Housing and Urban Development</w:t>
      </w:r>
      <w:r w:rsidR="07EDC2F9" w:rsidRPr="5A746606">
        <w:rPr>
          <w:rFonts w:ascii="Aptos" w:eastAsia="Aptos" w:hAnsi="Aptos" w:cs="Aptos"/>
        </w:rPr>
        <w:t xml:space="preserve">. </w:t>
      </w:r>
    </w:p>
    <w:p w14:paraId="2B359EAC" w14:textId="5636E6D3" w:rsidR="0E23122F" w:rsidRDefault="0E23122F" w:rsidP="5A746606">
      <w:pPr>
        <w:rPr>
          <w:rFonts w:ascii="Aptos" w:eastAsia="Aptos" w:hAnsi="Aptos" w:cs="Aptos"/>
        </w:rPr>
      </w:pPr>
      <w:r w:rsidRPr="5A746606">
        <w:rPr>
          <w:rFonts w:ascii="Aptos" w:eastAsia="Aptos" w:hAnsi="Aptos" w:cs="Aptos"/>
          <w:b/>
          <w:bCs/>
        </w:rPr>
        <w:t>Disclosure Statement</w:t>
      </w:r>
    </w:p>
    <w:p w14:paraId="6B55A885" w14:textId="6D6F228B" w:rsidR="0E23122F" w:rsidRDefault="0E23122F" w:rsidP="5A746606">
      <w:r w:rsidRPr="5A746606">
        <w:rPr>
          <w:rFonts w:ascii="Aptos" w:eastAsia="Aptos" w:hAnsi="Aptos" w:cs="Aptos"/>
        </w:rPr>
        <w:t>The authors declared no potential conflicts of interest with respect to the research, authorship, and/or publication of this article. ChatGPT 4o was used to check the grammar of the manuscript.</w:t>
      </w:r>
    </w:p>
    <w:p w14:paraId="615ECAA1" w14:textId="71F8AE86" w:rsidR="296840B2" w:rsidRDefault="296840B2" w:rsidP="5A746606">
      <w:pPr>
        <w:rPr>
          <w:rFonts w:ascii="Aptos" w:eastAsia="Aptos" w:hAnsi="Aptos" w:cs="Aptos"/>
          <w:b/>
          <w:bCs/>
        </w:rPr>
      </w:pPr>
      <w:r w:rsidRPr="5A746606">
        <w:rPr>
          <w:rFonts w:ascii="Aptos" w:eastAsia="Aptos" w:hAnsi="Aptos" w:cs="Aptos"/>
          <w:b/>
          <w:bCs/>
        </w:rPr>
        <w:t>Data Availability Statement</w:t>
      </w:r>
    </w:p>
    <w:p w14:paraId="7D25CCCB" w14:textId="51B12651" w:rsidR="296840B2" w:rsidRDefault="296840B2" w:rsidP="5A746606">
      <w:r>
        <w:rPr>
          <w:rFonts w:ascii="Aptos" w:hAnsi="Aptos"/>
        </w:rPr>
        <w:t>The public source datasets used in this study are HUD CDBG-DR DRGR/QPR reports, U.S. Bureau of Labor Statistics QCEW files, and CDC/ATSDR SVI data. The revised manuscript also relies on manuscript-specific derived files, including cleaned geography assignments and imported SEM-ready external export bundles, which are archived in the project repository. Code and nonrestricted derived outputs can be shared with the manuscript package; however, some manually validated linkage artifacts are not yet packaged as a standalone public release.</w:t>
      </w:r>
    </w:p>
    <w:p w14:paraId="0BFDE3A5" w14:textId="1E55A4CC" w:rsidR="37F09B24" w:rsidRDefault="37F09B24" w:rsidP="09DFBBFF">
      <w:pPr>
        <w:rPr>
          <w:rFonts w:ascii="Aptos" w:eastAsia="Aptos" w:hAnsi="Aptos" w:cs="Aptos"/>
          <w:b/>
          <w:bCs/>
        </w:rPr>
      </w:pPr>
      <w:r w:rsidRPr="5A746606">
        <w:rPr>
          <w:rFonts w:ascii="Aptos" w:eastAsia="Aptos" w:hAnsi="Aptos" w:cs="Aptos"/>
          <w:b/>
          <w:bCs/>
        </w:rPr>
        <w:t>References</w:t>
      </w:r>
    </w:p>
    <w:p w14:paraId="3C4AECFA" w14:textId="18B62527" w:rsidR="0016090D" w:rsidRDefault="0016090D" w:rsidP="5A746606">
      <w:pPr>
        <w:spacing w:before="240" w:after="240"/>
        <w:rPr>
          <w:rFonts w:ascii="Aptos" w:eastAsia="Aptos" w:hAnsi="Aptos" w:cs="Aptos"/>
          <w:color w:val="000000" w:themeColor="text1"/>
        </w:rPr>
      </w:pPr>
      <w:r w:rsidRPr="5A746606">
        <w:rPr>
          <w:rFonts w:ascii="Aptos" w:eastAsia="Aptos" w:hAnsi="Aptos" w:cs="Aptos"/>
          <w:color w:val="000000" w:themeColor="text1"/>
        </w:rPr>
        <w:t xml:space="preserve">Annan-Prah, E. C., &amp; Andoh, R. P. K. (2023). Administrative capacity and local level development in metropolitan, municipal and district assemblies in Ghana: mediating role of resource capacity. </w:t>
      </w:r>
      <w:r w:rsidRPr="5A746606">
        <w:rPr>
          <w:rFonts w:ascii="Aptos" w:eastAsia="Aptos" w:hAnsi="Aptos" w:cs="Aptos"/>
          <w:i/>
          <w:iCs/>
          <w:color w:val="000000" w:themeColor="text1"/>
        </w:rPr>
        <w:t>International Journal of Public Sector Management</w:t>
      </w:r>
      <w:r w:rsidRPr="5A746606">
        <w:rPr>
          <w:rFonts w:ascii="Aptos" w:eastAsia="Aptos" w:hAnsi="Aptos" w:cs="Aptos"/>
          <w:color w:val="000000" w:themeColor="text1"/>
        </w:rPr>
        <w:t xml:space="preserve">, 36(3), 253-270. </w:t>
      </w:r>
      <w:hyperlink r:id="rId16">
        <w:r w:rsidRPr="5A746606">
          <w:rPr>
            <w:rStyle w:val="Hyperlink"/>
            <w:rFonts w:ascii="Aptos" w:eastAsia="Aptos" w:hAnsi="Aptos" w:cs="Aptos"/>
          </w:rPr>
          <w:t>https://doi.org/10.1108/IJPSM-07-2022-0168</w:t>
        </w:r>
      </w:hyperlink>
      <w:r w:rsidRPr="5A746606">
        <w:rPr>
          <w:rFonts w:ascii="Aptos" w:eastAsia="Aptos" w:hAnsi="Aptos" w:cs="Aptos"/>
          <w:color w:val="000000" w:themeColor="text1"/>
        </w:rPr>
        <w:t xml:space="preserve"> </w:t>
      </w:r>
    </w:p>
    <w:p w14:paraId="63D8758A" w14:textId="30BB4A0A" w:rsidR="61D23749" w:rsidRDefault="61D23749" w:rsidP="3C60AEA8">
      <w:pPr>
        <w:spacing w:before="240" w:after="240"/>
        <w:rPr>
          <w:rFonts w:ascii="Aptos" w:eastAsia="Aptos" w:hAnsi="Aptos" w:cs="Aptos"/>
          <w:color w:val="000000" w:themeColor="text1"/>
        </w:rPr>
      </w:pPr>
      <w:r w:rsidRPr="5A746606">
        <w:rPr>
          <w:rFonts w:ascii="Aptos" w:eastAsia="Aptos" w:hAnsi="Aptos" w:cs="Aptos"/>
          <w:color w:val="000000" w:themeColor="text1"/>
        </w:rPr>
        <w:lastRenderedPageBreak/>
        <w:t xml:space="preserve">Berke, P., Cooper, J., Aminto, M., Grabich, S., &amp; Horney, J. (2014). Adaptive planning for disaster recovery and resiliency: An evaluation of 87 local recovery plans in eight states. </w:t>
      </w:r>
      <w:r w:rsidRPr="5A746606">
        <w:rPr>
          <w:rFonts w:ascii="Aptos" w:eastAsia="Aptos" w:hAnsi="Aptos" w:cs="Aptos"/>
          <w:i/>
          <w:iCs/>
          <w:color w:val="000000" w:themeColor="text1"/>
        </w:rPr>
        <w:t>Journal of the American Planning Association</w:t>
      </w:r>
      <w:r w:rsidRPr="5A746606">
        <w:rPr>
          <w:rFonts w:ascii="Aptos" w:eastAsia="Aptos" w:hAnsi="Aptos" w:cs="Aptos"/>
          <w:color w:val="000000" w:themeColor="text1"/>
        </w:rPr>
        <w:t xml:space="preserve">, 80(4), 310-323. </w:t>
      </w:r>
      <w:hyperlink r:id="rId17">
        <w:r w:rsidRPr="5A746606">
          <w:rPr>
            <w:rStyle w:val="Hyperlink"/>
            <w:rFonts w:ascii="Aptos" w:eastAsia="Aptos" w:hAnsi="Aptos" w:cs="Aptos"/>
          </w:rPr>
          <w:t>https://doi.org/10.1080/01944363.2014.976585</w:t>
        </w:r>
      </w:hyperlink>
      <w:r w:rsidRPr="5A746606">
        <w:rPr>
          <w:rFonts w:ascii="Aptos" w:eastAsia="Aptos" w:hAnsi="Aptos" w:cs="Aptos"/>
          <w:color w:val="000000" w:themeColor="text1"/>
        </w:rPr>
        <w:t xml:space="preserve"> </w:t>
      </w:r>
    </w:p>
    <w:p w14:paraId="0C56BF81" w14:textId="60C0EF9E" w:rsidR="65099ABA" w:rsidRDefault="65099ABA" w:rsidP="5A746606">
      <w:pPr>
        <w:spacing w:before="240" w:after="240"/>
        <w:rPr>
          <w:rFonts w:ascii="Aptos" w:eastAsia="Aptos" w:hAnsi="Aptos" w:cs="Aptos"/>
          <w:color w:val="000000" w:themeColor="text1"/>
        </w:rPr>
      </w:pPr>
      <w:r w:rsidRPr="5A746606">
        <w:rPr>
          <w:rFonts w:ascii="Aptos" w:eastAsia="Aptos" w:hAnsi="Aptos" w:cs="Aptos"/>
          <w:color w:val="000000" w:themeColor="text1"/>
        </w:rPr>
        <w:t xml:space="preserve">Campbell, D. T., &amp; Riecken, H. W. (1968). Quasi-experimental design. </w:t>
      </w:r>
      <w:r w:rsidRPr="5A746606">
        <w:rPr>
          <w:rFonts w:ascii="Aptos" w:eastAsia="Aptos" w:hAnsi="Aptos" w:cs="Aptos"/>
          <w:i/>
          <w:iCs/>
          <w:color w:val="000000" w:themeColor="text1"/>
        </w:rPr>
        <w:t>International Encyclopedia of the Social Sciences</w:t>
      </w:r>
      <w:r w:rsidRPr="5A746606">
        <w:rPr>
          <w:rFonts w:ascii="Aptos" w:eastAsia="Aptos" w:hAnsi="Aptos" w:cs="Aptos"/>
          <w:color w:val="000000" w:themeColor="text1"/>
        </w:rPr>
        <w:t xml:space="preserve">, 5(3), 259-263. </w:t>
      </w:r>
      <w:hyperlink r:id="rId18">
        <w:r w:rsidRPr="5A746606">
          <w:rPr>
            <w:rStyle w:val="Hyperlink"/>
            <w:rFonts w:ascii="Aptos" w:eastAsia="Aptos" w:hAnsi="Aptos" w:cs="Aptos"/>
          </w:rPr>
          <w:t>http://www.asasrms.org/Proceedings/y1965/Quasi-Experimental%20Design.pdf</w:t>
        </w:r>
      </w:hyperlink>
      <w:r w:rsidRPr="5A746606">
        <w:rPr>
          <w:rFonts w:ascii="Aptos" w:eastAsia="Aptos" w:hAnsi="Aptos" w:cs="Aptos"/>
          <w:color w:val="000000" w:themeColor="text1"/>
        </w:rPr>
        <w:t xml:space="preserve"> </w:t>
      </w:r>
    </w:p>
    <w:p w14:paraId="66FDE58B" w14:textId="4B189C19" w:rsidR="182CB494" w:rsidRDefault="182CB494" w:rsidP="0FA9DDF5">
      <w:pPr>
        <w:spacing w:before="240" w:after="240"/>
        <w:rPr>
          <w:rFonts w:ascii="Aptos" w:eastAsia="Aptos" w:hAnsi="Aptos" w:cs="Aptos"/>
          <w:color w:val="000000" w:themeColor="text1"/>
        </w:rPr>
      </w:pPr>
      <w:r w:rsidRPr="0FA9DDF5">
        <w:rPr>
          <w:rFonts w:ascii="Aptos" w:eastAsia="Aptos" w:hAnsi="Aptos" w:cs="Aptos"/>
          <w:color w:val="000000" w:themeColor="text1"/>
        </w:rPr>
        <w:t>CDC/ATSDR (</w:t>
      </w:r>
      <w:r w:rsidR="389BAD4B" w:rsidRPr="0FA9DDF5">
        <w:rPr>
          <w:rFonts w:ascii="Aptos" w:eastAsia="Aptos" w:hAnsi="Aptos" w:cs="Aptos"/>
          <w:color w:val="000000" w:themeColor="text1"/>
        </w:rPr>
        <w:t>Centers for Disease Control and Prevention / Agency for Toxic Substances and Disease Registry</w:t>
      </w:r>
      <w:r w:rsidR="0A5E408C" w:rsidRPr="0FA9DDF5">
        <w:rPr>
          <w:rFonts w:ascii="Aptos" w:eastAsia="Aptos" w:hAnsi="Aptos" w:cs="Aptos"/>
          <w:color w:val="000000" w:themeColor="text1"/>
        </w:rPr>
        <w:t>). (2026)</w:t>
      </w:r>
      <w:r w:rsidR="7A1370A0" w:rsidRPr="0FA9DDF5">
        <w:rPr>
          <w:rFonts w:ascii="Aptos" w:eastAsia="Aptos" w:hAnsi="Aptos" w:cs="Aptos"/>
          <w:color w:val="000000" w:themeColor="text1"/>
        </w:rPr>
        <w:t>.</w:t>
      </w:r>
      <w:r w:rsidR="389BAD4B" w:rsidRPr="0FA9DDF5">
        <w:rPr>
          <w:rFonts w:ascii="Aptos" w:eastAsia="Aptos" w:hAnsi="Aptos" w:cs="Aptos"/>
          <w:color w:val="000000" w:themeColor="text1"/>
        </w:rPr>
        <w:t xml:space="preserve"> Geospatial Research, Analysis, and Services Program. </w:t>
      </w:r>
      <w:r w:rsidR="389BAD4B" w:rsidRPr="0FA9DDF5">
        <w:rPr>
          <w:rFonts w:ascii="Aptos" w:eastAsia="Aptos" w:hAnsi="Aptos" w:cs="Aptos"/>
          <w:i/>
          <w:iCs/>
          <w:color w:val="000000" w:themeColor="text1"/>
        </w:rPr>
        <w:t>CDC/ATSDR Social Vulnerability Index 2022, 2020, 2018, 2016, 2014, 2010, &amp; 2000 Database U.S.</w:t>
      </w:r>
      <w:r w:rsidR="247E4EA9" w:rsidRPr="0FA9DDF5">
        <w:rPr>
          <w:rFonts w:ascii="Aptos" w:eastAsia="Aptos" w:hAnsi="Aptos" w:cs="Aptos"/>
          <w:i/>
          <w:iCs/>
          <w:color w:val="000000" w:themeColor="text1"/>
        </w:rPr>
        <w:t xml:space="preserve"> </w:t>
      </w:r>
      <w:hyperlink r:id="rId19">
        <w:r w:rsidR="389BAD4B" w:rsidRPr="0FA9DDF5">
          <w:rPr>
            <w:rStyle w:val="Hyperlink"/>
            <w:rFonts w:ascii="Aptos" w:eastAsia="Aptos" w:hAnsi="Aptos" w:cs="Aptos"/>
          </w:rPr>
          <w:t>https://www.atsdr.cdc.gov/placeandhealth/svi/data_documentation_download.html</w:t>
        </w:r>
      </w:hyperlink>
      <w:r w:rsidR="75748FCA" w:rsidRPr="0FA9DDF5">
        <w:rPr>
          <w:rFonts w:ascii="Aptos" w:eastAsia="Aptos" w:hAnsi="Aptos" w:cs="Aptos"/>
          <w:color w:val="000000" w:themeColor="text1"/>
        </w:rPr>
        <w:t xml:space="preserve"> </w:t>
      </w:r>
    </w:p>
    <w:p w14:paraId="75E65DC7" w14:textId="25020CBB" w:rsidR="46A69A97" w:rsidRDefault="46A69A97" w:rsidP="0FA9DDF5">
      <w:pPr>
        <w:spacing w:before="240" w:after="240"/>
        <w:rPr>
          <w:rFonts w:ascii="Aptos" w:eastAsia="Aptos" w:hAnsi="Aptos" w:cs="Aptos"/>
          <w:color w:val="000000" w:themeColor="text1"/>
        </w:rPr>
      </w:pPr>
      <w:r w:rsidRPr="0FA9DDF5">
        <w:rPr>
          <w:rFonts w:ascii="Aptos" w:eastAsia="Aptos" w:hAnsi="Aptos" w:cs="Aptos"/>
          <w:color w:val="000000" w:themeColor="text1"/>
        </w:rPr>
        <w:t xml:space="preserve">Cevik, M. S., &amp; Huang, G. (2018). </w:t>
      </w:r>
      <w:r w:rsidRPr="0FA9DDF5">
        <w:rPr>
          <w:rFonts w:ascii="Aptos" w:eastAsia="Aptos" w:hAnsi="Aptos" w:cs="Aptos"/>
          <w:i/>
          <w:iCs/>
          <w:color w:val="000000" w:themeColor="text1"/>
        </w:rPr>
        <w:t>How to manage the fiscal costs of natural disasters</w:t>
      </w:r>
      <w:r w:rsidRPr="0FA9DDF5">
        <w:rPr>
          <w:rFonts w:ascii="Aptos" w:eastAsia="Aptos" w:hAnsi="Aptos" w:cs="Aptos"/>
          <w:color w:val="000000" w:themeColor="text1"/>
        </w:rPr>
        <w:t>. International Monetary Fund.</w:t>
      </w:r>
    </w:p>
    <w:p w14:paraId="72D627A9" w14:textId="631F7251" w:rsidR="61C6D4CD" w:rsidRDefault="61C6D4CD" w:rsidP="0FA9DDF5">
      <w:pPr>
        <w:spacing w:before="240" w:after="240"/>
        <w:rPr>
          <w:rFonts w:ascii="Aptos" w:eastAsia="Aptos" w:hAnsi="Aptos" w:cs="Aptos"/>
          <w:color w:val="000000" w:themeColor="text1"/>
        </w:rPr>
      </w:pPr>
      <w:r>
        <w:rPr>
          <w:rFonts w:ascii="Aptos" w:hAnsi="Aptos"/>
        </w:rPr>
        <w:t>Costa, R., Mann, B., Sobhani, A., Hamideh, S., Nejat, A., &amp; Ross, A. (2026). From Allocation to Action: A Comparative Analysis of CDBG-DR Funding Expenditures for 2017 Disasters in California, Florida, and Texas [working paper / SSRN preprint]. http://dx.doi.org/10.2139/ssrn.6153946</w:t>
      </w:r>
    </w:p>
    <w:p w14:paraId="6490F2E5" w14:textId="58AF7BC7" w:rsidR="03F05929" w:rsidRDefault="477A971E" w:rsidP="0FA9DDF5">
      <w:pPr>
        <w:spacing w:before="240" w:after="240"/>
        <w:rPr>
          <w:rFonts w:ascii="Aptos" w:eastAsia="Aptos" w:hAnsi="Aptos" w:cs="Aptos"/>
        </w:rPr>
      </w:pPr>
      <w:r w:rsidRPr="0FA9DDF5">
        <w:rPr>
          <w:rFonts w:ascii="Aptos" w:eastAsia="Aptos" w:hAnsi="Aptos" w:cs="Aptos"/>
          <w:color w:val="000000" w:themeColor="text1"/>
        </w:rPr>
        <w:t>Cutter, S. L., Ash, K. D., &amp; Emrich, C. T. (2016). Urban</w:t>
      </w:r>
      <w:r w:rsidR="3DE455E1" w:rsidRPr="0FA9DDF5">
        <w:rPr>
          <w:rFonts w:ascii="Aptos" w:eastAsia="Aptos" w:hAnsi="Aptos" w:cs="Aptos"/>
          <w:color w:val="000000" w:themeColor="text1"/>
        </w:rPr>
        <w:t>-</w:t>
      </w:r>
      <w:r w:rsidRPr="0FA9DDF5">
        <w:rPr>
          <w:rFonts w:ascii="Aptos" w:eastAsia="Aptos" w:hAnsi="Aptos" w:cs="Aptos"/>
          <w:color w:val="000000" w:themeColor="text1"/>
        </w:rPr>
        <w:t xml:space="preserve">rural differences in disaster resilience. </w:t>
      </w:r>
      <w:r w:rsidRPr="0FA9DDF5">
        <w:rPr>
          <w:rFonts w:ascii="Aptos" w:eastAsia="Aptos" w:hAnsi="Aptos" w:cs="Aptos"/>
          <w:i/>
          <w:iCs/>
          <w:color w:val="000000" w:themeColor="text1"/>
        </w:rPr>
        <w:t>Annals of the American Association of Geographers</w:t>
      </w:r>
      <w:r w:rsidRPr="0FA9DDF5">
        <w:rPr>
          <w:rFonts w:ascii="Aptos" w:eastAsia="Aptos" w:hAnsi="Aptos" w:cs="Aptos"/>
          <w:color w:val="000000" w:themeColor="text1"/>
        </w:rPr>
        <w:t>, 106(6), 1236-1252.</w:t>
      </w:r>
      <w:r w:rsidR="5894F862" w:rsidRPr="0FA9DDF5">
        <w:rPr>
          <w:rFonts w:ascii="Aptos" w:eastAsia="Aptos" w:hAnsi="Aptos" w:cs="Aptos"/>
          <w:color w:val="000000" w:themeColor="text1"/>
        </w:rPr>
        <w:t xml:space="preserve"> </w:t>
      </w:r>
      <w:hyperlink r:id="rId21">
        <w:r w:rsidR="5894F862" w:rsidRPr="0FA9DDF5">
          <w:rPr>
            <w:rStyle w:val="Hyperlink"/>
            <w:rFonts w:ascii="Aptos" w:eastAsia="Aptos" w:hAnsi="Aptos" w:cs="Aptos"/>
          </w:rPr>
          <w:t>https://doi.org/10.1080/24694452.2016.1194740</w:t>
        </w:r>
      </w:hyperlink>
      <w:r w:rsidR="5894F862" w:rsidRPr="0FA9DDF5">
        <w:rPr>
          <w:rFonts w:ascii="Aptos" w:eastAsia="Aptos" w:hAnsi="Aptos" w:cs="Aptos"/>
          <w:color w:val="000000" w:themeColor="text1"/>
        </w:rPr>
        <w:t xml:space="preserve"> </w:t>
      </w:r>
    </w:p>
    <w:p w14:paraId="001B1896" w14:textId="47B5C3A7" w:rsidR="318157C2" w:rsidRDefault="318157C2" w:rsidP="0FA9DDF5">
      <w:pPr>
        <w:spacing w:before="240" w:after="240"/>
        <w:rPr>
          <w:rFonts w:ascii="Aptos" w:eastAsia="Aptos" w:hAnsi="Aptos" w:cs="Aptos"/>
          <w:color w:val="000000" w:themeColor="text1"/>
        </w:rPr>
      </w:pPr>
      <w:r w:rsidRPr="0FA9DDF5">
        <w:rPr>
          <w:rFonts w:ascii="Aptos" w:eastAsia="Aptos" w:hAnsi="Aptos" w:cs="Aptos"/>
          <w:color w:val="000000" w:themeColor="text1"/>
        </w:rPr>
        <w:t xml:space="preserve">Drew, R. B. (2024). </w:t>
      </w:r>
      <w:r w:rsidRPr="0FA9DDF5">
        <w:rPr>
          <w:rFonts w:ascii="Aptos" w:eastAsia="Aptos" w:hAnsi="Aptos" w:cs="Aptos"/>
          <w:i/>
          <w:iCs/>
          <w:color w:val="000000" w:themeColor="text1"/>
        </w:rPr>
        <w:t>New Research: Federal recovery funds temper rent increases after disaster.</w:t>
      </w:r>
      <w:r w:rsidRPr="0FA9DDF5">
        <w:rPr>
          <w:rFonts w:ascii="Aptos" w:eastAsia="Aptos" w:hAnsi="Aptos" w:cs="Aptos"/>
          <w:color w:val="000000" w:themeColor="text1"/>
        </w:rPr>
        <w:t xml:space="preserve"> Enterprise Community Partners. </w:t>
      </w:r>
      <w:hyperlink r:id="rId22">
        <w:r w:rsidRPr="0FA9DDF5">
          <w:rPr>
            <w:rStyle w:val="Hyperlink"/>
            <w:rFonts w:ascii="Aptos" w:eastAsia="Aptos" w:hAnsi="Aptos" w:cs="Aptos"/>
          </w:rPr>
          <w:t>https://www.enterprisecommunity.org/story/new-research-federal-recovery-funds-temper-rent-increases-after-disaster</w:t>
        </w:r>
      </w:hyperlink>
      <w:r w:rsidRPr="0FA9DDF5">
        <w:rPr>
          <w:rFonts w:ascii="Aptos" w:eastAsia="Aptos" w:hAnsi="Aptos" w:cs="Aptos"/>
          <w:color w:val="000000" w:themeColor="text1"/>
        </w:rPr>
        <w:t xml:space="preserve"> </w:t>
      </w:r>
    </w:p>
    <w:p w14:paraId="52316062" w14:textId="306545BD" w:rsidR="1475CE3F" w:rsidRDefault="1475CE3F" w:rsidP="0FA9DDF5">
      <w:pPr>
        <w:spacing w:before="240" w:after="240"/>
        <w:rPr>
          <w:rFonts w:ascii="Aptos" w:eastAsia="Aptos" w:hAnsi="Aptos" w:cs="Aptos"/>
          <w:color w:val="000000" w:themeColor="text1"/>
        </w:rPr>
      </w:pPr>
      <w:r w:rsidRPr="0FA9DDF5">
        <w:rPr>
          <w:rFonts w:ascii="Aptos" w:eastAsia="Aptos" w:hAnsi="Aptos" w:cs="Aptos"/>
          <w:color w:val="000000" w:themeColor="text1"/>
        </w:rPr>
        <w:t xml:space="preserve">Dzigbede, K. D., Gehl, S. B., &amp; Willoughby, K. (2020). Disaster resiliency of US local governments: Insights to strengthen local response and recovery from the COVID‐19 pandemic. </w:t>
      </w:r>
      <w:r w:rsidRPr="0FA9DDF5">
        <w:rPr>
          <w:rFonts w:ascii="Aptos" w:eastAsia="Aptos" w:hAnsi="Aptos" w:cs="Aptos"/>
          <w:i/>
          <w:iCs/>
          <w:color w:val="000000" w:themeColor="text1"/>
        </w:rPr>
        <w:t>Public Administration Review</w:t>
      </w:r>
      <w:r w:rsidRPr="0FA9DDF5">
        <w:rPr>
          <w:rFonts w:ascii="Aptos" w:eastAsia="Aptos" w:hAnsi="Aptos" w:cs="Aptos"/>
          <w:color w:val="000000" w:themeColor="text1"/>
        </w:rPr>
        <w:t xml:space="preserve">, 80(4), 634-643. </w:t>
      </w:r>
      <w:hyperlink r:id="rId23">
        <w:r w:rsidRPr="0FA9DDF5">
          <w:rPr>
            <w:rStyle w:val="Hyperlink"/>
            <w:rFonts w:ascii="Aptos" w:eastAsia="Aptos" w:hAnsi="Aptos" w:cs="Aptos"/>
          </w:rPr>
          <w:t>https://doi.org/10.1111/puar.13249</w:t>
        </w:r>
      </w:hyperlink>
      <w:r w:rsidRPr="0FA9DDF5">
        <w:rPr>
          <w:rFonts w:ascii="Aptos" w:eastAsia="Aptos" w:hAnsi="Aptos" w:cs="Aptos"/>
          <w:color w:val="000000" w:themeColor="text1"/>
        </w:rPr>
        <w:t xml:space="preserve"> </w:t>
      </w:r>
    </w:p>
    <w:p w14:paraId="090F8BFC" w14:textId="06BF012C" w:rsidR="73CC59EC" w:rsidRDefault="73CC59EC" w:rsidP="0FA9DDF5">
      <w:pPr>
        <w:spacing w:before="240" w:after="240"/>
        <w:rPr>
          <w:rFonts w:ascii="Aptos" w:eastAsia="Aptos" w:hAnsi="Aptos" w:cs="Aptos"/>
        </w:rPr>
      </w:pPr>
      <w:r w:rsidRPr="0FA9DDF5">
        <w:rPr>
          <w:rFonts w:ascii="Aptos" w:eastAsia="Aptos" w:hAnsi="Aptos" w:cs="Aptos"/>
        </w:rPr>
        <w:t xml:space="preserve">El-Taliawi, O. G., &amp; Van Der Wal, Z. (2019). Developing administrative capacity: An agenda for research and practice. </w:t>
      </w:r>
      <w:r w:rsidRPr="0FA9DDF5">
        <w:rPr>
          <w:rFonts w:ascii="Aptos" w:eastAsia="Aptos" w:hAnsi="Aptos" w:cs="Aptos"/>
          <w:i/>
          <w:iCs/>
        </w:rPr>
        <w:t>Policy Design and Practice</w:t>
      </w:r>
      <w:r w:rsidRPr="0FA9DDF5">
        <w:rPr>
          <w:rFonts w:ascii="Aptos" w:eastAsia="Aptos" w:hAnsi="Aptos" w:cs="Aptos"/>
        </w:rPr>
        <w:t xml:space="preserve">, 2(3), 243-257. </w:t>
      </w:r>
      <w:hyperlink r:id="rId24">
        <w:r w:rsidRPr="0FA9DDF5">
          <w:rPr>
            <w:rStyle w:val="Hyperlink"/>
            <w:rFonts w:ascii="Aptos" w:eastAsia="Aptos" w:hAnsi="Aptos" w:cs="Aptos"/>
          </w:rPr>
          <w:t>https://doi.org/10.1080/25741292.2019.1595916</w:t>
        </w:r>
      </w:hyperlink>
      <w:r w:rsidRPr="0FA9DDF5">
        <w:rPr>
          <w:rFonts w:ascii="Aptos" w:eastAsia="Aptos" w:hAnsi="Aptos" w:cs="Aptos"/>
        </w:rPr>
        <w:t xml:space="preserve"> </w:t>
      </w:r>
    </w:p>
    <w:p w14:paraId="0234B1FF" w14:textId="4DB9EF95" w:rsidR="03F05929" w:rsidRDefault="5C60544E" w:rsidP="0FA9DDF5">
      <w:pPr>
        <w:spacing w:before="240" w:after="240"/>
        <w:rPr>
          <w:rFonts w:ascii="Aptos" w:eastAsia="Aptos" w:hAnsi="Aptos" w:cs="Aptos"/>
        </w:rPr>
      </w:pPr>
      <w:r w:rsidRPr="0FA9DDF5">
        <w:rPr>
          <w:rFonts w:ascii="Aptos" w:eastAsia="Aptos" w:hAnsi="Aptos" w:cs="Aptos"/>
        </w:rPr>
        <w:lastRenderedPageBreak/>
        <w:t xml:space="preserve">Geddam, S. M., &amp; Kiran, C. R. (2024). Enhancing disaster management effectiveness: an integrated analysis of key factors and practical strategies through structural equation modeling (SEM) and Scopus data text mining. </w:t>
      </w:r>
      <w:r w:rsidRPr="0FA9DDF5">
        <w:rPr>
          <w:rFonts w:ascii="Aptos" w:eastAsia="Aptos" w:hAnsi="Aptos" w:cs="Aptos"/>
          <w:i/>
          <w:iCs/>
        </w:rPr>
        <w:t>Geohazard Mechanics</w:t>
      </w:r>
      <w:r w:rsidRPr="0FA9DDF5">
        <w:rPr>
          <w:rFonts w:ascii="Aptos" w:eastAsia="Aptos" w:hAnsi="Aptos" w:cs="Aptos"/>
        </w:rPr>
        <w:t xml:space="preserve">, 2(2), 95-107. </w:t>
      </w:r>
      <w:hyperlink r:id="rId25">
        <w:r w:rsidRPr="0FA9DDF5">
          <w:rPr>
            <w:rStyle w:val="Hyperlink"/>
            <w:rFonts w:ascii="Aptos" w:eastAsia="Aptos" w:hAnsi="Aptos" w:cs="Aptos"/>
          </w:rPr>
          <w:t>https://doi.org/10.1016/j.ghm.2024.03.001</w:t>
        </w:r>
      </w:hyperlink>
      <w:r w:rsidRPr="0FA9DDF5">
        <w:rPr>
          <w:rFonts w:ascii="Aptos" w:eastAsia="Aptos" w:hAnsi="Aptos" w:cs="Aptos"/>
        </w:rPr>
        <w:t xml:space="preserve"> </w:t>
      </w:r>
    </w:p>
    <w:p w14:paraId="7556DC7A" w14:textId="0F2E90A4" w:rsidR="7B8D4D4C" w:rsidRDefault="7B8D4D4C" w:rsidP="5A746606">
      <w:pPr>
        <w:spacing w:before="240" w:after="240"/>
        <w:rPr>
          <w:rFonts w:ascii="Aptos" w:eastAsia="Aptos" w:hAnsi="Aptos" w:cs="Aptos"/>
        </w:rPr>
      </w:pPr>
      <w:r w:rsidRPr="5A746606">
        <w:rPr>
          <w:rFonts w:ascii="Aptos" w:eastAsia="Aptos" w:hAnsi="Aptos" w:cs="Aptos"/>
        </w:rPr>
        <w:t xml:space="preserve">Gendeshmin, S. B., Rostamzadeh, S., &amp; Dowlati, M. (2025). Evaluation of disaster risk perception and influencing factors among hospital personnel using structural equation modeling. </w:t>
      </w:r>
      <w:r w:rsidRPr="5A746606">
        <w:rPr>
          <w:rFonts w:ascii="Aptos" w:eastAsia="Aptos" w:hAnsi="Aptos" w:cs="Aptos"/>
          <w:i/>
          <w:iCs/>
        </w:rPr>
        <w:t>Scientific Reports</w:t>
      </w:r>
      <w:r w:rsidRPr="5A746606">
        <w:rPr>
          <w:rFonts w:ascii="Aptos" w:eastAsia="Aptos" w:hAnsi="Aptos" w:cs="Aptos"/>
        </w:rPr>
        <w:t xml:space="preserve">, 15(1), 12780. </w:t>
      </w:r>
      <w:hyperlink r:id="rId26">
        <w:r w:rsidRPr="5A746606">
          <w:rPr>
            <w:rStyle w:val="Hyperlink"/>
            <w:rFonts w:ascii="Aptos" w:eastAsia="Aptos" w:hAnsi="Aptos" w:cs="Aptos"/>
          </w:rPr>
          <w:t>https://doi.org/10.1038/s41598-025-97747-0</w:t>
        </w:r>
      </w:hyperlink>
      <w:r w:rsidRPr="5A746606">
        <w:rPr>
          <w:rFonts w:ascii="Aptos" w:eastAsia="Aptos" w:hAnsi="Aptos" w:cs="Aptos"/>
        </w:rPr>
        <w:t xml:space="preserve"> </w:t>
      </w:r>
    </w:p>
    <w:p w14:paraId="6F532B14" w14:textId="39C2E4D7" w:rsidR="303165A9" w:rsidRDefault="303165A9" w:rsidP="0FA9DDF5">
      <w:pPr>
        <w:spacing w:before="240" w:after="240"/>
        <w:rPr>
          <w:rFonts w:ascii="Aptos" w:eastAsia="Aptos" w:hAnsi="Aptos" w:cs="Aptos"/>
        </w:rPr>
      </w:pPr>
      <w:r w:rsidRPr="0FA9DDF5">
        <w:rPr>
          <w:rFonts w:ascii="Aptos" w:eastAsia="Aptos" w:hAnsi="Aptos" w:cs="Aptos"/>
        </w:rPr>
        <w:t xml:space="preserve">Gerona, J., &amp; Nabe, N. (2026). SEM of Disaster Preparedness, Resiliency, Risk Perception, Protective Behavior, and Social Media Use. </w:t>
      </w:r>
      <w:r w:rsidRPr="0FA9DDF5">
        <w:rPr>
          <w:rFonts w:ascii="Aptos" w:eastAsia="Aptos" w:hAnsi="Aptos" w:cs="Aptos"/>
          <w:i/>
          <w:iCs/>
        </w:rPr>
        <w:t>Journal of Interdisciplinary Perspectives</w:t>
      </w:r>
      <w:r w:rsidRPr="0FA9DDF5">
        <w:rPr>
          <w:rFonts w:ascii="Aptos" w:eastAsia="Aptos" w:hAnsi="Aptos" w:cs="Aptos"/>
        </w:rPr>
        <w:t xml:space="preserve">, 4(2), 267-276. </w:t>
      </w:r>
      <w:hyperlink r:id="rId27">
        <w:r w:rsidRPr="0FA9DDF5">
          <w:rPr>
            <w:rStyle w:val="Hyperlink"/>
            <w:rFonts w:ascii="Aptos" w:eastAsia="Aptos" w:hAnsi="Aptos" w:cs="Aptos"/>
          </w:rPr>
          <w:t>https://doi.org/10.69569/jip.2025.797</w:t>
        </w:r>
      </w:hyperlink>
    </w:p>
    <w:p w14:paraId="26F0B03B" w14:textId="0CB31F66" w:rsidR="0A551F50" w:rsidRDefault="0A551F50" w:rsidP="0FA9DDF5">
      <w:pPr>
        <w:spacing w:before="240" w:after="240"/>
        <w:rPr>
          <w:rFonts w:ascii="Aptos" w:eastAsia="Aptos" w:hAnsi="Aptos" w:cs="Aptos"/>
        </w:rPr>
      </w:pPr>
      <w:r>
        <w:rPr>
          <w:rFonts w:ascii="Aptos" w:hAnsi="Aptos"/>
        </w:rPr>
        <w:t>Gigasheet. (2026). List of All U.S. Counties and Cities Spreadsheet (public lookup table used for preliminary city-to-county matching). https://www.gigasheet.com/sample-data/list-of-all-us-counties-and-cities-spreadsheet</w:t>
      </w:r>
    </w:p>
    <w:p w14:paraId="1FF2AAB3" w14:textId="443D462A" w:rsidR="1B77A81D" w:rsidRDefault="1B77A81D" w:rsidP="5A746606">
      <w:pPr>
        <w:spacing w:before="240" w:after="240"/>
        <w:rPr>
          <w:rFonts w:ascii="Aptos" w:eastAsia="Aptos" w:hAnsi="Aptos" w:cs="Aptos"/>
        </w:rPr>
      </w:pPr>
      <w:r w:rsidRPr="5A746606">
        <w:rPr>
          <w:rFonts w:ascii="Aptos" w:eastAsia="Aptos" w:hAnsi="Aptos" w:cs="Aptos"/>
        </w:rPr>
        <w:t xml:space="preserve">Grefen, P., Ludwig, H., &amp; Angelov, S. (2003). A three-level framework for process and data management of complex e-services. </w:t>
      </w:r>
      <w:r w:rsidRPr="5A746606">
        <w:rPr>
          <w:rFonts w:ascii="Aptos" w:eastAsia="Aptos" w:hAnsi="Aptos" w:cs="Aptos"/>
          <w:i/>
          <w:iCs/>
        </w:rPr>
        <w:t>International Journal of Cooperative Information Systems</w:t>
      </w:r>
      <w:r w:rsidRPr="5A746606">
        <w:rPr>
          <w:rFonts w:ascii="Aptos" w:eastAsia="Aptos" w:hAnsi="Aptos" w:cs="Aptos"/>
        </w:rPr>
        <w:t xml:space="preserve">, 12(04), 487-531. </w:t>
      </w:r>
      <w:hyperlink r:id="rId29">
        <w:r w:rsidRPr="5A746606">
          <w:rPr>
            <w:rStyle w:val="Hyperlink"/>
            <w:rFonts w:ascii="Aptos" w:eastAsia="Aptos" w:hAnsi="Aptos" w:cs="Aptos"/>
          </w:rPr>
          <w:t>https://doi.org/10.1142/S0218843003000838</w:t>
        </w:r>
      </w:hyperlink>
      <w:r w:rsidRPr="5A746606">
        <w:rPr>
          <w:rFonts w:ascii="Aptos" w:eastAsia="Aptos" w:hAnsi="Aptos" w:cs="Aptos"/>
        </w:rPr>
        <w:t xml:space="preserve"> </w:t>
      </w:r>
    </w:p>
    <w:p w14:paraId="59A8C876" w14:textId="6C56B8AD" w:rsidR="38DAB685" w:rsidRDefault="38DAB685" w:rsidP="0FA9DDF5">
      <w:pPr>
        <w:spacing w:before="240" w:after="240"/>
        <w:rPr>
          <w:rFonts w:ascii="Aptos" w:eastAsia="Aptos" w:hAnsi="Aptos" w:cs="Aptos"/>
        </w:rPr>
      </w:pPr>
      <w:r w:rsidRPr="0FA9DDF5">
        <w:rPr>
          <w:rFonts w:ascii="Aptos" w:eastAsia="Aptos" w:hAnsi="Aptos" w:cs="Aptos"/>
        </w:rPr>
        <w:t xml:space="preserve">Guo, L., Liu, F., Zhu, W., Cheng, J., Zhang, L., Zhang, B., ... &amp; Yu, C. (2025). Pathways from early-life urbanicity to adult neurobehavioral traits via menarche timing. </w:t>
      </w:r>
      <w:r w:rsidRPr="0FA9DDF5">
        <w:rPr>
          <w:rFonts w:ascii="Aptos" w:eastAsia="Aptos" w:hAnsi="Aptos" w:cs="Aptos"/>
          <w:i/>
          <w:iCs/>
        </w:rPr>
        <w:t>Nature Cities</w:t>
      </w:r>
      <w:r w:rsidRPr="0FA9DDF5">
        <w:rPr>
          <w:rFonts w:ascii="Aptos" w:eastAsia="Aptos" w:hAnsi="Aptos" w:cs="Aptos"/>
        </w:rPr>
        <w:t xml:space="preserve">, 2(12), 1226-1239. </w:t>
      </w:r>
      <w:hyperlink r:id="rId30">
        <w:r w:rsidRPr="0FA9DDF5">
          <w:rPr>
            <w:rStyle w:val="Hyperlink"/>
            <w:rFonts w:ascii="Aptos" w:eastAsia="Aptos" w:hAnsi="Aptos" w:cs="Aptos"/>
          </w:rPr>
          <w:t>https://doi.org/10.1038/s44284-025-00352-5</w:t>
        </w:r>
      </w:hyperlink>
      <w:r w:rsidRPr="0FA9DDF5">
        <w:rPr>
          <w:rFonts w:ascii="Aptos" w:eastAsia="Aptos" w:hAnsi="Aptos" w:cs="Aptos"/>
        </w:rPr>
        <w:t xml:space="preserve"> </w:t>
      </w:r>
    </w:p>
    <w:p w14:paraId="0C7A2B4D" w14:textId="66D08C5D" w:rsidR="1960B825" w:rsidRDefault="1960B825" w:rsidP="0FA9DDF5">
      <w:pPr>
        <w:spacing w:before="240" w:after="240"/>
        <w:rPr>
          <w:rFonts w:ascii="Aptos" w:eastAsia="Aptos" w:hAnsi="Aptos" w:cs="Aptos"/>
        </w:rPr>
      </w:pPr>
      <w:r w:rsidRPr="0FA9DDF5">
        <w:rPr>
          <w:rFonts w:ascii="Aptos" w:eastAsia="Aptos" w:hAnsi="Aptos" w:cs="Aptos"/>
        </w:rPr>
        <w:t xml:space="preserve">Hamideh, S. (2015). </w:t>
      </w:r>
      <w:r w:rsidRPr="0FA9DDF5">
        <w:rPr>
          <w:rFonts w:ascii="Aptos" w:eastAsia="Aptos" w:hAnsi="Aptos" w:cs="Aptos"/>
          <w:i/>
          <w:iCs/>
        </w:rPr>
        <w:t>Planning for disaster recovery: Lessons from Hurricane Ike for theory and practice</w:t>
      </w:r>
      <w:r w:rsidRPr="0FA9DDF5">
        <w:rPr>
          <w:rFonts w:ascii="Aptos" w:eastAsia="Aptos" w:hAnsi="Aptos" w:cs="Aptos"/>
        </w:rPr>
        <w:t xml:space="preserve"> (Doctoral dissertation). </w:t>
      </w:r>
      <w:hyperlink r:id="rId31">
        <w:r w:rsidRPr="0FA9DDF5">
          <w:rPr>
            <w:rStyle w:val="Hyperlink"/>
            <w:rFonts w:ascii="Aptos" w:eastAsia="Aptos" w:hAnsi="Aptos" w:cs="Aptos"/>
          </w:rPr>
          <w:t>https://hdl.handle.net/1969.1/155735</w:t>
        </w:r>
      </w:hyperlink>
      <w:r w:rsidRPr="0FA9DDF5">
        <w:rPr>
          <w:rFonts w:ascii="Aptos" w:eastAsia="Aptos" w:hAnsi="Aptos" w:cs="Aptos"/>
        </w:rPr>
        <w:t xml:space="preserve"> </w:t>
      </w:r>
    </w:p>
    <w:p w14:paraId="11F61B9E" w14:textId="6860CD4B" w:rsidR="4FB5917C" w:rsidRDefault="4FB5917C" w:rsidP="0FA9DDF5">
      <w:pPr>
        <w:spacing w:before="240" w:after="240"/>
        <w:rPr>
          <w:rFonts w:ascii="Aptos" w:eastAsia="Aptos" w:hAnsi="Aptos" w:cs="Aptos"/>
          <w:color w:val="000000" w:themeColor="text1"/>
        </w:rPr>
      </w:pPr>
      <w:r w:rsidRPr="5A746606">
        <w:rPr>
          <w:rFonts w:ascii="Aptos" w:eastAsia="Aptos" w:hAnsi="Aptos" w:cs="Aptos"/>
          <w:color w:val="000000" w:themeColor="text1"/>
        </w:rPr>
        <w:t xml:space="preserve">Hair, J.F., Hult, G.T.M., Ringle, C.M., Sarstedt, M., Danks, N.P., Ray, S. (2021). An Introduction to Structural Equation Modeling. In: </w:t>
      </w:r>
      <w:r w:rsidRPr="5A746606">
        <w:rPr>
          <w:rFonts w:ascii="Aptos" w:eastAsia="Aptos" w:hAnsi="Aptos" w:cs="Aptos"/>
          <w:i/>
          <w:iCs/>
          <w:color w:val="000000" w:themeColor="text1"/>
        </w:rPr>
        <w:t>Partial Least Squares Structural Equation Modeling (PLS-SEM) Using R</w:t>
      </w:r>
      <w:r w:rsidRPr="5A746606">
        <w:rPr>
          <w:rFonts w:ascii="Aptos" w:eastAsia="Aptos" w:hAnsi="Aptos" w:cs="Aptos"/>
          <w:color w:val="000000" w:themeColor="text1"/>
        </w:rPr>
        <w:t xml:space="preserve">. Classroom Companion: Business. Springer, Cham. </w:t>
      </w:r>
      <w:hyperlink r:id="rId32">
        <w:r w:rsidRPr="5A746606">
          <w:rPr>
            <w:rStyle w:val="Hyperlink"/>
            <w:rFonts w:ascii="Aptos" w:eastAsia="Aptos" w:hAnsi="Aptos" w:cs="Aptos"/>
          </w:rPr>
          <w:t>https://doi.org/10.1007/978-3-030-80519-7_1</w:t>
        </w:r>
      </w:hyperlink>
      <w:r w:rsidRPr="5A746606">
        <w:rPr>
          <w:rFonts w:ascii="Aptos" w:eastAsia="Aptos" w:hAnsi="Aptos" w:cs="Aptos"/>
          <w:color w:val="000000" w:themeColor="text1"/>
        </w:rPr>
        <w:t xml:space="preserve"> </w:t>
      </w:r>
    </w:p>
    <w:p w14:paraId="6608E5E5" w14:textId="465F6B9F" w:rsidR="07D0D2E7" w:rsidRDefault="07D0D2E7" w:rsidP="5A746606">
      <w:pPr>
        <w:spacing w:before="240" w:after="240"/>
        <w:rPr>
          <w:rFonts w:ascii="Aptos" w:eastAsia="Aptos" w:hAnsi="Aptos" w:cs="Aptos"/>
          <w:color w:val="000000" w:themeColor="text1"/>
        </w:rPr>
      </w:pPr>
      <w:r w:rsidRPr="5A746606">
        <w:rPr>
          <w:rFonts w:ascii="Aptos" w:eastAsia="Aptos" w:hAnsi="Aptos" w:cs="Aptos"/>
          <w:color w:val="000000" w:themeColor="text1"/>
        </w:rPr>
        <w:t>Hu, J., Tan, C., Jiao, Y., Mou, X., &amp; Wu, P. (2025). The associational relationships between multidimensional digital literacy and wage income: evidence from urban–rural heterogeneity.</w:t>
      </w:r>
      <w:r w:rsidRPr="5A746606">
        <w:rPr>
          <w:rFonts w:ascii="Aptos" w:eastAsia="Aptos" w:hAnsi="Aptos" w:cs="Aptos"/>
          <w:i/>
          <w:iCs/>
          <w:color w:val="000000" w:themeColor="text1"/>
        </w:rPr>
        <w:t xml:space="preserve"> Scientific Reports</w:t>
      </w:r>
      <w:r w:rsidRPr="5A746606">
        <w:rPr>
          <w:rFonts w:ascii="Aptos" w:eastAsia="Aptos" w:hAnsi="Aptos" w:cs="Aptos"/>
          <w:color w:val="000000" w:themeColor="text1"/>
        </w:rPr>
        <w:t xml:space="preserve">, 15(1), 42830. </w:t>
      </w:r>
      <w:hyperlink r:id="rId33">
        <w:r w:rsidRPr="5A746606">
          <w:rPr>
            <w:rStyle w:val="Hyperlink"/>
            <w:rFonts w:ascii="Aptos" w:eastAsia="Aptos" w:hAnsi="Aptos" w:cs="Aptos"/>
          </w:rPr>
          <w:t>https://doi.org/10.1038/s41598-025-28467-8</w:t>
        </w:r>
      </w:hyperlink>
      <w:r w:rsidRPr="5A746606">
        <w:rPr>
          <w:rFonts w:ascii="Aptos" w:eastAsia="Aptos" w:hAnsi="Aptos" w:cs="Aptos"/>
          <w:color w:val="000000" w:themeColor="text1"/>
        </w:rPr>
        <w:t xml:space="preserve"> </w:t>
      </w:r>
    </w:p>
    <w:p w14:paraId="292E9586" w14:textId="621966B2" w:rsidR="06769189" w:rsidRDefault="06769189" w:rsidP="3C60AEA8">
      <w:pPr>
        <w:spacing w:before="240" w:after="240"/>
        <w:rPr>
          <w:rFonts w:ascii="Aptos" w:eastAsia="Aptos" w:hAnsi="Aptos" w:cs="Aptos"/>
          <w:color w:val="000000" w:themeColor="text1"/>
        </w:rPr>
      </w:pPr>
      <w:r w:rsidRPr="3C60AEA8">
        <w:rPr>
          <w:rFonts w:ascii="Aptos" w:eastAsia="Aptos" w:hAnsi="Aptos" w:cs="Aptos"/>
          <w:color w:val="000000" w:themeColor="text1"/>
        </w:rPr>
        <w:t xml:space="preserve">Ishiwatari, M. (2021). Institutional coordination of disaster management: Engaging national and local governments in Japan. </w:t>
      </w:r>
      <w:r w:rsidRPr="3C60AEA8">
        <w:rPr>
          <w:rFonts w:ascii="Aptos" w:eastAsia="Aptos" w:hAnsi="Aptos" w:cs="Aptos"/>
          <w:i/>
          <w:iCs/>
          <w:color w:val="000000" w:themeColor="text1"/>
        </w:rPr>
        <w:t>Natural Hazards Review</w:t>
      </w:r>
      <w:r w:rsidRPr="3C60AEA8">
        <w:rPr>
          <w:rFonts w:ascii="Aptos" w:eastAsia="Aptos" w:hAnsi="Aptos" w:cs="Aptos"/>
          <w:color w:val="000000" w:themeColor="text1"/>
        </w:rPr>
        <w:t xml:space="preserve">, 22(1), 04020059. </w:t>
      </w:r>
      <w:hyperlink r:id="rId34">
        <w:r w:rsidRPr="3C60AEA8">
          <w:rPr>
            <w:rStyle w:val="Hyperlink"/>
            <w:rFonts w:ascii="Aptos" w:eastAsia="Aptos" w:hAnsi="Aptos" w:cs="Aptos"/>
          </w:rPr>
          <w:t>https://doi.org/10.1061/(ASCE)NH.1527-6996.000042</w:t>
        </w:r>
      </w:hyperlink>
      <w:r w:rsidRPr="3C60AEA8">
        <w:rPr>
          <w:rFonts w:ascii="Aptos" w:eastAsia="Aptos" w:hAnsi="Aptos" w:cs="Aptos"/>
          <w:color w:val="000000" w:themeColor="text1"/>
        </w:rPr>
        <w:t xml:space="preserve"> </w:t>
      </w:r>
    </w:p>
    <w:p w14:paraId="1E7CCBD9" w14:textId="7BF6A07A" w:rsidR="1711D9DE" w:rsidRDefault="1711D9DE" w:rsidP="0FA9DDF5">
      <w:pPr>
        <w:spacing w:before="240" w:after="240"/>
        <w:rPr>
          <w:rFonts w:ascii="Aptos" w:eastAsia="Aptos" w:hAnsi="Aptos" w:cs="Aptos"/>
          <w:color w:val="000000" w:themeColor="text1"/>
        </w:rPr>
      </w:pPr>
      <w:r w:rsidRPr="5A746606">
        <w:rPr>
          <w:rFonts w:ascii="Aptos" w:eastAsia="Aptos" w:hAnsi="Aptos" w:cs="Aptos"/>
          <w:color w:val="000000" w:themeColor="text1"/>
        </w:rPr>
        <w:lastRenderedPageBreak/>
        <w:t xml:space="preserve">Jordan, E., Javernick-Will, A., &amp; Amadei, B. (2014). A qualitative comparative analysis of neighborhood recovery following Hurricane Katrina. </w:t>
      </w:r>
      <w:r w:rsidRPr="5A746606">
        <w:rPr>
          <w:rFonts w:ascii="Aptos" w:eastAsia="Aptos" w:hAnsi="Aptos" w:cs="Aptos"/>
          <w:i/>
          <w:iCs/>
          <w:color w:val="000000" w:themeColor="text1"/>
        </w:rPr>
        <w:t>International Journal of Disaster Resilience in the Built Environment</w:t>
      </w:r>
      <w:r w:rsidRPr="5A746606">
        <w:rPr>
          <w:rFonts w:ascii="Aptos" w:eastAsia="Aptos" w:hAnsi="Aptos" w:cs="Aptos"/>
          <w:color w:val="000000" w:themeColor="text1"/>
        </w:rPr>
        <w:t xml:space="preserve">, 5(4), 391-412. </w:t>
      </w:r>
      <w:hyperlink r:id="rId35">
        <w:r w:rsidRPr="5A746606">
          <w:rPr>
            <w:rStyle w:val="Hyperlink"/>
            <w:rFonts w:ascii="Aptos" w:eastAsia="Aptos" w:hAnsi="Aptos" w:cs="Aptos"/>
          </w:rPr>
          <w:t>https://doi.org/10.1108/IJDRBE-03-2013-0006</w:t>
        </w:r>
      </w:hyperlink>
      <w:r w:rsidRPr="5A746606">
        <w:rPr>
          <w:rFonts w:ascii="Aptos" w:eastAsia="Aptos" w:hAnsi="Aptos" w:cs="Aptos"/>
          <w:color w:val="000000" w:themeColor="text1"/>
        </w:rPr>
        <w:t xml:space="preserve"> </w:t>
      </w:r>
    </w:p>
    <w:p w14:paraId="50DD6F9E" w14:textId="5FC4A0A2" w:rsidR="2C6CF073" w:rsidRDefault="2C6CF073" w:rsidP="5A746606">
      <w:pPr>
        <w:spacing w:before="240" w:after="240"/>
        <w:rPr>
          <w:rFonts w:ascii="Aptos" w:eastAsia="Aptos" w:hAnsi="Aptos" w:cs="Aptos"/>
          <w:color w:val="000000" w:themeColor="text1"/>
        </w:rPr>
      </w:pPr>
      <w:r w:rsidRPr="5A746606">
        <w:rPr>
          <w:rFonts w:ascii="Aptos" w:eastAsia="Aptos" w:hAnsi="Aptos" w:cs="Aptos"/>
          <w:color w:val="000000" w:themeColor="text1"/>
        </w:rPr>
        <w:t xml:space="preserve">Khalid, S., &amp; Ashraf, I. (2024). The Role of Administrative Capacity in Disaster Management. </w:t>
      </w:r>
      <w:r w:rsidRPr="5A746606">
        <w:rPr>
          <w:rFonts w:ascii="Aptos" w:eastAsia="Aptos" w:hAnsi="Aptos" w:cs="Aptos"/>
          <w:i/>
          <w:iCs/>
          <w:color w:val="000000" w:themeColor="text1"/>
        </w:rPr>
        <w:t>Social Trends and Policy Review</w:t>
      </w:r>
      <w:r w:rsidRPr="5A746606">
        <w:rPr>
          <w:rFonts w:ascii="Aptos" w:eastAsia="Aptos" w:hAnsi="Aptos" w:cs="Aptos"/>
          <w:color w:val="000000" w:themeColor="text1"/>
        </w:rPr>
        <w:t xml:space="preserve">, 2(2), 97-133. </w:t>
      </w:r>
      <w:hyperlink r:id="rId36">
        <w:r w:rsidRPr="5A746606">
          <w:rPr>
            <w:rStyle w:val="Hyperlink"/>
            <w:rFonts w:ascii="Aptos" w:eastAsia="Aptos" w:hAnsi="Aptos" w:cs="Aptos"/>
          </w:rPr>
          <w:t>https://socialtrendsreview.com/index.php/journal/article/download/45/44</w:t>
        </w:r>
      </w:hyperlink>
    </w:p>
    <w:p w14:paraId="12BF2A56" w14:textId="63C82FB1" w:rsidR="18BE4A1C" w:rsidRDefault="18BE4A1C" w:rsidP="3C60AEA8">
      <w:pPr>
        <w:spacing w:before="240" w:after="240"/>
        <w:rPr>
          <w:rFonts w:ascii="Aptos" w:eastAsia="Aptos" w:hAnsi="Aptos" w:cs="Aptos"/>
          <w:color w:val="000000" w:themeColor="text1"/>
        </w:rPr>
      </w:pPr>
      <w:r w:rsidRPr="5A746606">
        <w:rPr>
          <w:rFonts w:ascii="Aptos" w:eastAsia="Aptos" w:hAnsi="Aptos" w:cs="Aptos"/>
          <w:color w:val="000000" w:themeColor="text1"/>
        </w:rPr>
        <w:t xml:space="preserve">Khorram-Manesh, A. (2020). Flexible surge capacity-public health, public education, and disaster management. Health promotion perspectives, 10(3), 175. </w:t>
      </w:r>
      <w:hyperlink r:id="rId37">
        <w:r w:rsidRPr="5A746606">
          <w:rPr>
            <w:rStyle w:val="Hyperlink"/>
            <w:rFonts w:ascii="Aptos" w:eastAsia="Aptos" w:hAnsi="Aptos" w:cs="Aptos"/>
          </w:rPr>
          <w:t>https://doi.org/10.34172/hpp.2020.30</w:t>
        </w:r>
      </w:hyperlink>
      <w:r w:rsidRPr="5A746606">
        <w:rPr>
          <w:rFonts w:ascii="Aptos" w:eastAsia="Aptos" w:hAnsi="Aptos" w:cs="Aptos"/>
          <w:color w:val="000000" w:themeColor="text1"/>
        </w:rPr>
        <w:t xml:space="preserve"> </w:t>
      </w:r>
    </w:p>
    <w:p w14:paraId="0A088690" w14:textId="090366A7" w:rsidR="71DF4B8C" w:rsidRDefault="71DF4B8C" w:rsidP="5A746606">
      <w:pPr>
        <w:spacing w:before="240" w:after="240"/>
        <w:rPr>
          <w:rFonts w:ascii="Aptos" w:eastAsia="Aptos" w:hAnsi="Aptos" w:cs="Aptos"/>
          <w:color w:val="000000" w:themeColor="text1"/>
        </w:rPr>
      </w:pPr>
      <w:r w:rsidRPr="5A746606">
        <w:rPr>
          <w:rFonts w:ascii="Aptos" w:eastAsia="Aptos" w:hAnsi="Aptos" w:cs="Aptos"/>
          <w:color w:val="000000" w:themeColor="text1"/>
        </w:rPr>
        <w:t xml:space="preserve">Klinsky, S., &amp; Mavrogianni, A. (2020). Climate justice and the built environment. Buildings and Cities, 1(1), 412-428. </w:t>
      </w:r>
      <w:hyperlink r:id="rId38">
        <w:r w:rsidRPr="5A746606">
          <w:rPr>
            <w:rStyle w:val="Hyperlink"/>
            <w:rFonts w:ascii="Aptos" w:eastAsia="Aptos" w:hAnsi="Aptos" w:cs="Aptos"/>
          </w:rPr>
          <w:t>http://doi.org/10.5334/bc.65</w:t>
        </w:r>
      </w:hyperlink>
      <w:r w:rsidRPr="5A746606">
        <w:rPr>
          <w:rFonts w:ascii="Aptos" w:eastAsia="Aptos" w:hAnsi="Aptos" w:cs="Aptos"/>
          <w:color w:val="000000" w:themeColor="text1"/>
        </w:rPr>
        <w:t xml:space="preserve"> </w:t>
      </w:r>
    </w:p>
    <w:p w14:paraId="085995DA" w14:textId="571F1D69" w:rsidR="19E74608" w:rsidRDefault="19E74608" w:rsidP="0FA9DDF5">
      <w:pPr>
        <w:spacing w:before="240" w:after="240"/>
        <w:rPr>
          <w:rFonts w:ascii="Aptos" w:eastAsia="Aptos" w:hAnsi="Aptos" w:cs="Aptos"/>
          <w:color w:val="000000" w:themeColor="text1"/>
        </w:rPr>
      </w:pPr>
      <w:r w:rsidRPr="5A746606">
        <w:rPr>
          <w:rFonts w:ascii="Aptos" w:eastAsia="Aptos" w:hAnsi="Aptos" w:cs="Aptos"/>
          <w:color w:val="000000" w:themeColor="text1"/>
        </w:rPr>
        <w:t xml:space="preserve">Kusumasari, B., Alam, Q., &amp; Siddiqui, K. (2010). Resource capability for local government in managing disaster. </w:t>
      </w:r>
      <w:r w:rsidRPr="5A746606">
        <w:rPr>
          <w:rFonts w:ascii="Aptos" w:eastAsia="Aptos" w:hAnsi="Aptos" w:cs="Aptos"/>
          <w:i/>
          <w:iCs/>
          <w:color w:val="000000" w:themeColor="text1"/>
        </w:rPr>
        <w:t>Disaster Prevention and Management: An International Journal</w:t>
      </w:r>
      <w:r w:rsidRPr="5A746606">
        <w:rPr>
          <w:rFonts w:ascii="Aptos" w:eastAsia="Aptos" w:hAnsi="Aptos" w:cs="Aptos"/>
          <w:color w:val="000000" w:themeColor="text1"/>
        </w:rPr>
        <w:t xml:space="preserve">, 19(4), 438-451. </w:t>
      </w:r>
      <w:hyperlink r:id="rId39">
        <w:r w:rsidRPr="5A746606">
          <w:rPr>
            <w:rStyle w:val="Hyperlink"/>
            <w:rFonts w:ascii="Aptos" w:eastAsia="Aptos" w:hAnsi="Aptos" w:cs="Aptos"/>
          </w:rPr>
          <w:t>https://doi.org/10.1108/09653561011070367</w:t>
        </w:r>
      </w:hyperlink>
      <w:r w:rsidRPr="5A746606">
        <w:rPr>
          <w:rFonts w:ascii="Aptos" w:eastAsia="Aptos" w:hAnsi="Aptos" w:cs="Aptos"/>
          <w:color w:val="000000" w:themeColor="text1"/>
        </w:rPr>
        <w:t xml:space="preserve"> </w:t>
      </w:r>
    </w:p>
    <w:p w14:paraId="3FCF2044" w14:textId="4A2229F7" w:rsidR="67E0C91A" w:rsidRDefault="431661A5" w:rsidP="5A746606">
      <w:pPr>
        <w:spacing w:before="240" w:after="240"/>
        <w:rPr>
          <w:rFonts w:ascii="Aptos" w:eastAsia="Aptos" w:hAnsi="Aptos" w:cs="Aptos"/>
          <w:color w:val="000000" w:themeColor="text1"/>
        </w:rPr>
      </w:pPr>
      <w:r w:rsidRPr="5A746606">
        <w:rPr>
          <w:rFonts w:ascii="Aptos" w:eastAsia="Aptos" w:hAnsi="Aptos" w:cs="Aptos"/>
          <w:color w:val="000000" w:themeColor="text1"/>
        </w:rPr>
        <w:t xml:space="preserve">Kyrkou, C., Kolios, P., Theocharides, T., &amp; Polycarpou, M. (2022). Machine learning for emergency management: A survey and future outlook. </w:t>
      </w:r>
      <w:r w:rsidRPr="5A746606">
        <w:rPr>
          <w:rFonts w:ascii="Aptos" w:eastAsia="Aptos" w:hAnsi="Aptos" w:cs="Aptos"/>
          <w:i/>
          <w:iCs/>
          <w:color w:val="000000" w:themeColor="text1"/>
        </w:rPr>
        <w:t>Proceedings of the IEEE</w:t>
      </w:r>
      <w:r w:rsidRPr="5A746606">
        <w:rPr>
          <w:rFonts w:ascii="Aptos" w:eastAsia="Aptos" w:hAnsi="Aptos" w:cs="Aptos"/>
          <w:color w:val="000000" w:themeColor="text1"/>
        </w:rPr>
        <w:t xml:space="preserve">, 111(1), 19-41. </w:t>
      </w:r>
      <w:hyperlink r:id="rId40">
        <w:r w:rsidRPr="5A746606">
          <w:rPr>
            <w:rStyle w:val="Hyperlink"/>
            <w:rFonts w:ascii="Aptos" w:eastAsia="Aptos" w:hAnsi="Aptos" w:cs="Aptos"/>
          </w:rPr>
          <w:t>https://doi.org/10.1109/JPROC.2022.3223186</w:t>
        </w:r>
      </w:hyperlink>
      <w:r w:rsidRPr="5A746606">
        <w:rPr>
          <w:rFonts w:ascii="Aptos" w:eastAsia="Aptos" w:hAnsi="Aptos" w:cs="Aptos"/>
          <w:color w:val="000000" w:themeColor="text1"/>
        </w:rPr>
        <w:t xml:space="preserve"> </w:t>
      </w:r>
    </w:p>
    <w:p w14:paraId="54FCD32D" w14:textId="120028D2" w:rsidR="67E0C91A" w:rsidRDefault="67E0C91A" w:rsidP="5A746606">
      <w:pPr>
        <w:spacing w:before="240" w:after="240"/>
        <w:rPr>
          <w:rFonts w:ascii="Aptos" w:eastAsia="Aptos" w:hAnsi="Aptos" w:cs="Aptos"/>
          <w:color w:val="000000" w:themeColor="text1"/>
        </w:rPr>
      </w:pPr>
      <w:r w:rsidRPr="5A746606">
        <w:rPr>
          <w:rFonts w:ascii="Aptos" w:eastAsia="Aptos" w:hAnsi="Aptos" w:cs="Aptos"/>
          <w:color w:val="000000" w:themeColor="text1"/>
        </w:rPr>
        <w:t xml:space="preserve">Lee, D. W. (2019). Local government’s disaster management capacity and disaster resilience. </w:t>
      </w:r>
      <w:r w:rsidRPr="5A746606">
        <w:rPr>
          <w:rFonts w:ascii="Aptos" w:eastAsia="Aptos" w:hAnsi="Aptos" w:cs="Aptos"/>
          <w:i/>
          <w:iCs/>
          <w:color w:val="000000" w:themeColor="text1"/>
        </w:rPr>
        <w:t>Local Government Studies</w:t>
      </w:r>
      <w:r w:rsidRPr="5A746606">
        <w:rPr>
          <w:rFonts w:ascii="Aptos" w:eastAsia="Aptos" w:hAnsi="Aptos" w:cs="Aptos"/>
          <w:color w:val="000000" w:themeColor="text1"/>
        </w:rPr>
        <w:t xml:space="preserve">, 45(6), 803-826. </w:t>
      </w:r>
      <w:hyperlink r:id="rId41">
        <w:r w:rsidRPr="5A746606">
          <w:rPr>
            <w:rStyle w:val="Hyperlink"/>
            <w:rFonts w:ascii="Aptos" w:eastAsia="Aptos" w:hAnsi="Aptos" w:cs="Aptos"/>
          </w:rPr>
          <w:t>https://doi.org/10.1080/03003930.2019.1653284</w:t>
        </w:r>
      </w:hyperlink>
      <w:r w:rsidRPr="5A746606">
        <w:rPr>
          <w:rFonts w:ascii="Aptos" w:eastAsia="Aptos" w:hAnsi="Aptos" w:cs="Aptos"/>
          <w:color w:val="000000" w:themeColor="text1"/>
        </w:rPr>
        <w:t xml:space="preserve"> </w:t>
      </w:r>
    </w:p>
    <w:p w14:paraId="51F8271D" w14:textId="226130D1" w:rsidR="7D0E9AA3" w:rsidRDefault="7D0E9AA3" w:rsidP="0FA9DDF5">
      <w:pPr>
        <w:spacing w:before="240" w:after="240"/>
        <w:rPr>
          <w:rFonts w:ascii="Aptos" w:eastAsia="Aptos" w:hAnsi="Aptos" w:cs="Aptos"/>
          <w:color w:val="000000" w:themeColor="text1"/>
        </w:rPr>
      </w:pPr>
      <w:r w:rsidRPr="0FA9DDF5">
        <w:rPr>
          <w:rFonts w:ascii="Aptos" w:eastAsia="Aptos" w:hAnsi="Aptos" w:cs="Aptos"/>
          <w:color w:val="000000" w:themeColor="text1"/>
        </w:rPr>
        <w:t xml:space="preserve">Lee, S. Y., &amp; Zhu, H. T. (2002). Maximum likelihood estimation of nonlinear structural equation models. </w:t>
      </w:r>
      <w:r w:rsidRPr="0FA9DDF5">
        <w:rPr>
          <w:rFonts w:ascii="Aptos" w:eastAsia="Aptos" w:hAnsi="Aptos" w:cs="Aptos"/>
          <w:i/>
          <w:iCs/>
          <w:color w:val="000000" w:themeColor="text1"/>
        </w:rPr>
        <w:t>Psychometrika</w:t>
      </w:r>
      <w:r w:rsidRPr="0FA9DDF5">
        <w:rPr>
          <w:rFonts w:ascii="Aptos" w:eastAsia="Aptos" w:hAnsi="Aptos" w:cs="Aptos"/>
          <w:color w:val="000000" w:themeColor="text1"/>
        </w:rPr>
        <w:t xml:space="preserve">, 67(2), 189-210. </w:t>
      </w:r>
      <w:hyperlink r:id="rId42">
        <w:r w:rsidRPr="0FA9DDF5">
          <w:rPr>
            <w:rStyle w:val="Hyperlink"/>
            <w:rFonts w:ascii="Aptos" w:eastAsia="Aptos" w:hAnsi="Aptos" w:cs="Aptos"/>
          </w:rPr>
          <w:t>https://doi.org/10.1007/BF02294842</w:t>
        </w:r>
      </w:hyperlink>
      <w:r w:rsidRPr="0FA9DDF5">
        <w:rPr>
          <w:rFonts w:ascii="Aptos" w:eastAsia="Aptos" w:hAnsi="Aptos" w:cs="Aptos"/>
          <w:color w:val="000000" w:themeColor="text1"/>
        </w:rPr>
        <w:t xml:space="preserve"> </w:t>
      </w:r>
    </w:p>
    <w:p w14:paraId="7C9FE098" w14:textId="0A500F51" w:rsidR="10C13FA2" w:rsidRDefault="10C13FA2" w:rsidP="0FA9DDF5">
      <w:pPr>
        <w:spacing w:before="240" w:after="240"/>
        <w:rPr>
          <w:rFonts w:ascii="Aptos" w:eastAsia="Aptos" w:hAnsi="Aptos" w:cs="Aptos"/>
          <w:color w:val="000000" w:themeColor="text1"/>
        </w:rPr>
      </w:pPr>
      <w:r w:rsidRPr="0FA9DDF5">
        <w:rPr>
          <w:rFonts w:ascii="Aptos" w:eastAsia="Aptos" w:hAnsi="Aptos" w:cs="Aptos"/>
          <w:color w:val="000000" w:themeColor="text1"/>
        </w:rPr>
        <w:t xml:space="preserve">Lindsay, B. R. (2014). </w:t>
      </w:r>
      <w:r w:rsidRPr="0FA9DDF5">
        <w:rPr>
          <w:rFonts w:ascii="Aptos" w:eastAsia="Aptos" w:hAnsi="Aptos" w:cs="Aptos"/>
          <w:i/>
          <w:iCs/>
          <w:color w:val="000000" w:themeColor="text1"/>
        </w:rPr>
        <w:t>FEMA's disaster relief fund: overview and selected issues</w:t>
      </w:r>
      <w:r w:rsidRPr="0FA9DDF5">
        <w:rPr>
          <w:rFonts w:ascii="Aptos" w:eastAsia="Aptos" w:hAnsi="Aptos" w:cs="Aptos"/>
          <w:color w:val="000000" w:themeColor="text1"/>
        </w:rPr>
        <w:t>. Washington, DC, USA: Congressional Research Service.</w:t>
      </w:r>
      <w:r w:rsidR="6E7FDAE3" w:rsidRPr="0FA9DDF5">
        <w:rPr>
          <w:rFonts w:ascii="Aptos" w:eastAsia="Aptos" w:hAnsi="Aptos" w:cs="Aptos"/>
          <w:color w:val="000000" w:themeColor="text1"/>
        </w:rPr>
        <w:t xml:space="preserve"> </w:t>
      </w:r>
      <w:hyperlink r:id="rId43">
        <w:r w:rsidR="6E7FDAE3" w:rsidRPr="0FA9DDF5">
          <w:rPr>
            <w:rStyle w:val="Hyperlink"/>
            <w:rFonts w:ascii="Aptos" w:eastAsia="Aptos" w:hAnsi="Aptos" w:cs="Aptos"/>
          </w:rPr>
          <w:t>https://budgetcounsel.com/wp-content/uploads/2017/12/crs-fema_s-disaster-relief-fund-overview-and-selected-issues-r43537-may-7-2014.pdf</w:t>
        </w:r>
      </w:hyperlink>
      <w:r w:rsidR="6E7FDAE3" w:rsidRPr="0FA9DDF5">
        <w:rPr>
          <w:rFonts w:ascii="Aptos" w:eastAsia="Aptos" w:hAnsi="Aptos" w:cs="Aptos"/>
          <w:color w:val="000000" w:themeColor="text1"/>
        </w:rPr>
        <w:t xml:space="preserve"> </w:t>
      </w:r>
    </w:p>
    <w:p w14:paraId="69637BD0" w14:textId="2FA9765A" w:rsidR="64687E4F" w:rsidRDefault="64687E4F" w:rsidP="0FA9DDF5">
      <w:pPr>
        <w:spacing w:before="240" w:after="240"/>
        <w:rPr>
          <w:rFonts w:ascii="Aptos" w:eastAsia="Aptos" w:hAnsi="Aptos" w:cs="Aptos"/>
          <w:color w:val="000000" w:themeColor="text1"/>
        </w:rPr>
      </w:pPr>
      <w:r w:rsidRPr="0FA9DDF5">
        <w:rPr>
          <w:rFonts w:ascii="Aptos" w:eastAsia="Aptos" w:hAnsi="Aptos" w:cs="Aptos"/>
          <w:color w:val="000000" w:themeColor="text1"/>
        </w:rPr>
        <w:t xml:space="preserve">Martín, C. (2018). </w:t>
      </w:r>
      <w:r w:rsidRPr="0FA9DDF5">
        <w:rPr>
          <w:rFonts w:ascii="Aptos" w:eastAsia="Aptos" w:hAnsi="Aptos" w:cs="Aptos"/>
          <w:i/>
          <w:iCs/>
          <w:color w:val="000000" w:themeColor="text1"/>
        </w:rPr>
        <w:t>The Evidence Base on How CDBG-DR Works for State and Local Stakeholders</w:t>
      </w:r>
      <w:r w:rsidRPr="0FA9DDF5">
        <w:rPr>
          <w:rFonts w:ascii="Aptos" w:eastAsia="Aptos" w:hAnsi="Aptos" w:cs="Aptos"/>
          <w:color w:val="000000" w:themeColor="text1"/>
        </w:rPr>
        <w:t xml:space="preserve">. Urban Institute. </w:t>
      </w:r>
      <w:hyperlink r:id="rId44">
        <w:r w:rsidRPr="0FA9DDF5">
          <w:rPr>
            <w:rStyle w:val="Hyperlink"/>
            <w:rFonts w:ascii="Aptos" w:eastAsia="Aptos" w:hAnsi="Aptos" w:cs="Aptos"/>
          </w:rPr>
          <w:t>https://www.urban.org/sites/default/files/publication/98463/the_evidence_base_on_how_cdbg-dr_works_for_state_and_local_stakeholders_0.pdf</w:t>
        </w:r>
      </w:hyperlink>
      <w:r w:rsidRPr="0FA9DDF5">
        <w:rPr>
          <w:rFonts w:ascii="Aptos" w:eastAsia="Aptos" w:hAnsi="Aptos" w:cs="Aptos"/>
          <w:color w:val="000000" w:themeColor="text1"/>
        </w:rPr>
        <w:t xml:space="preserve"> </w:t>
      </w:r>
    </w:p>
    <w:p w14:paraId="3C92039A" w14:textId="4AAA8916" w:rsidR="5B6030D6" w:rsidRDefault="5B6030D6" w:rsidP="0FA9DDF5">
      <w:pPr>
        <w:spacing w:before="240" w:after="240"/>
        <w:rPr>
          <w:rFonts w:ascii="Aptos" w:eastAsia="Aptos" w:hAnsi="Aptos" w:cs="Aptos"/>
          <w:color w:val="000000" w:themeColor="text1"/>
        </w:rPr>
      </w:pPr>
      <w:r w:rsidRPr="0FA9DDF5">
        <w:rPr>
          <w:rFonts w:ascii="Aptos" w:eastAsia="Aptos" w:hAnsi="Aptos" w:cs="Aptos"/>
          <w:color w:val="000000" w:themeColor="text1"/>
        </w:rPr>
        <w:lastRenderedPageBreak/>
        <w:t xml:space="preserve">Martin, C., Gilbert, B., Teles, D., &amp; Theodos, B. (2019). </w:t>
      </w:r>
      <w:r w:rsidRPr="0FA9DDF5">
        <w:rPr>
          <w:rFonts w:ascii="Aptos" w:eastAsia="Aptos" w:hAnsi="Aptos" w:cs="Aptos"/>
          <w:i/>
          <w:iCs/>
          <w:color w:val="000000" w:themeColor="text1"/>
        </w:rPr>
        <w:t>Housing Recovery and CDBG-DR</w:t>
      </w:r>
      <w:r w:rsidRPr="0FA9DDF5">
        <w:rPr>
          <w:rFonts w:ascii="Aptos" w:eastAsia="Aptos" w:hAnsi="Aptos" w:cs="Aptos"/>
          <w:color w:val="000000" w:themeColor="text1"/>
        </w:rPr>
        <w:t xml:space="preserve">. Urban Institute. </w:t>
      </w:r>
      <w:hyperlink r:id="rId45">
        <w:r w:rsidRPr="0FA9DDF5">
          <w:rPr>
            <w:rStyle w:val="Hyperlink"/>
            <w:rFonts w:ascii="Aptos" w:eastAsia="Aptos" w:hAnsi="Aptos" w:cs="Aptos"/>
          </w:rPr>
          <w:t>https://www.urban.org/research/publication/housing-recovery-and-cdbg-dr</w:t>
        </w:r>
      </w:hyperlink>
      <w:r w:rsidRPr="0FA9DDF5">
        <w:rPr>
          <w:rFonts w:ascii="Aptos" w:eastAsia="Aptos" w:hAnsi="Aptos" w:cs="Aptos"/>
          <w:color w:val="000000" w:themeColor="text1"/>
        </w:rPr>
        <w:t xml:space="preserve"> </w:t>
      </w:r>
    </w:p>
    <w:p w14:paraId="5BFC4E11" w14:textId="04CE197C" w:rsidR="035416F7" w:rsidRDefault="035416F7" w:rsidP="0FA9DDF5">
      <w:pPr>
        <w:spacing w:before="240" w:after="240"/>
        <w:rPr>
          <w:rFonts w:ascii="Aptos" w:eastAsia="Aptos" w:hAnsi="Aptos" w:cs="Aptos"/>
          <w:color w:val="000000" w:themeColor="text1"/>
        </w:rPr>
      </w:pPr>
      <w:r w:rsidRPr="0FA9DDF5">
        <w:rPr>
          <w:rFonts w:ascii="Aptos" w:eastAsia="Aptos" w:hAnsi="Aptos" w:cs="Aptos"/>
          <w:color w:val="000000" w:themeColor="text1"/>
        </w:rPr>
        <w:t xml:space="preserve">Martín, C., Teles, D., &amp; DuBois, N. (2022). Understanding the pace of HUD’s disaster housing recovery efforts. </w:t>
      </w:r>
      <w:r w:rsidRPr="0FA9DDF5">
        <w:rPr>
          <w:rFonts w:ascii="Aptos" w:eastAsia="Aptos" w:hAnsi="Aptos" w:cs="Aptos"/>
          <w:i/>
          <w:iCs/>
          <w:color w:val="000000" w:themeColor="text1"/>
        </w:rPr>
        <w:t>Housing Policy Debate</w:t>
      </w:r>
      <w:r w:rsidRPr="0FA9DDF5">
        <w:rPr>
          <w:rFonts w:ascii="Aptos" w:eastAsia="Aptos" w:hAnsi="Aptos" w:cs="Aptos"/>
          <w:color w:val="000000" w:themeColor="text1"/>
        </w:rPr>
        <w:t xml:space="preserve">, 32(1), 102-127. </w:t>
      </w:r>
      <w:hyperlink r:id="rId46">
        <w:r w:rsidRPr="0FA9DDF5">
          <w:rPr>
            <w:rStyle w:val="Hyperlink"/>
            <w:rFonts w:ascii="Aptos" w:eastAsia="Aptos" w:hAnsi="Aptos" w:cs="Aptos"/>
          </w:rPr>
          <w:t>https://doi.org/10.1080/10511482.2021.1875258</w:t>
        </w:r>
      </w:hyperlink>
      <w:r w:rsidRPr="0FA9DDF5">
        <w:rPr>
          <w:rFonts w:ascii="Aptos" w:eastAsia="Aptos" w:hAnsi="Aptos" w:cs="Aptos"/>
          <w:color w:val="000000" w:themeColor="text1"/>
        </w:rPr>
        <w:t xml:space="preserve"> </w:t>
      </w:r>
    </w:p>
    <w:p w14:paraId="1FF586BF" w14:textId="21DF34AE" w:rsidR="45EAF6CD" w:rsidRDefault="45EAF6CD" w:rsidP="0FA9DDF5">
      <w:pPr>
        <w:spacing w:before="240" w:after="240"/>
        <w:rPr>
          <w:rFonts w:ascii="Aptos" w:eastAsia="Aptos" w:hAnsi="Aptos" w:cs="Aptos"/>
          <w:color w:val="000000" w:themeColor="text1"/>
        </w:rPr>
      </w:pPr>
      <w:r w:rsidRPr="0FA9DDF5">
        <w:rPr>
          <w:rFonts w:ascii="Aptos" w:eastAsia="Aptos" w:hAnsi="Aptos" w:cs="Aptos"/>
          <w:color w:val="000000" w:themeColor="text1"/>
        </w:rPr>
        <w:t xml:space="preserve">Melendez, E. (2020). Puerto Rico Housing and Community Development Industry’s Capacity for Disaster Recovery. </w:t>
      </w:r>
      <w:r w:rsidRPr="0FA9DDF5">
        <w:rPr>
          <w:rFonts w:ascii="Aptos" w:eastAsia="Aptos" w:hAnsi="Aptos" w:cs="Aptos"/>
          <w:i/>
          <w:iCs/>
          <w:color w:val="000000" w:themeColor="text1"/>
        </w:rPr>
        <w:t>Centro Journal</w:t>
      </w:r>
      <w:r w:rsidRPr="0FA9DDF5">
        <w:rPr>
          <w:rFonts w:ascii="Aptos" w:eastAsia="Aptos" w:hAnsi="Aptos" w:cs="Aptos"/>
          <w:color w:val="000000" w:themeColor="text1"/>
        </w:rPr>
        <w:t xml:space="preserve">, 32(3). </w:t>
      </w:r>
      <w:hyperlink r:id="rId47">
        <w:r w:rsidR="26B010C9" w:rsidRPr="0FA9DDF5">
          <w:rPr>
            <w:rStyle w:val="Hyperlink"/>
            <w:rFonts w:ascii="Aptos" w:eastAsia="Aptos" w:hAnsi="Aptos" w:cs="Aptos"/>
          </w:rPr>
          <w:t>https://research.ebsco.com/c/zdnshz/viewer/pdf/4yx3o67qxb</w:t>
        </w:r>
      </w:hyperlink>
      <w:r w:rsidR="26B010C9" w:rsidRPr="0FA9DDF5">
        <w:rPr>
          <w:rFonts w:ascii="Aptos" w:eastAsia="Aptos" w:hAnsi="Aptos" w:cs="Aptos"/>
          <w:color w:val="000000" w:themeColor="text1"/>
        </w:rPr>
        <w:t xml:space="preserve"> </w:t>
      </w:r>
    </w:p>
    <w:p w14:paraId="5876DE48" w14:textId="06E4A437" w:rsidR="38315F3F" w:rsidRDefault="38315F3F" w:rsidP="0FA9DDF5">
      <w:pPr>
        <w:spacing w:before="240" w:after="240"/>
        <w:rPr>
          <w:rFonts w:ascii="Aptos" w:eastAsia="Aptos" w:hAnsi="Aptos" w:cs="Aptos"/>
          <w:color w:val="000000" w:themeColor="text1"/>
        </w:rPr>
      </w:pPr>
      <w:r w:rsidRPr="0FA9DDF5">
        <w:rPr>
          <w:rFonts w:ascii="Aptos" w:eastAsia="Aptos" w:hAnsi="Aptos" w:cs="Aptos"/>
          <w:color w:val="000000" w:themeColor="text1"/>
        </w:rPr>
        <w:t xml:space="preserve">Miao, Q., Best, K., Reilly, A., &amp; Davlasheridze, M. (2025). Where Did the Money Go? Assessing the Distribution of the Community Development Block Grant-Disasters Recovery Funds. </w:t>
      </w:r>
      <w:r w:rsidRPr="0FA9DDF5">
        <w:rPr>
          <w:rFonts w:ascii="Aptos" w:eastAsia="Aptos" w:hAnsi="Aptos" w:cs="Aptos"/>
          <w:i/>
          <w:iCs/>
          <w:color w:val="000000" w:themeColor="text1"/>
        </w:rPr>
        <w:t>The American Review of Public Administration</w:t>
      </w:r>
      <w:r w:rsidRPr="0FA9DDF5">
        <w:rPr>
          <w:rFonts w:ascii="Aptos" w:eastAsia="Aptos" w:hAnsi="Aptos" w:cs="Aptos"/>
          <w:color w:val="000000" w:themeColor="text1"/>
        </w:rPr>
        <w:t xml:space="preserve">, 55(3), 227-248. </w:t>
      </w:r>
      <w:hyperlink r:id="rId48">
        <w:r w:rsidRPr="0FA9DDF5">
          <w:rPr>
            <w:rStyle w:val="Hyperlink"/>
            <w:rFonts w:ascii="Aptos" w:eastAsia="Aptos" w:hAnsi="Aptos" w:cs="Aptos"/>
          </w:rPr>
          <w:t>https://doi.org/10.1177/02750740241308272</w:t>
        </w:r>
      </w:hyperlink>
      <w:r w:rsidRPr="0FA9DDF5">
        <w:rPr>
          <w:rFonts w:ascii="Aptos" w:eastAsia="Aptos" w:hAnsi="Aptos" w:cs="Aptos"/>
          <w:color w:val="000000" w:themeColor="text1"/>
        </w:rPr>
        <w:t xml:space="preserve"> </w:t>
      </w:r>
    </w:p>
    <w:p w14:paraId="0FF9A9AB" w14:textId="11FAD2FA" w:rsidR="1994215B" w:rsidRDefault="1994215B" w:rsidP="0FA9DDF5">
      <w:pPr>
        <w:spacing w:before="240" w:after="240"/>
        <w:rPr>
          <w:rFonts w:ascii="Aptos" w:eastAsia="Aptos" w:hAnsi="Aptos" w:cs="Aptos"/>
        </w:rPr>
      </w:pPr>
      <w:r w:rsidRPr="0FA9DDF5">
        <w:rPr>
          <w:rFonts w:ascii="Aptos" w:eastAsia="Aptos" w:hAnsi="Aptos" w:cs="Aptos"/>
        </w:rPr>
        <w:t xml:space="preserve">Mueller, R. O., &amp; Hancock, G. R. (2018). Structural equation modeling. In </w:t>
      </w:r>
      <w:r w:rsidRPr="0FA9DDF5">
        <w:rPr>
          <w:rFonts w:ascii="Aptos" w:eastAsia="Aptos" w:hAnsi="Aptos" w:cs="Aptos"/>
          <w:i/>
          <w:iCs/>
        </w:rPr>
        <w:t>The Reviewer’s Guide to Quantitative Methods in the Social Science</w:t>
      </w:r>
      <w:r w:rsidRPr="0FA9DDF5">
        <w:rPr>
          <w:rFonts w:ascii="Aptos" w:eastAsia="Aptos" w:hAnsi="Aptos" w:cs="Aptos"/>
        </w:rPr>
        <w:t xml:space="preserve">s (pp. 445-456). Routledge. </w:t>
      </w:r>
      <w:hyperlink r:id="rId49">
        <w:r w:rsidRPr="0FA9DDF5">
          <w:rPr>
            <w:rStyle w:val="Hyperlink"/>
            <w:rFonts w:ascii="Aptos" w:eastAsia="Aptos" w:hAnsi="Aptos" w:cs="Aptos"/>
          </w:rPr>
          <w:t>https://doi.org/10.4324/9781315755649</w:t>
        </w:r>
      </w:hyperlink>
      <w:r w:rsidRPr="0FA9DDF5">
        <w:rPr>
          <w:rFonts w:ascii="Aptos" w:eastAsia="Aptos" w:hAnsi="Aptos" w:cs="Aptos"/>
        </w:rPr>
        <w:t xml:space="preserve"> </w:t>
      </w:r>
    </w:p>
    <w:p w14:paraId="46D0F55E" w14:textId="7FB7B08F" w:rsidR="00215911" w:rsidRDefault="00215911" w:rsidP="0FA9DDF5">
      <w:pPr>
        <w:spacing w:before="240" w:after="240"/>
        <w:rPr>
          <w:rFonts w:ascii="Aptos" w:eastAsia="Aptos" w:hAnsi="Aptos" w:cs="Aptos"/>
        </w:rPr>
      </w:pPr>
      <w:r w:rsidRPr="5A746606">
        <w:rPr>
          <w:rFonts w:ascii="Aptos" w:eastAsia="Aptos" w:hAnsi="Aptos" w:cs="Aptos"/>
        </w:rPr>
        <w:t xml:space="preserve">Nor, M. I. (2025). Investigating the dynamics of climate finance disbursements: A panel data approach from 2003 to 2022. PLOS One, 20(3), e0318170. </w:t>
      </w:r>
      <w:hyperlink r:id="rId50">
        <w:r w:rsidRPr="5A746606">
          <w:rPr>
            <w:rStyle w:val="Hyperlink"/>
            <w:rFonts w:ascii="Aptos" w:eastAsia="Aptos" w:hAnsi="Aptos" w:cs="Aptos"/>
          </w:rPr>
          <w:t>https://doi.org/10.1371/journal.pone.0318170</w:t>
        </w:r>
      </w:hyperlink>
      <w:r w:rsidRPr="5A746606">
        <w:rPr>
          <w:rFonts w:ascii="Aptos" w:eastAsia="Aptos" w:hAnsi="Aptos" w:cs="Aptos"/>
        </w:rPr>
        <w:t xml:space="preserve"> </w:t>
      </w:r>
    </w:p>
    <w:p w14:paraId="68E2015F" w14:textId="32763313" w:rsidR="42E6E6C9" w:rsidRDefault="42E6E6C9" w:rsidP="5A746606">
      <w:pPr>
        <w:spacing w:before="240" w:after="240"/>
        <w:rPr>
          <w:rFonts w:ascii="Aptos" w:eastAsia="Aptos" w:hAnsi="Aptos" w:cs="Aptos"/>
        </w:rPr>
      </w:pPr>
      <w:r w:rsidRPr="5A746606">
        <w:rPr>
          <w:rFonts w:ascii="Aptos" w:eastAsia="Aptos" w:hAnsi="Aptos" w:cs="Aptos"/>
        </w:rPr>
        <w:t xml:space="preserve">Ofori-Boateng, R., Aceves-Martins, M., Wiratunga, N., &amp; Moreno-Garcia, C. F. (2024). Towards the automation of systematic reviews using natural language processing, machine learning, and deep learning: a comprehensive review. </w:t>
      </w:r>
      <w:r w:rsidRPr="5A746606">
        <w:rPr>
          <w:rFonts w:ascii="Aptos" w:eastAsia="Aptos" w:hAnsi="Aptos" w:cs="Aptos"/>
          <w:i/>
          <w:iCs/>
        </w:rPr>
        <w:t>Artificial intelligence review</w:t>
      </w:r>
      <w:r w:rsidRPr="5A746606">
        <w:rPr>
          <w:rFonts w:ascii="Aptos" w:eastAsia="Aptos" w:hAnsi="Aptos" w:cs="Aptos"/>
        </w:rPr>
        <w:t xml:space="preserve">, 57(8), 200. </w:t>
      </w:r>
      <w:hyperlink r:id="rId51">
        <w:r w:rsidRPr="5A746606">
          <w:rPr>
            <w:rStyle w:val="Hyperlink"/>
            <w:rFonts w:ascii="Aptos" w:eastAsia="Aptos" w:hAnsi="Aptos" w:cs="Aptos"/>
          </w:rPr>
          <w:t>https://doi.org/10.1007/s10462-024-10844-w</w:t>
        </w:r>
      </w:hyperlink>
      <w:r w:rsidRPr="5A746606">
        <w:rPr>
          <w:rFonts w:ascii="Aptos" w:eastAsia="Aptos" w:hAnsi="Aptos" w:cs="Aptos"/>
        </w:rPr>
        <w:t xml:space="preserve"> </w:t>
      </w:r>
    </w:p>
    <w:p w14:paraId="628E6FB1" w14:textId="203FD8D8" w:rsidR="1B864106" w:rsidRDefault="1B864106" w:rsidP="3C60AEA8">
      <w:pPr>
        <w:spacing w:before="240" w:after="240"/>
        <w:rPr>
          <w:rFonts w:ascii="Aptos" w:eastAsia="Aptos" w:hAnsi="Aptos" w:cs="Aptos"/>
        </w:rPr>
      </w:pPr>
      <w:r w:rsidRPr="5A746606">
        <w:rPr>
          <w:rFonts w:ascii="Aptos" w:eastAsia="Aptos" w:hAnsi="Aptos" w:cs="Aptos"/>
        </w:rPr>
        <w:t>Okunola, O. H. (2025). Exploring multi-level governance arrangements in disaster recovery: A study of Lagos, Nigeria.</w:t>
      </w:r>
      <w:r w:rsidRPr="5A746606">
        <w:rPr>
          <w:rFonts w:ascii="Aptos" w:eastAsia="Aptos" w:hAnsi="Aptos" w:cs="Aptos"/>
          <w:i/>
          <w:iCs/>
        </w:rPr>
        <w:t xml:space="preserve"> International Journal of Disaster Risk Reduction</w:t>
      </w:r>
      <w:r w:rsidRPr="5A746606">
        <w:rPr>
          <w:rFonts w:ascii="Aptos" w:eastAsia="Aptos" w:hAnsi="Aptos" w:cs="Aptos"/>
        </w:rPr>
        <w:t xml:space="preserve">, 118, 105254. </w:t>
      </w:r>
      <w:hyperlink r:id="rId52">
        <w:r w:rsidRPr="5A746606">
          <w:rPr>
            <w:rStyle w:val="Hyperlink"/>
            <w:rFonts w:ascii="Aptos" w:eastAsia="Aptos" w:hAnsi="Aptos" w:cs="Aptos"/>
          </w:rPr>
          <w:t>https://doi.org/10.1016/j.ijdrr.2025.105254</w:t>
        </w:r>
      </w:hyperlink>
      <w:r w:rsidRPr="5A746606">
        <w:rPr>
          <w:rFonts w:ascii="Aptos" w:eastAsia="Aptos" w:hAnsi="Aptos" w:cs="Aptos"/>
        </w:rPr>
        <w:t xml:space="preserve"> </w:t>
      </w:r>
    </w:p>
    <w:p w14:paraId="3FA0D970" w14:textId="4A018C67" w:rsidR="71A904A2" w:rsidRDefault="71A904A2" w:rsidP="5A746606">
      <w:pPr>
        <w:spacing w:before="240" w:after="240"/>
        <w:rPr>
          <w:rFonts w:ascii="Aptos" w:eastAsia="Aptos" w:hAnsi="Aptos" w:cs="Aptos"/>
        </w:rPr>
      </w:pPr>
      <w:r w:rsidRPr="5A746606">
        <w:rPr>
          <w:rFonts w:ascii="Aptos" w:eastAsia="Aptos" w:hAnsi="Aptos" w:cs="Aptos"/>
        </w:rPr>
        <w:t xml:space="preserve">Ortiz-Ortiz, J. (2026). At the Intersection of Property and Disaster Recovery. </w:t>
      </w:r>
      <w:r w:rsidRPr="5A746606">
        <w:rPr>
          <w:rFonts w:ascii="Aptos" w:eastAsia="Aptos" w:hAnsi="Aptos" w:cs="Aptos"/>
          <w:i/>
          <w:iCs/>
        </w:rPr>
        <w:t>Probate and Property</w:t>
      </w:r>
      <w:r w:rsidRPr="5A746606">
        <w:rPr>
          <w:rFonts w:ascii="Aptos" w:eastAsia="Aptos" w:hAnsi="Aptos" w:cs="Aptos"/>
        </w:rPr>
        <w:t xml:space="preserve">, 40, 38. </w:t>
      </w:r>
      <w:hyperlink r:id="rId53">
        <w:r w:rsidRPr="5A746606">
          <w:rPr>
            <w:rStyle w:val="Hyperlink"/>
            <w:rFonts w:ascii="Aptos" w:eastAsia="Aptos" w:hAnsi="Aptos" w:cs="Aptos"/>
          </w:rPr>
          <w:t>https://scholarship.law.stjohns.edu/faculty_publications/922/</w:t>
        </w:r>
      </w:hyperlink>
      <w:r w:rsidRPr="5A746606">
        <w:rPr>
          <w:rFonts w:ascii="Aptos" w:eastAsia="Aptos" w:hAnsi="Aptos" w:cs="Aptos"/>
        </w:rPr>
        <w:t xml:space="preserve"> </w:t>
      </w:r>
    </w:p>
    <w:p w14:paraId="01EEA05D" w14:textId="7240A324" w:rsidR="06EC25B3" w:rsidRDefault="06EC25B3" w:rsidP="0FA9DDF5">
      <w:pPr>
        <w:spacing w:before="240" w:after="240"/>
        <w:rPr>
          <w:rFonts w:ascii="Aptos" w:eastAsia="Aptos" w:hAnsi="Aptos" w:cs="Aptos"/>
        </w:rPr>
      </w:pPr>
      <w:r w:rsidRPr="0FA9DDF5">
        <w:rPr>
          <w:rFonts w:ascii="Aptos" w:eastAsia="Aptos" w:hAnsi="Aptos" w:cs="Aptos"/>
        </w:rPr>
        <w:t xml:space="preserve">Owolabi, H. O., Ayandele, J. K., &amp; Olaoye, D. D. (2020). A systematic review of structural equation model (SEM). </w:t>
      </w:r>
      <w:r w:rsidRPr="0FA9DDF5">
        <w:rPr>
          <w:rFonts w:ascii="Aptos" w:eastAsia="Aptos" w:hAnsi="Aptos" w:cs="Aptos"/>
          <w:i/>
          <w:iCs/>
        </w:rPr>
        <w:t>Open Journal of Educational Development</w:t>
      </w:r>
      <w:r w:rsidRPr="0FA9DDF5">
        <w:rPr>
          <w:rFonts w:ascii="Aptos" w:eastAsia="Aptos" w:hAnsi="Aptos" w:cs="Aptos"/>
        </w:rPr>
        <w:t xml:space="preserve"> (ISSN: 2734-2050), 1(2), 27-39. </w:t>
      </w:r>
      <w:hyperlink r:id="rId54">
        <w:r w:rsidRPr="0FA9DDF5">
          <w:rPr>
            <w:rStyle w:val="Hyperlink"/>
            <w:rFonts w:ascii="Aptos" w:eastAsia="Aptos" w:hAnsi="Aptos" w:cs="Aptos"/>
          </w:rPr>
          <w:t>https://doi.org/10.52417/ojed.v1i2.163</w:t>
        </w:r>
      </w:hyperlink>
      <w:r w:rsidRPr="0FA9DDF5">
        <w:rPr>
          <w:rFonts w:ascii="Aptos" w:eastAsia="Aptos" w:hAnsi="Aptos" w:cs="Aptos"/>
        </w:rPr>
        <w:t xml:space="preserve"> </w:t>
      </w:r>
    </w:p>
    <w:p w14:paraId="1538EBB9" w14:textId="5F14A62D" w:rsidR="770752C3" w:rsidRDefault="770752C3" w:rsidP="0FA9DDF5">
      <w:pPr>
        <w:spacing w:before="240" w:after="240"/>
        <w:rPr>
          <w:rFonts w:ascii="Aptos" w:eastAsia="Aptos" w:hAnsi="Aptos" w:cs="Aptos"/>
        </w:rPr>
      </w:pPr>
      <w:r w:rsidRPr="0FA9DDF5">
        <w:rPr>
          <w:rFonts w:ascii="Aptos" w:eastAsia="Aptos" w:hAnsi="Aptos" w:cs="Aptos"/>
        </w:rPr>
        <w:lastRenderedPageBreak/>
        <w:t xml:space="preserve">Ospina, S. M., Esteve, M., &amp; Lee, S. (2018). Assessing qualitative studies in public administration research. </w:t>
      </w:r>
      <w:r w:rsidRPr="0FA9DDF5">
        <w:rPr>
          <w:rFonts w:ascii="Aptos" w:eastAsia="Aptos" w:hAnsi="Aptos" w:cs="Aptos"/>
          <w:i/>
          <w:iCs/>
        </w:rPr>
        <w:t>Public Administration Review</w:t>
      </w:r>
      <w:r w:rsidRPr="0FA9DDF5">
        <w:rPr>
          <w:rFonts w:ascii="Aptos" w:eastAsia="Aptos" w:hAnsi="Aptos" w:cs="Aptos"/>
        </w:rPr>
        <w:t xml:space="preserve">, 78(4), 593-605. </w:t>
      </w:r>
      <w:hyperlink r:id="rId55">
        <w:r w:rsidRPr="0FA9DDF5">
          <w:rPr>
            <w:rStyle w:val="Hyperlink"/>
            <w:rFonts w:ascii="Aptos" w:eastAsia="Aptos" w:hAnsi="Aptos" w:cs="Aptos"/>
          </w:rPr>
          <w:t>https://doi.org/10.1111/puar.12837</w:t>
        </w:r>
      </w:hyperlink>
      <w:r w:rsidRPr="0FA9DDF5">
        <w:rPr>
          <w:rFonts w:ascii="Aptos" w:eastAsia="Aptos" w:hAnsi="Aptos" w:cs="Aptos"/>
        </w:rPr>
        <w:t xml:space="preserve"> </w:t>
      </w:r>
    </w:p>
    <w:p w14:paraId="0CB08F6B" w14:textId="316CEBD3" w:rsidR="03F05929" w:rsidRDefault="03428131" w:rsidP="0FA9DDF5">
      <w:pPr>
        <w:spacing w:before="240" w:after="240"/>
        <w:rPr>
          <w:rFonts w:ascii="Aptos" w:eastAsia="Aptos" w:hAnsi="Aptos" w:cs="Aptos"/>
        </w:rPr>
      </w:pPr>
      <w:r w:rsidRPr="0FA9DDF5">
        <w:rPr>
          <w:rFonts w:ascii="Aptos" w:eastAsia="Aptos" w:hAnsi="Aptos" w:cs="Aptos"/>
        </w:rPr>
        <w:t>Peacock, W. G., Van Zandt, S., Zhang, Y., &amp; Highfield, W. E. (2014). Inequities in long-term housing recovery after disasters.</w:t>
      </w:r>
      <w:r w:rsidRPr="0FA9DDF5">
        <w:rPr>
          <w:rFonts w:ascii="Aptos" w:eastAsia="Aptos" w:hAnsi="Aptos" w:cs="Aptos"/>
          <w:i/>
          <w:iCs/>
        </w:rPr>
        <w:t xml:space="preserve"> Journal of the American Planning Association</w:t>
      </w:r>
      <w:r w:rsidRPr="0FA9DDF5">
        <w:rPr>
          <w:rFonts w:ascii="Aptos" w:eastAsia="Aptos" w:hAnsi="Aptos" w:cs="Aptos"/>
        </w:rPr>
        <w:t>, 80(4), 356-371.</w:t>
      </w:r>
      <w:r w:rsidR="1E8EFA12" w:rsidRPr="0FA9DDF5">
        <w:rPr>
          <w:rFonts w:ascii="Aptos" w:eastAsia="Aptos" w:hAnsi="Aptos" w:cs="Aptos"/>
        </w:rPr>
        <w:t xml:space="preserve"> </w:t>
      </w:r>
      <w:hyperlink r:id="rId56">
        <w:r w:rsidR="1E8EFA12" w:rsidRPr="0FA9DDF5">
          <w:rPr>
            <w:rStyle w:val="Hyperlink"/>
            <w:rFonts w:ascii="Aptos" w:eastAsia="Aptos" w:hAnsi="Aptos" w:cs="Aptos"/>
          </w:rPr>
          <w:t>https://doi.org/10.1080/01944363.2014.980440</w:t>
        </w:r>
      </w:hyperlink>
      <w:r w:rsidR="1E8EFA12" w:rsidRPr="0FA9DDF5">
        <w:rPr>
          <w:rFonts w:ascii="Aptos" w:eastAsia="Aptos" w:hAnsi="Aptos" w:cs="Aptos"/>
        </w:rPr>
        <w:t xml:space="preserve"> </w:t>
      </w:r>
    </w:p>
    <w:p w14:paraId="7ADF96AD" w14:textId="0FCFAE18" w:rsidR="55AEB0D7" w:rsidRDefault="55AEB0D7" w:rsidP="0FA9DDF5">
      <w:pPr>
        <w:spacing w:before="240" w:after="240"/>
        <w:rPr>
          <w:rFonts w:ascii="Aptos" w:eastAsia="Aptos" w:hAnsi="Aptos" w:cs="Aptos"/>
          <w:color w:val="000000" w:themeColor="text1"/>
        </w:rPr>
      </w:pPr>
      <w:r w:rsidRPr="0FA9DDF5">
        <w:rPr>
          <w:rFonts w:ascii="Aptos" w:eastAsia="Aptos" w:hAnsi="Aptos" w:cs="Aptos"/>
          <w:color w:val="000000" w:themeColor="text1"/>
        </w:rPr>
        <w:t xml:space="preserve">Rosas, E., Roberts, P. S., Lauland, A., Gutierrez, I. A., &amp; Nuñez-Neto, B. (2021). Assessing the impact of municipal government capacity on recovery from Hurricane Maria in Puerto Rico. </w:t>
      </w:r>
      <w:r w:rsidRPr="0FA9DDF5">
        <w:rPr>
          <w:rFonts w:ascii="Aptos" w:eastAsia="Aptos" w:hAnsi="Aptos" w:cs="Aptos"/>
          <w:i/>
          <w:iCs/>
          <w:color w:val="000000" w:themeColor="text1"/>
        </w:rPr>
        <w:t>International Journal of Disaster Risk Reduction</w:t>
      </w:r>
      <w:r w:rsidRPr="0FA9DDF5">
        <w:rPr>
          <w:rFonts w:ascii="Aptos" w:eastAsia="Aptos" w:hAnsi="Aptos" w:cs="Aptos"/>
          <w:color w:val="000000" w:themeColor="text1"/>
        </w:rPr>
        <w:t xml:space="preserve">, 61, 102340. </w:t>
      </w:r>
      <w:hyperlink r:id="rId57">
        <w:r w:rsidRPr="0FA9DDF5">
          <w:rPr>
            <w:rStyle w:val="Hyperlink"/>
            <w:rFonts w:ascii="Aptos" w:eastAsia="Aptos" w:hAnsi="Aptos" w:cs="Aptos"/>
          </w:rPr>
          <w:t>https://doi.org/10.1016/j.ijdrr.2021.102340</w:t>
        </w:r>
      </w:hyperlink>
      <w:r w:rsidRPr="0FA9DDF5">
        <w:rPr>
          <w:rFonts w:ascii="Aptos" w:eastAsia="Aptos" w:hAnsi="Aptos" w:cs="Aptos"/>
          <w:color w:val="000000" w:themeColor="text1"/>
        </w:rPr>
        <w:t xml:space="preserve"> </w:t>
      </w:r>
    </w:p>
    <w:p w14:paraId="226170E0" w14:textId="412CC81A" w:rsidR="75E6D308" w:rsidRDefault="75E6D308" w:rsidP="0FA9DDF5">
      <w:pPr>
        <w:spacing w:before="240" w:after="240"/>
        <w:rPr>
          <w:rFonts w:ascii="Aptos" w:eastAsia="Aptos" w:hAnsi="Aptos" w:cs="Aptos"/>
          <w:color w:val="000000" w:themeColor="text1"/>
        </w:rPr>
      </w:pPr>
      <w:r w:rsidRPr="0FA9DDF5">
        <w:rPr>
          <w:rFonts w:ascii="Aptos" w:eastAsia="Aptos" w:hAnsi="Aptos" w:cs="Aptos"/>
          <w:color w:val="000000" w:themeColor="text1"/>
        </w:rPr>
        <w:t xml:space="preserve">Rouhanizadeh, B., Kermanshachi, S., &amp; Nipa, T. J. (2020). Exploratory analysis of barriers to effective post-disaster recovery. </w:t>
      </w:r>
      <w:r w:rsidRPr="0FA9DDF5">
        <w:rPr>
          <w:rFonts w:ascii="Aptos" w:eastAsia="Aptos" w:hAnsi="Aptos" w:cs="Aptos"/>
          <w:i/>
          <w:iCs/>
          <w:color w:val="000000" w:themeColor="text1"/>
        </w:rPr>
        <w:t>International Journal of Disaster Risk Reduction</w:t>
      </w:r>
      <w:r w:rsidRPr="0FA9DDF5">
        <w:rPr>
          <w:rFonts w:ascii="Aptos" w:eastAsia="Aptos" w:hAnsi="Aptos" w:cs="Aptos"/>
          <w:color w:val="000000" w:themeColor="text1"/>
        </w:rPr>
        <w:t xml:space="preserve">, 50, 101735. </w:t>
      </w:r>
      <w:hyperlink r:id="rId58">
        <w:r w:rsidRPr="0FA9DDF5">
          <w:rPr>
            <w:rStyle w:val="Hyperlink"/>
            <w:rFonts w:ascii="Aptos" w:eastAsia="Aptos" w:hAnsi="Aptos" w:cs="Aptos"/>
          </w:rPr>
          <w:t>https://doi.org/10.1016/j.ijdrr.2020.101735</w:t>
        </w:r>
      </w:hyperlink>
      <w:r w:rsidRPr="0FA9DDF5">
        <w:rPr>
          <w:rFonts w:ascii="Aptos" w:eastAsia="Aptos" w:hAnsi="Aptos" w:cs="Aptos"/>
          <w:color w:val="000000" w:themeColor="text1"/>
        </w:rPr>
        <w:t xml:space="preserve"> </w:t>
      </w:r>
    </w:p>
    <w:p w14:paraId="7986E5C4" w14:textId="7DF4C00B" w:rsidR="7201BF5F" w:rsidRDefault="7201BF5F" w:rsidP="0FA9DDF5">
      <w:pPr>
        <w:spacing w:before="240" w:after="240"/>
        <w:rPr>
          <w:rFonts w:ascii="Aptos" w:eastAsia="Aptos" w:hAnsi="Aptos" w:cs="Aptos"/>
          <w:color w:val="000000" w:themeColor="text1"/>
        </w:rPr>
      </w:pPr>
      <w:r w:rsidRPr="0FA9DDF5">
        <w:rPr>
          <w:rFonts w:ascii="Aptos" w:eastAsia="Aptos" w:hAnsi="Aptos" w:cs="Aptos"/>
          <w:color w:val="000000" w:themeColor="text1"/>
        </w:rPr>
        <w:t xml:space="preserve">Rouhanizadeh, B., Kermanshachi, S., &amp; Safapour, E. (2022). An investigation of causal relationships among barriers that delay post-hurricane recovery of human communities. </w:t>
      </w:r>
      <w:r w:rsidRPr="0FA9DDF5">
        <w:rPr>
          <w:rFonts w:ascii="Aptos" w:eastAsia="Aptos" w:hAnsi="Aptos" w:cs="Aptos"/>
          <w:i/>
          <w:iCs/>
          <w:color w:val="000000" w:themeColor="text1"/>
        </w:rPr>
        <w:t>International Journal of Disaster Risk Reduction</w:t>
      </w:r>
      <w:r w:rsidRPr="0FA9DDF5">
        <w:rPr>
          <w:rFonts w:ascii="Aptos" w:eastAsia="Aptos" w:hAnsi="Aptos" w:cs="Aptos"/>
          <w:color w:val="000000" w:themeColor="text1"/>
        </w:rPr>
        <w:t xml:space="preserve">, 67, 102666. </w:t>
      </w:r>
      <w:hyperlink r:id="rId59">
        <w:r w:rsidRPr="0FA9DDF5">
          <w:rPr>
            <w:rStyle w:val="Hyperlink"/>
            <w:rFonts w:ascii="Aptos" w:eastAsia="Aptos" w:hAnsi="Aptos" w:cs="Aptos"/>
          </w:rPr>
          <w:t>https://doi.org/10.1016/j.ijdrr.2021.102666</w:t>
        </w:r>
      </w:hyperlink>
      <w:r w:rsidRPr="0FA9DDF5">
        <w:rPr>
          <w:rFonts w:ascii="Aptos" w:eastAsia="Aptos" w:hAnsi="Aptos" w:cs="Aptos"/>
          <w:color w:val="000000" w:themeColor="text1"/>
        </w:rPr>
        <w:t xml:space="preserve"> </w:t>
      </w:r>
    </w:p>
    <w:p w14:paraId="229B6915" w14:textId="271D32E4" w:rsidR="03F05929" w:rsidRDefault="4EB7A08D" w:rsidP="0FA9DDF5">
      <w:pPr>
        <w:spacing w:before="240" w:after="240"/>
        <w:rPr>
          <w:rFonts w:ascii="Aptos" w:eastAsia="Aptos" w:hAnsi="Aptos" w:cs="Aptos"/>
        </w:rPr>
      </w:pPr>
      <w:r w:rsidRPr="5A746606">
        <w:rPr>
          <w:rFonts w:ascii="Aptos" w:eastAsia="Aptos" w:hAnsi="Aptos" w:cs="Aptos"/>
          <w:color w:val="000000" w:themeColor="text1"/>
        </w:rPr>
        <w:t xml:space="preserve">Safapour, E., Kermanshachi, S., &amp; Pamidimukkala, A. (2021). Post-disaster recovery in urban and rural communities: Challenges and strategies. </w:t>
      </w:r>
      <w:r w:rsidRPr="5A746606">
        <w:rPr>
          <w:rFonts w:ascii="Aptos" w:eastAsia="Aptos" w:hAnsi="Aptos" w:cs="Aptos"/>
          <w:i/>
          <w:iCs/>
          <w:color w:val="000000" w:themeColor="text1"/>
        </w:rPr>
        <w:t>International Journal of Disaster Risk Reduction</w:t>
      </w:r>
      <w:r w:rsidRPr="5A746606">
        <w:rPr>
          <w:rFonts w:ascii="Aptos" w:eastAsia="Aptos" w:hAnsi="Aptos" w:cs="Aptos"/>
          <w:color w:val="000000" w:themeColor="text1"/>
        </w:rPr>
        <w:t>, 64, 102535.</w:t>
      </w:r>
      <w:r w:rsidR="2F6D7C99" w:rsidRPr="5A746606">
        <w:rPr>
          <w:rFonts w:ascii="Aptos" w:eastAsia="Aptos" w:hAnsi="Aptos" w:cs="Aptos"/>
          <w:color w:val="000000" w:themeColor="text1"/>
        </w:rPr>
        <w:t xml:space="preserve"> </w:t>
      </w:r>
      <w:hyperlink r:id="rId60">
        <w:r w:rsidR="1616F3C9" w:rsidRPr="5A746606">
          <w:rPr>
            <w:rStyle w:val="Hyperlink"/>
            <w:rFonts w:ascii="Aptos" w:eastAsia="Aptos" w:hAnsi="Aptos" w:cs="Aptos"/>
          </w:rPr>
          <w:t>https://doi.org/10.1016/j.ijdrr.2021.102535</w:t>
        </w:r>
      </w:hyperlink>
      <w:r w:rsidR="1616F3C9" w:rsidRPr="5A746606">
        <w:rPr>
          <w:rFonts w:ascii="Aptos" w:eastAsia="Aptos" w:hAnsi="Aptos" w:cs="Aptos"/>
          <w:color w:val="000000" w:themeColor="text1"/>
        </w:rPr>
        <w:t xml:space="preserve"> </w:t>
      </w:r>
    </w:p>
    <w:p w14:paraId="64F336DA" w14:textId="531D7023" w:rsidR="2D7BBCF0" w:rsidRDefault="2D7BBCF0" w:rsidP="5A746606">
      <w:pPr>
        <w:spacing w:before="240" w:after="240"/>
        <w:rPr>
          <w:rFonts w:ascii="Aptos" w:eastAsia="Aptos" w:hAnsi="Aptos" w:cs="Aptos"/>
          <w:color w:val="000000" w:themeColor="text1"/>
        </w:rPr>
      </w:pPr>
      <w:r w:rsidRPr="5A746606">
        <w:rPr>
          <w:rFonts w:ascii="Aptos" w:eastAsia="Aptos" w:hAnsi="Aptos" w:cs="Aptos"/>
          <w:color w:val="000000" w:themeColor="text1"/>
        </w:rPr>
        <w:t xml:space="preserve">Santos, J., Yip, C., Thekdi, S., &amp; Pagsuyoin, S. (2020). Workforce/Population, Economy, Infrastructure, Geography, Hierarchy, and Time (WEIGHT): reflections on the plural dimensions of disaster resilience. </w:t>
      </w:r>
      <w:r w:rsidRPr="5A746606">
        <w:rPr>
          <w:rFonts w:ascii="Aptos" w:eastAsia="Aptos" w:hAnsi="Aptos" w:cs="Aptos"/>
          <w:i/>
          <w:iCs/>
          <w:color w:val="000000" w:themeColor="text1"/>
        </w:rPr>
        <w:t>Risk Analysis</w:t>
      </w:r>
      <w:r w:rsidRPr="5A746606">
        <w:rPr>
          <w:rFonts w:ascii="Aptos" w:eastAsia="Aptos" w:hAnsi="Aptos" w:cs="Aptos"/>
          <w:color w:val="000000" w:themeColor="text1"/>
        </w:rPr>
        <w:t xml:space="preserve">, 40(1), 43-67. </w:t>
      </w:r>
      <w:hyperlink r:id="rId61">
        <w:r w:rsidRPr="5A746606">
          <w:rPr>
            <w:rStyle w:val="Hyperlink"/>
            <w:rFonts w:ascii="Aptos" w:eastAsia="Aptos" w:hAnsi="Aptos" w:cs="Aptos"/>
          </w:rPr>
          <w:t>https://doi.org/10.1111/risa.13186</w:t>
        </w:r>
      </w:hyperlink>
      <w:r w:rsidRPr="5A746606">
        <w:rPr>
          <w:rFonts w:ascii="Aptos" w:eastAsia="Aptos" w:hAnsi="Aptos" w:cs="Aptos"/>
          <w:color w:val="000000" w:themeColor="text1"/>
        </w:rPr>
        <w:t xml:space="preserve"> </w:t>
      </w:r>
    </w:p>
    <w:p w14:paraId="45599A9C" w14:textId="5E180723" w:rsidR="7FFB3C47" w:rsidRDefault="7FFB3C47" w:rsidP="5A746606">
      <w:pPr>
        <w:spacing w:before="240" w:after="240"/>
        <w:rPr>
          <w:rFonts w:ascii="Aptos" w:eastAsia="Aptos" w:hAnsi="Aptos" w:cs="Aptos"/>
          <w:color w:val="000000" w:themeColor="text1"/>
        </w:rPr>
      </w:pPr>
      <w:r w:rsidRPr="5A746606">
        <w:rPr>
          <w:rFonts w:ascii="Aptos" w:eastAsia="Aptos" w:hAnsi="Aptos" w:cs="Aptos"/>
          <w:color w:val="000000" w:themeColor="text1"/>
        </w:rPr>
        <w:t xml:space="preserve">Saputra, N., Putera, R. E., Zetra, A., &amp; Azwar, A. (2025). Innovative capacity building strategies for sustainable disaster risk management: a systematic review, conceptual framework, and future research directions. In E3S web of conferences (Vol. 604, p. 03004). EDP Sciences. </w:t>
      </w:r>
      <w:hyperlink r:id="rId62">
        <w:r w:rsidRPr="5A746606">
          <w:rPr>
            <w:rStyle w:val="Hyperlink"/>
            <w:rFonts w:ascii="Aptos" w:eastAsia="Aptos" w:hAnsi="Aptos" w:cs="Aptos"/>
          </w:rPr>
          <w:t>https://doi.org/10.1051/e3sconf/202560403004</w:t>
        </w:r>
      </w:hyperlink>
      <w:r w:rsidRPr="5A746606">
        <w:rPr>
          <w:rFonts w:ascii="Aptos" w:eastAsia="Aptos" w:hAnsi="Aptos" w:cs="Aptos"/>
          <w:color w:val="000000" w:themeColor="text1"/>
        </w:rPr>
        <w:t xml:space="preserve"> </w:t>
      </w:r>
    </w:p>
    <w:p w14:paraId="2C5D3AF5" w14:textId="3A6F2692" w:rsidR="36096DDA" w:rsidRDefault="36096DDA" w:rsidP="5A746606">
      <w:pPr>
        <w:spacing w:before="240" w:after="240"/>
        <w:rPr>
          <w:rFonts w:ascii="Aptos" w:eastAsia="Aptos" w:hAnsi="Aptos" w:cs="Aptos"/>
          <w:color w:val="000000" w:themeColor="text1"/>
        </w:rPr>
      </w:pPr>
      <w:r w:rsidRPr="5A746606">
        <w:rPr>
          <w:rFonts w:ascii="Aptos" w:eastAsia="Aptos" w:hAnsi="Aptos" w:cs="Aptos"/>
          <w:color w:val="000000" w:themeColor="text1"/>
        </w:rPr>
        <w:t xml:space="preserve">Shan, H., An, Y., Bai, H., &amp; Shi, J. (2025). Intergovernmental collaborative governance of emergency response logistics: an evolutionary game study. </w:t>
      </w:r>
      <w:r w:rsidRPr="5A746606">
        <w:rPr>
          <w:rFonts w:ascii="Aptos" w:eastAsia="Aptos" w:hAnsi="Aptos" w:cs="Aptos"/>
          <w:i/>
          <w:iCs/>
          <w:color w:val="000000" w:themeColor="text1"/>
        </w:rPr>
        <w:t>Natural Hazards</w:t>
      </w:r>
      <w:r w:rsidRPr="5A746606">
        <w:rPr>
          <w:rFonts w:ascii="Aptos" w:eastAsia="Aptos" w:hAnsi="Aptos" w:cs="Aptos"/>
          <w:color w:val="000000" w:themeColor="text1"/>
        </w:rPr>
        <w:t xml:space="preserve">, 121(1), 705-730. </w:t>
      </w:r>
      <w:hyperlink r:id="rId63">
        <w:r w:rsidRPr="5A746606">
          <w:rPr>
            <w:rStyle w:val="Hyperlink"/>
            <w:rFonts w:ascii="Aptos" w:eastAsia="Aptos" w:hAnsi="Aptos" w:cs="Aptos"/>
          </w:rPr>
          <w:t>https://doi.org/10.1007/s11069-024-06785-w</w:t>
        </w:r>
      </w:hyperlink>
    </w:p>
    <w:p w14:paraId="37CE4F27" w14:textId="4CF34864" w:rsidR="03F05929" w:rsidRDefault="500E4CF7" w:rsidP="0FA9DDF5">
      <w:pPr>
        <w:spacing w:before="240" w:after="240"/>
        <w:rPr>
          <w:rFonts w:ascii="Aptos" w:eastAsia="Aptos" w:hAnsi="Aptos" w:cs="Aptos"/>
          <w:color w:val="000000" w:themeColor="text1"/>
        </w:rPr>
      </w:pPr>
      <w:r w:rsidRPr="3C60AEA8">
        <w:rPr>
          <w:rFonts w:ascii="Aptos" w:eastAsia="Aptos" w:hAnsi="Aptos" w:cs="Aptos"/>
          <w:color w:val="000000" w:themeColor="text1"/>
        </w:rPr>
        <w:lastRenderedPageBreak/>
        <w:t>Sharma, S., Swayne, D. A., &amp; Obimbo, C. (2015). Automating the smoothing of time series data.</w:t>
      </w:r>
      <w:r w:rsidRPr="3C60AEA8">
        <w:rPr>
          <w:rFonts w:ascii="Aptos" w:eastAsia="Aptos" w:hAnsi="Aptos" w:cs="Aptos"/>
          <w:i/>
          <w:iCs/>
          <w:color w:val="000000" w:themeColor="text1"/>
        </w:rPr>
        <w:t xml:space="preserve"> Journal of Environmental &amp; Analytical Toxicology</w:t>
      </w:r>
      <w:r w:rsidRPr="3C60AEA8">
        <w:rPr>
          <w:rFonts w:ascii="Aptos" w:eastAsia="Aptos" w:hAnsi="Aptos" w:cs="Aptos"/>
          <w:color w:val="000000" w:themeColor="text1"/>
        </w:rPr>
        <w:t xml:space="preserve">, 5(5), 304. </w:t>
      </w:r>
      <w:hyperlink r:id="rId64">
        <w:r w:rsidR="16968622" w:rsidRPr="3C60AEA8">
          <w:rPr>
            <w:rStyle w:val="Hyperlink"/>
            <w:rFonts w:ascii="Aptos" w:eastAsia="Aptos" w:hAnsi="Aptos" w:cs="Aptos"/>
          </w:rPr>
          <w:t>https://doi.org/10.4172/2161-0525.1000304</w:t>
        </w:r>
      </w:hyperlink>
      <w:r w:rsidR="16968622" w:rsidRPr="3C60AEA8">
        <w:rPr>
          <w:rFonts w:ascii="Aptos" w:eastAsia="Aptos" w:hAnsi="Aptos" w:cs="Aptos"/>
          <w:color w:val="000000" w:themeColor="text1"/>
        </w:rPr>
        <w:t xml:space="preserve"> </w:t>
      </w:r>
    </w:p>
    <w:p w14:paraId="18735639" w14:textId="67C02752" w:rsidR="472F79D1" w:rsidRDefault="472F79D1" w:rsidP="3C60AEA8">
      <w:pPr>
        <w:spacing w:before="240" w:after="240"/>
        <w:rPr>
          <w:rFonts w:ascii="Aptos" w:eastAsia="Aptos" w:hAnsi="Aptos" w:cs="Aptos"/>
          <w:color w:val="000000" w:themeColor="text1"/>
        </w:rPr>
      </w:pPr>
      <w:r w:rsidRPr="3C60AEA8">
        <w:rPr>
          <w:rFonts w:ascii="Aptos" w:eastAsia="Aptos" w:hAnsi="Aptos" w:cs="Aptos"/>
          <w:color w:val="000000" w:themeColor="text1"/>
        </w:rPr>
        <w:t xml:space="preserve">Tierney, K. (2012). Disaster governance: Social, political, and economic dimensions. </w:t>
      </w:r>
      <w:r w:rsidRPr="3C60AEA8">
        <w:rPr>
          <w:rFonts w:ascii="Aptos" w:eastAsia="Aptos" w:hAnsi="Aptos" w:cs="Aptos"/>
          <w:i/>
          <w:iCs/>
          <w:color w:val="000000" w:themeColor="text1"/>
        </w:rPr>
        <w:t>Annual review of Environment and Resources</w:t>
      </w:r>
      <w:r w:rsidRPr="3C60AEA8">
        <w:rPr>
          <w:rFonts w:ascii="Aptos" w:eastAsia="Aptos" w:hAnsi="Aptos" w:cs="Aptos"/>
          <w:color w:val="000000" w:themeColor="text1"/>
        </w:rPr>
        <w:t xml:space="preserve">, 37, 341-363. </w:t>
      </w:r>
      <w:hyperlink r:id="rId65">
        <w:r w:rsidRPr="3C60AEA8">
          <w:rPr>
            <w:rStyle w:val="Hyperlink"/>
            <w:rFonts w:ascii="Aptos" w:eastAsia="Aptos" w:hAnsi="Aptos" w:cs="Aptos"/>
          </w:rPr>
          <w:t>https://doi.org/10.1146/annurev-environ-020911-095618</w:t>
        </w:r>
      </w:hyperlink>
      <w:r w:rsidRPr="3C60AEA8">
        <w:rPr>
          <w:rFonts w:ascii="Aptos" w:eastAsia="Aptos" w:hAnsi="Aptos" w:cs="Aptos"/>
          <w:color w:val="000000" w:themeColor="text1"/>
        </w:rPr>
        <w:t xml:space="preserve"> </w:t>
      </w:r>
    </w:p>
    <w:p w14:paraId="31958991" w14:textId="617B90DF" w:rsidR="03F05929" w:rsidRDefault="26D73D1D" w:rsidP="0FA9DDF5">
      <w:pPr>
        <w:spacing w:before="240" w:after="240"/>
        <w:rPr>
          <w:rFonts w:ascii="Aptos" w:eastAsia="Aptos" w:hAnsi="Aptos" w:cs="Aptos"/>
          <w:color w:val="000000" w:themeColor="text1"/>
        </w:rPr>
      </w:pPr>
      <w:r w:rsidRPr="0FA9DDF5">
        <w:rPr>
          <w:rFonts w:ascii="Aptos" w:eastAsia="Aptos" w:hAnsi="Aptos" w:cs="Aptos"/>
          <w:color w:val="000000" w:themeColor="text1"/>
        </w:rPr>
        <w:t xml:space="preserve">U.S. Bureau of Labor Statistics. (2026). </w:t>
      </w:r>
      <w:r w:rsidRPr="0FA9DDF5">
        <w:rPr>
          <w:rFonts w:ascii="Aptos" w:eastAsia="Aptos" w:hAnsi="Aptos" w:cs="Aptos"/>
          <w:i/>
          <w:iCs/>
          <w:color w:val="000000" w:themeColor="text1"/>
        </w:rPr>
        <w:t>Quarterly Census of Employment and Wages</w:t>
      </w:r>
      <w:r w:rsidRPr="0FA9DDF5">
        <w:rPr>
          <w:rFonts w:ascii="Aptos" w:eastAsia="Aptos" w:hAnsi="Aptos" w:cs="Aptos"/>
          <w:color w:val="000000" w:themeColor="text1"/>
        </w:rPr>
        <w:t xml:space="preserve">. </w:t>
      </w:r>
      <w:hyperlink r:id="rId66">
        <w:r w:rsidRPr="0FA9DDF5">
          <w:rPr>
            <w:rStyle w:val="Hyperlink"/>
            <w:rFonts w:ascii="Aptos" w:eastAsia="Aptos" w:hAnsi="Aptos" w:cs="Aptos"/>
          </w:rPr>
          <w:t>https://www.bls.gov/cew/downloadable-data-files.htm</w:t>
        </w:r>
      </w:hyperlink>
      <w:r w:rsidRPr="0FA9DDF5">
        <w:rPr>
          <w:rFonts w:ascii="Aptos" w:eastAsia="Aptos" w:hAnsi="Aptos" w:cs="Aptos"/>
          <w:color w:val="000000" w:themeColor="text1"/>
        </w:rPr>
        <w:t xml:space="preserve"> </w:t>
      </w:r>
    </w:p>
    <w:p w14:paraId="26A6CB55" w14:textId="3CBC1827" w:rsidR="03F05929" w:rsidRDefault="4A7E6DAB" w:rsidP="0FA9DDF5">
      <w:pPr>
        <w:spacing w:before="240" w:after="240"/>
        <w:rPr>
          <w:rFonts w:ascii="Aptos" w:eastAsia="Aptos" w:hAnsi="Aptos" w:cs="Aptos"/>
          <w:color w:val="000000" w:themeColor="text1"/>
        </w:rPr>
      </w:pPr>
      <w:r w:rsidRPr="0FA9DDF5">
        <w:rPr>
          <w:rFonts w:ascii="Aptos" w:eastAsia="Aptos" w:hAnsi="Aptos" w:cs="Aptos"/>
          <w:color w:val="000000" w:themeColor="text1"/>
        </w:rPr>
        <w:t xml:space="preserve">U.S. Department of Housing and Urban Development. (2026). </w:t>
      </w:r>
      <w:r w:rsidRPr="0FA9DDF5">
        <w:rPr>
          <w:rFonts w:ascii="Aptos" w:eastAsia="Aptos" w:hAnsi="Aptos" w:cs="Aptos"/>
          <w:i/>
          <w:iCs/>
          <w:color w:val="000000" w:themeColor="text1"/>
        </w:rPr>
        <w:t>CDBG-DR Reports</w:t>
      </w:r>
      <w:r w:rsidRPr="0FA9DDF5">
        <w:rPr>
          <w:rFonts w:ascii="Aptos" w:eastAsia="Aptos" w:hAnsi="Aptos" w:cs="Aptos"/>
          <w:color w:val="000000" w:themeColor="text1"/>
        </w:rPr>
        <w:t xml:space="preserve">. </w:t>
      </w:r>
      <w:hyperlink r:id="rId67">
        <w:r w:rsidRPr="0FA9DDF5">
          <w:rPr>
            <w:rStyle w:val="Hyperlink"/>
            <w:rFonts w:ascii="Aptos" w:eastAsia="Aptos" w:hAnsi="Aptos" w:cs="Aptos"/>
          </w:rPr>
          <w:t>https://www.hud.gov/hud-partners/community-cdbg-dr-reports</w:t>
        </w:r>
      </w:hyperlink>
      <w:r w:rsidRPr="0FA9DDF5">
        <w:rPr>
          <w:rFonts w:ascii="Aptos" w:eastAsia="Aptos" w:hAnsi="Aptos" w:cs="Aptos"/>
          <w:color w:val="000000" w:themeColor="text1"/>
        </w:rPr>
        <w:t xml:space="preserve"> </w:t>
      </w:r>
    </w:p>
    <w:p w14:paraId="119FE752" w14:textId="5CFD4FCF" w:rsidR="03F05929" w:rsidRDefault="2F6D7C99" w:rsidP="0FA9DDF5">
      <w:pPr>
        <w:spacing w:before="240" w:after="240"/>
        <w:rPr>
          <w:rFonts w:ascii="Aptos" w:eastAsia="Aptos" w:hAnsi="Aptos" w:cs="Aptos"/>
          <w:color w:val="000000" w:themeColor="text1"/>
        </w:rPr>
      </w:pPr>
      <w:r w:rsidRPr="0FA9DDF5">
        <w:rPr>
          <w:rFonts w:ascii="Aptos" w:eastAsia="Aptos" w:hAnsi="Aptos" w:cs="Aptos"/>
          <w:color w:val="000000" w:themeColor="text1"/>
        </w:rPr>
        <w:t xml:space="preserve">U.S. Government Accountability Office. (2019). </w:t>
      </w:r>
      <w:r w:rsidRPr="0FA9DDF5">
        <w:rPr>
          <w:rFonts w:ascii="Aptos" w:eastAsia="Aptos" w:hAnsi="Aptos" w:cs="Aptos"/>
          <w:i/>
          <w:iCs/>
          <w:color w:val="000000" w:themeColor="text1"/>
        </w:rPr>
        <w:t xml:space="preserve">Disaster recovery: Better monitoring of </w:t>
      </w:r>
      <w:r w:rsidR="079DE352" w:rsidRPr="0FA9DDF5">
        <w:rPr>
          <w:rFonts w:ascii="Aptos" w:eastAsia="Aptos" w:hAnsi="Aptos" w:cs="Aptos"/>
          <w:i/>
          <w:iCs/>
          <w:color w:val="000000" w:themeColor="text1"/>
        </w:rPr>
        <w:t>block</w:t>
      </w:r>
      <w:r w:rsidRPr="0FA9DDF5">
        <w:rPr>
          <w:rFonts w:ascii="Aptos" w:eastAsia="Aptos" w:hAnsi="Aptos" w:cs="Aptos"/>
          <w:i/>
          <w:iCs/>
          <w:color w:val="000000" w:themeColor="text1"/>
        </w:rPr>
        <w:t xml:space="preserve"> grant</w:t>
      </w:r>
      <w:r w:rsidR="4EC03A8B" w:rsidRPr="0FA9DDF5">
        <w:rPr>
          <w:rFonts w:ascii="Aptos" w:eastAsia="Aptos" w:hAnsi="Aptos" w:cs="Aptos"/>
          <w:i/>
          <w:iCs/>
          <w:color w:val="000000" w:themeColor="text1"/>
        </w:rPr>
        <w:t xml:space="preserve"> fund</w:t>
      </w:r>
      <w:r w:rsidRPr="0FA9DDF5">
        <w:rPr>
          <w:rFonts w:ascii="Aptos" w:eastAsia="Aptos" w:hAnsi="Aptos" w:cs="Aptos"/>
          <w:i/>
          <w:iCs/>
          <w:color w:val="000000" w:themeColor="text1"/>
        </w:rPr>
        <w:t>s is needed</w:t>
      </w:r>
      <w:r w:rsidRPr="0FA9DDF5">
        <w:rPr>
          <w:rFonts w:ascii="Aptos" w:eastAsia="Aptos" w:hAnsi="Aptos" w:cs="Aptos"/>
          <w:color w:val="000000" w:themeColor="text1"/>
        </w:rPr>
        <w:t xml:space="preserve">. </w:t>
      </w:r>
      <w:hyperlink r:id="rId68">
        <w:r w:rsidR="03D21B6C" w:rsidRPr="0FA9DDF5">
          <w:rPr>
            <w:rStyle w:val="Hyperlink"/>
            <w:rFonts w:ascii="Aptos" w:eastAsia="Aptos" w:hAnsi="Aptos" w:cs="Aptos"/>
          </w:rPr>
          <w:t>https://www.gao.gov/products/gao-19-232</w:t>
        </w:r>
      </w:hyperlink>
      <w:r w:rsidR="03D21B6C" w:rsidRPr="0FA9DDF5">
        <w:rPr>
          <w:rFonts w:ascii="Aptos" w:eastAsia="Aptos" w:hAnsi="Aptos" w:cs="Aptos"/>
          <w:color w:val="000000" w:themeColor="text1"/>
        </w:rPr>
        <w:t xml:space="preserve"> </w:t>
      </w:r>
    </w:p>
    <w:p w14:paraId="15B5561F" w14:textId="5C6FA7A3" w:rsidR="2C1EA897" w:rsidRDefault="2C1EA897" w:rsidP="0FA9DDF5">
      <w:pPr>
        <w:spacing w:before="240" w:after="240"/>
        <w:rPr>
          <w:rFonts w:ascii="Aptos" w:eastAsia="Aptos" w:hAnsi="Aptos" w:cs="Aptos"/>
          <w:color w:val="000000" w:themeColor="text1"/>
        </w:rPr>
      </w:pPr>
      <w:r w:rsidRPr="0FA9DDF5">
        <w:rPr>
          <w:rFonts w:ascii="Aptos" w:eastAsia="Aptos" w:hAnsi="Aptos" w:cs="Aptos"/>
          <w:color w:val="000000" w:themeColor="text1"/>
        </w:rPr>
        <w:t xml:space="preserve">U.S. Government Accountability Office. (2026). </w:t>
      </w:r>
      <w:r w:rsidRPr="0FA9DDF5">
        <w:rPr>
          <w:rFonts w:ascii="Aptos" w:eastAsia="Aptos" w:hAnsi="Aptos" w:cs="Aptos"/>
          <w:i/>
          <w:iCs/>
          <w:color w:val="000000" w:themeColor="text1"/>
        </w:rPr>
        <w:t>Reports &amp; Testimonies</w:t>
      </w:r>
      <w:r w:rsidRPr="0FA9DDF5">
        <w:rPr>
          <w:rFonts w:ascii="Aptos" w:eastAsia="Aptos" w:hAnsi="Aptos" w:cs="Aptos"/>
          <w:color w:val="000000" w:themeColor="text1"/>
        </w:rPr>
        <w:t xml:space="preserve">. </w:t>
      </w:r>
      <w:hyperlink r:id="rId69">
        <w:r w:rsidRPr="0FA9DDF5">
          <w:rPr>
            <w:rStyle w:val="Hyperlink"/>
            <w:rFonts w:ascii="Aptos" w:eastAsia="Aptos" w:hAnsi="Aptos" w:cs="Aptos"/>
          </w:rPr>
          <w:t>https://www.gao.gov/reports-testimonies</w:t>
        </w:r>
      </w:hyperlink>
      <w:r w:rsidRPr="0FA9DDF5">
        <w:rPr>
          <w:rFonts w:ascii="Aptos" w:eastAsia="Aptos" w:hAnsi="Aptos" w:cs="Aptos"/>
          <w:color w:val="000000" w:themeColor="text1"/>
        </w:rPr>
        <w:t xml:space="preserve"> </w:t>
      </w:r>
    </w:p>
    <w:p w14:paraId="6E24A720" w14:textId="623AD42B" w:rsidR="659E44A7" w:rsidRDefault="659E44A7" w:rsidP="0FA9DDF5">
      <w:pPr>
        <w:spacing w:before="240" w:after="240"/>
        <w:rPr>
          <w:rFonts w:ascii="Aptos" w:eastAsia="Aptos" w:hAnsi="Aptos" w:cs="Aptos"/>
          <w:color w:val="000000" w:themeColor="text1"/>
        </w:rPr>
      </w:pPr>
      <w:r w:rsidRPr="5A746606">
        <w:rPr>
          <w:rFonts w:ascii="Aptos" w:eastAsia="Aptos" w:hAnsi="Aptos" w:cs="Aptos"/>
          <w:color w:val="000000" w:themeColor="text1"/>
        </w:rPr>
        <w:t xml:space="preserve">Van Niekerk, D., Nemakonde, L.D., Kruger, L., Forbes-Genade, K. (2018). Community-Based Disaster Risk Management. In: Rodríguez, H., Donner, W., Trainor, J. (eds) </w:t>
      </w:r>
      <w:r w:rsidRPr="5A746606">
        <w:rPr>
          <w:rFonts w:ascii="Aptos" w:eastAsia="Aptos" w:hAnsi="Aptos" w:cs="Aptos"/>
          <w:i/>
          <w:iCs/>
          <w:color w:val="000000" w:themeColor="text1"/>
        </w:rPr>
        <w:t>Handbook of Disaster Research</w:t>
      </w:r>
      <w:r w:rsidRPr="5A746606">
        <w:rPr>
          <w:rFonts w:ascii="Aptos" w:eastAsia="Aptos" w:hAnsi="Aptos" w:cs="Aptos"/>
          <w:color w:val="000000" w:themeColor="text1"/>
        </w:rPr>
        <w:t xml:space="preserve">. Handbooks of Sociology and Social Research. Springer, Cham. </w:t>
      </w:r>
      <w:hyperlink r:id="rId70">
        <w:r w:rsidRPr="5A746606">
          <w:rPr>
            <w:rStyle w:val="Hyperlink"/>
            <w:rFonts w:ascii="Aptos" w:eastAsia="Aptos" w:hAnsi="Aptos" w:cs="Aptos"/>
          </w:rPr>
          <w:t>https://doi.org/10.1007/978-3-319-63254-4_20</w:t>
        </w:r>
      </w:hyperlink>
      <w:r w:rsidRPr="5A746606">
        <w:rPr>
          <w:rFonts w:ascii="Aptos" w:eastAsia="Aptos" w:hAnsi="Aptos" w:cs="Aptos"/>
          <w:color w:val="000000" w:themeColor="text1"/>
        </w:rPr>
        <w:t xml:space="preserve"> </w:t>
      </w:r>
    </w:p>
    <w:p w14:paraId="76C9A4B4" w14:textId="7A0EA386" w:rsidR="1D461BFC" w:rsidRDefault="1D461BFC" w:rsidP="5A746606">
      <w:pPr>
        <w:spacing w:before="240" w:after="240"/>
        <w:rPr>
          <w:rFonts w:ascii="Aptos" w:eastAsia="Aptos" w:hAnsi="Aptos" w:cs="Aptos"/>
          <w:color w:val="000000" w:themeColor="text1"/>
        </w:rPr>
      </w:pPr>
      <w:r w:rsidRPr="5A746606">
        <w:rPr>
          <w:rFonts w:ascii="Aptos" w:eastAsia="Aptos" w:hAnsi="Aptos" w:cs="Aptos"/>
          <w:color w:val="000000" w:themeColor="text1"/>
        </w:rPr>
        <w:t xml:space="preserve">Yabe, T., Rao, P. S. C., Ukkusuri, S. V., &amp; Cutter, S. L. (2022). Toward data-driven, dynamical complex systems approaches to disaster resilience. </w:t>
      </w:r>
      <w:r w:rsidRPr="5A746606">
        <w:rPr>
          <w:rFonts w:ascii="Aptos" w:eastAsia="Aptos" w:hAnsi="Aptos" w:cs="Aptos"/>
          <w:i/>
          <w:iCs/>
          <w:color w:val="000000" w:themeColor="text1"/>
        </w:rPr>
        <w:t>Proceedings of the National Academy of Sciences</w:t>
      </w:r>
      <w:r w:rsidRPr="5A746606">
        <w:rPr>
          <w:rFonts w:ascii="Aptos" w:eastAsia="Aptos" w:hAnsi="Aptos" w:cs="Aptos"/>
          <w:color w:val="000000" w:themeColor="text1"/>
        </w:rPr>
        <w:t xml:space="preserve">, 119(8), e2111997119. </w:t>
      </w:r>
      <w:hyperlink r:id="rId71">
        <w:r w:rsidRPr="5A746606">
          <w:rPr>
            <w:rStyle w:val="Hyperlink"/>
            <w:rFonts w:ascii="Aptos" w:eastAsia="Aptos" w:hAnsi="Aptos" w:cs="Aptos"/>
          </w:rPr>
          <w:t>https://doi.org/10.1073/pnas.2111997119</w:t>
        </w:r>
      </w:hyperlink>
      <w:r w:rsidRPr="5A746606">
        <w:rPr>
          <w:rFonts w:ascii="Aptos" w:eastAsia="Aptos" w:hAnsi="Aptos" w:cs="Aptos"/>
          <w:color w:val="000000" w:themeColor="text1"/>
        </w:rPr>
        <w:t xml:space="preserve"> </w:t>
      </w:r>
    </w:p>
    <w:p w14:paraId="23015CD1" w14:textId="555E9F37" w:rsidR="1ABF9F65" w:rsidRDefault="1ABF9F65" w:rsidP="0FA9DDF5">
      <w:pPr>
        <w:spacing w:before="240" w:after="240"/>
        <w:rPr>
          <w:rFonts w:ascii="Aptos" w:eastAsia="Aptos" w:hAnsi="Aptos" w:cs="Aptos"/>
          <w:color w:val="000000" w:themeColor="text1"/>
        </w:rPr>
      </w:pPr>
      <w:r w:rsidRPr="5A746606">
        <w:rPr>
          <w:rFonts w:ascii="Aptos" w:eastAsia="Aptos" w:hAnsi="Aptos" w:cs="Aptos"/>
          <w:color w:val="000000" w:themeColor="text1"/>
        </w:rPr>
        <w:t xml:space="preserve">Yabe, T., Tsubouchi, K., Fujiwara, N., Sekimoto, Y., &amp; Ukkusuri, S. V. (2019). Universality of population recovery patterns after disasters. arXiv preprint arXiv:1905.01804. </w:t>
      </w:r>
      <w:hyperlink r:id="rId72">
        <w:r w:rsidRPr="5A746606">
          <w:rPr>
            <w:rStyle w:val="Hyperlink"/>
            <w:rFonts w:ascii="Aptos" w:eastAsia="Aptos" w:hAnsi="Aptos" w:cs="Aptos"/>
          </w:rPr>
          <w:t>https://doi.org/10.48550/arXiv.1905.01804</w:t>
        </w:r>
      </w:hyperlink>
      <w:r w:rsidRPr="5A746606">
        <w:rPr>
          <w:rFonts w:ascii="Aptos" w:eastAsia="Aptos" w:hAnsi="Aptos" w:cs="Aptos"/>
          <w:color w:val="000000" w:themeColor="text1"/>
        </w:rPr>
        <w:t xml:space="preserve"> </w:t>
      </w:r>
    </w:p>
    <w:p w14:paraId="2FFA958E" w14:textId="62BA02DA" w:rsidR="5C23CE89" w:rsidRDefault="5C23CE89" w:rsidP="5A746606">
      <w:pPr>
        <w:spacing w:before="240" w:after="240"/>
        <w:rPr>
          <w:rFonts w:ascii="Aptos" w:eastAsia="Aptos" w:hAnsi="Aptos" w:cs="Aptos"/>
          <w:color w:val="000000" w:themeColor="text1"/>
        </w:rPr>
      </w:pPr>
      <w:r w:rsidRPr="5A746606">
        <w:rPr>
          <w:rFonts w:ascii="Aptos" w:eastAsia="Aptos" w:hAnsi="Aptos" w:cs="Aptos"/>
          <w:color w:val="000000" w:themeColor="text1"/>
        </w:rPr>
        <w:t xml:space="preserve">Zhang, Z., Kapucu, N., Li, R., &amp; Lu, Y. (2026). Sustainable disaster response and recovery networks: a longitudinal study. </w:t>
      </w:r>
      <w:r w:rsidRPr="5A746606">
        <w:rPr>
          <w:rFonts w:ascii="Aptos" w:eastAsia="Aptos" w:hAnsi="Aptos" w:cs="Aptos"/>
          <w:i/>
          <w:iCs/>
          <w:color w:val="000000" w:themeColor="text1"/>
        </w:rPr>
        <w:t>Natural Hazards</w:t>
      </w:r>
      <w:r w:rsidRPr="5A746606">
        <w:rPr>
          <w:rFonts w:ascii="Aptos" w:eastAsia="Aptos" w:hAnsi="Aptos" w:cs="Aptos"/>
          <w:color w:val="000000" w:themeColor="text1"/>
        </w:rPr>
        <w:t xml:space="preserve">, 122(1), 4. </w:t>
      </w:r>
      <w:hyperlink r:id="rId73">
        <w:r w:rsidRPr="5A746606">
          <w:rPr>
            <w:rStyle w:val="Hyperlink"/>
            <w:rFonts w:ascii="Aptos" w:eastAsia="Aptos" w:hAnsi="Aptos" w:cs="Aptos"/>
          </w:rPr>
          <w:t>https://doi.org/10.1007/s11069-025-07741-y</w:t>
        </w:r>
      </w:hyperlink>
      <w:r w:rsidRPr="5A746606">
        <w:rPr>
          <w:rFonts w:ascii="Aptos" w:eastAsia="Aptos" w:hAnsi="Aptos" w:cs="Aptos"/>
          <w:color w:val="000000" w:themeColor="text1"/>
        </w:rPr>
        <w:t xml:space="preserve"> </w:t>
      </w:r>
    </w:p>
    <w:p w14:paraId="1F2DC8F4" w14:textId="412AC0FF" w:rsidR="301C637A" w:rsidRDefault="301C637A" w:rsidP="0FA9DDF5">
      <w:pPr>
        <w:spacing w:before="240" w:after="240"/>
        <w:rPr>
          <w:rFonts w:ascii="Aptos" w:eastAsia="Aptos" w:hAnsi="Aptos" w:cs="Aptos"/>
          <w:color w:val="000000" w:themeColor="text1"/>
        </w:rPr>
      </w:pPr>
      <w:r w:rsidRPr="0FA9DDF5">
        <w:rPr>
          <w:rFonts w:ascii="Aptos" w:eastAsia="Aptos" w:hAnsi="Aptos" w:cs="Aptos"/>
          <w:color w:val="000000" w:themeColor="text1"/>
        </w:rPr>
        <w:t xml:space="preserve">Zheng, B. Q., &amp; Bentler, P. M. (2025). Enhancing model fit evaluation in SEM: Practical tips for optimizing chi-square tests. </w:t>
      </w:r>
      <w:r w:rsidRPr="0FA9DDF5">
        <w:rPr>
          <w:rFonts w:ascii="Aptos" w:eastAsia="Aptos" w:hAnsi="Aptos" w:cs="Aptos"/>
          <w:i/>
          <w:iCs/>
          <w:color w:val="000000" w:themeColor="text1"/>
        </w:rPr>
        <w:t>Structural Equation Modeling: A Multidisciplinary Journal</w:t>
      </w:r>
      <w:r w:rsidRPr="0FA9DDF5">
        <w:rPr>
          <w:rFonts w:ascii="Aptos" w:eastAsia="Aptos" w:hAnsi="Aptos" w:cs="Aptos"/>
          <w:color w:val="000000" w:themeColor="text1"/>
        </w:rPr>
        <w:t xml:space="preserve">, 32(1), 136-141. </w:t>
      </w:r>
      <w:hyperlink r:id="rId74">
        <w:r w:rsidRPr="0FA9DDF5">
          <w:rPr>
            <w:rStyle w:val="Hyperlink"/>
            <w:rFonts w:ascii="Aptos" w:eastAsia="Aptos" w:hAnsi="Aptos" w:cs="Aptos"/>
          </w:rPr>
          <w:t>https://doi.org/10.1080/10705511.2024.2354802</w:t>
        </w:r>
      </w:hyperlink>
      <w:r w:rsidRPr="0FA9DDF5">
        <w:rPr>
          <w:rFonts w:ascii="Aptos" w:eastAsia="Aptos" w:hAnsi="Aptos" w:cs="Aptos"/>
          <w:color w:val="000000" w:themeColor="text1"/>
        </w:rPr>
        <w:t xml:space="preserve"> </w:t>
      </w:r>
    </w:p>
    <w:p w14:paraId="79D4AFBB" w14:textId="07B24CC8" w:rsidR="4563BE08" w:rsidRDefault="4563BE08">
      <w:r>
        <w:lastRenderedPageBreak/>
        <w:br w:type="page"/>
      </w:r>
    </w:p>
    <w:p w14:paraId="74742B91" w14:textId="3CC70C00" w:rsidR="4B1203EA" w:rsidRDefault="4B1203EA" w:rsidP="4563BE08">
      <w:pPr>
        <w:spacing w:before="240" w:after="240"/>
        <w:rPr>
          <w:rFonts w:ascii="Aptos" w:eastAsia="Aptos" w:hAnsi="Aptos" w:cs="Aptos"/>
          <w:b/>
          <w:bCs/>
        </w:rPr>
      </w:pPr>
      <w:r w:rsidRPr="4563BE08">
        <w:rPr>
          <w:rFonts w:ascii="Aptos" w:eastAsia="Aptos" w:hAnsi="Aptos" w:cs="Aptos"/>
          <w:b/>
          <w:bCs/>
        </w:rPr>
        <w:lastRenderedPageBreak/>
        <w:t>Appendix</w:t>
      </w:r>
    </w:p>
    <w:p w14:paraId="407A2107" w14:textId="5BF357F8" w:rsidR="0A16E870" w:rsidRDefault="1642E004" w:rsidP="41D8F452">
      <w:pPr>
        <w:spacing w:before="240" w:after="240"/>
        <w:rPr>
          <w:rFonts w:ascii="Aptos" w:eastAsia="Aptos" w:hAnsi="Aptos" w:cs="Aptos"/>
        </w:rPr>
      </w:pPr>
      <w:r>
        <w:rPr/>
        <w:t>Figure A1. Indicator-level predicted relationship plots between programs per staff and recovery timeliness.</w:t>
      </w:r>
    </w:p>
    <w:p w14:paraId="1EDA2213" w14:textId="771ADCBB" w:rsidR="0A16E870" w:rsidRDefault="67761F7B" w:rsidP="41D8F452">
      <w:pPr>
        <w:spacing w:before="240" w:after="240"/>
        <w:rPr>
          <w:rFonts w:ascii="Aptos" w:eastAsia="Aptos" w:hAnsi="Aptos" w:cs="Aptos"/>
        </w:rPr>
      </w:pPr>
      <w:r>
        <w:rPr/>
        <w:t>Figure A2. Indicator-level predicted relationship plots between programs per staff and recovery performance.</w:t>
      </w:r>
    </w:p>
    <w:p w14:paraId="69592EDB" w14:textId="1B6650A7" w:rsidR="0A16E870" w:rsidRDefault="05654E49" w:rsidP="41D8F452">
      <w:pPr>
        <w:spacing w:before="240" w:after="240"/>
        <w:rPr>
          <w:rFonts w:ascii="Aptos" w:eastAsia="Aptos" w:hAnsi="Aptos" w:cs="Aptos"/>
        </w:rPr>
      </w:pPr>
      <w:r>
        <w:rPr/>
        <w:t>Figure A3. Indicator-level predicted relationship plots between disasters per staff and recovery performance.</w:t>
      </w:r>
    </w:p>
    <w:p w14:paraId="28B148FD" w14:textId="37DE2F89" w:rsidR="0A16E870" w:rsidRDefault="1D8D8D59" w:rsidP="41D8F452">
      <w:pPr>
        <w:spacing w:before="240" w:after="240"/>
        <w:rPr>
          <w:rFonts w:ascii="Aptos" w:eastAsia="Aptos" w:hAnsi="Aptos" w:cs="Aptos"/>
        </w:rPr>
      </w:pPr>
      <w:r>
        <w:rPr/>
        <w:t>Figure A4. Indicator-level predicted relationship plots between average payroll and recovery performance.</w:t>
      </w:r>
    </w:p>
    <w:p w14:paraId="336F3A6F" w14:textId="19AB2B84" w:rsidR="0A16E870" w:rsidRDefault="409AA265" w:rsidP="4563BE08">
      <w:pPr>
        <w:spacing w:before="240" w:after="240"/>
      </w:pPr>
      <w:r>
        <w:rPr>
          <w:noProof/>
        </w:rPr>
        <w:lastRenderedPageBreak/>
        <w:drawing>
          <wp:inline distT="0" distB="0" distL="0" distR="0" wp14:anchorId="33240F9B" wp14:editId="53E5338C">
            <wp:extent cx="5943600" cy="3371850"/>
            <wp:effectExtent l="0" t="0" r="0" b="0"/>
            <wp:docPr id="101759631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7596313" name="Picture 1017596313"/>
                    <pic:cNvPicPr/>
                  </pic:nvPicPr>
                  <pic:blipFill>
                    <a:blip r:embed="rId79">
                      <a:extLst>
                        <a:ext uri="{28A0092B-C50C-407E-A947-70E740481C1C}">
                          <a14:useLocalDpi xmlns:a14="http://schemas.microsoft.com/office/drawing/2010/main"/>
                        </a:ext>
                      </a:extLst>
                    </a:blip>
                    <a:stretch>
                      <a:fillRect/>
                    </a:stretch>
                  </pic:blipFill>
                  <pic:spPr>
                    <a:xfrm>
                      <a:off x="0" y="0"/>
                      <a:ext cx="5943600" cy="3371850"/>
                    </a:xfrm>
                    <a:prstGeom prst="rect">
                      <a:avLst/>
                    </a:prstGeom>
                  </pic:spPr>
                </pic:pic>
              </a:graphicData>
            </a:graphic>
          </wp:inline>
        </w:drawing>
      </w:r>
    </w:p>
    <w:p w14:paraId="1F872E58" w14:textId="45BD3624" w:rsidR="33C28426" w:rsidRDefault="33C28426" w:rsidP="41D8F452">
      <w:pPr>
        <w:spacing w:before="240" w:after="240"/>
        <w:rPr>
          <w:rFonts w:ascii="Aptos" w:eastAsia="Aptos" w:hAnsi="Aptos" w:cs="Aptos"/>
        </w:rPr>
      </w:pPr>
      <w:r>
        <w:rPr>
          <w:rFonts w:ascii="Aptos" w:hAnsi="Aptos"/>
          <w:b/>
        </w:rPr>
        <w:t>Figure A5. Indicator-level predicted relationship plots between average employment and recovery performance.</w:t>
      </w:r>
    </w:p>
    <w:sectPr w:rsidR="33C28426">
      <w:headerReference w:type="default" r:id="rId80"/>
      <w:footerReference w:type="default" r:id="rId8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6290C0" w14:textId="77777777" w:rsidR="00DB1DBA" w:rsidRDefault="00DB1DBA">
      <w:pPr>
        <w:spacing w:after="0" w:line="240" w:lineRule="auto"/>
      </w:pPr>
      <w:r>
        <w:separator/>
      </w:r>
    </w:p>
  </w:endnote>
  <w:endnote w:type="continuationSeparator" w:id="0">
    <w:p w14:paraId="0C2467C9" w14:textId="77777777" w:rsidR="00DB1DBA" w:rsidRDefault="00DB1DB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onsolas">
    <w:panose1 w:val="020B0609020204030204"/>
    <w:charset w:val="00"/>
    <w:family w:val="modern"/>
    <w:pitch w:val="fixed"/>
    <w:sig w:usb0="E10002FF" w:usb1="4000FCFF" w:usb2="00000009" w:usb3="00000000" w:csb0="0000019F" w:csb1="00000000"/>
  </w:font>
  <w:font w:name="Aptos Narrow">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120"/>
      <w:gridCol w:w="3120"/>
      <w:gridCol w:w="3120"/>
    </w:tblGrid>
    <w:tr w:rsidR="09DFBBFF" w14:paraId="0FD08511" w14:textId="77777777" w:rsidTr="09DFBBFF">
      <w:trPr>
        <w:trHeight w:val="300"/>
      </w:trPr>
      <w:tc>
        <w:tcPr>
          <w:tcW w:w="3120" w:type="dxa"/>
        </w:tcPr>
        <w:p w14:paraId="4EE056CC" w14:textId="2F7007DD" w:rsidR="09DFBBFF" w:rsidRDefault="09DFBBFF" w:rsidP="09DFBBFF">
          <w:pPr>
            <w:pStyle w:val="Header"/>
            <w:ind w:left="-115"/>
          </w:pPr>
        </w:p>
      </w:tc>
      <w:tc>
        <w:tcPr>
          <w:tcW w:w="3120" w:type="dxa"/>
        </w:tcPr>
        <w:p w14:paraId="16FA8868" w14:textId="13D249A6" w:rsidR="09DFBBFF" w:rsidRDefault="09DFBBFF" w:rsidP="09DFBBFF">
          <w:pPr>
            <w:pStyle w:val="Header"/>
            <w:jc w:val="center"/>
          </w:pPr>
          <w:r>
            <w:fldChar w:fldCharType="begin"/>
          </w:r>
          <w:r>
            <w:instrText>PAGE</w:instrText>
          </w:r>
          <w:r>
            <w:fldChar w:fldCharType="separate"/>
          </w:r>
          <w:r w:rsidR="00AD566B">
            <w:rPr>
              <w:noProof/>
            </w:rPr>
            <w:t>1</w:t>
          </w:r>
          <w:r>
            <w:fldChar w:fldCharType="end"/>
          </w:r>
        </w:p>
      </w:tc>
      <w:tc>
        <w:tcPr>
          <w:tcW w:w="3120" w:type="dxa"/>
        </w:tcPr>
        <w:p w14:paraId="0C1D2C47" w14:textId="495E0E24" w:rsidR="09DFBBFF" w:rsidRDefault="09DFBBFF" w:rsidP="09DFBBFF">
          <w:pPr>
            <w:pStyle w:val="Header"/>
            <w:ind w:right="-115"/>
            <w:jc w:val="right"/>
          </w:pPr>
        </w:p>
      </w:tc>
    </w:tr>
  </w:tbl>
  <w:p w14:paraId="33F794C6" w14:textId="7BAB56A0" w:rsidR="09DFBBFF" w:rsidRDefault="09DFBBFF" w:rsidP="09DFBBF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19F1CC" w14:textId="77777777" w:rsidR="00DB1DBA" w:rsidRDefault="00DB1DBA">
      <w:pPr>
        <w:spacing w:after="0" w:line="240" w:lineRule="auto"/>
      </w:pPr>
      <w:r>
        <w:separator/>
      </w:r>
    </w:p>
  </w:footnote>
  <w:footnote w:type="continuationSeparator" w:id="0">
    <w:p w14:paraId="4C2A13B1" w14:textId="77777777" w:rsidR="00DB1DBA" w:rsidRDefault="00DB1DB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120"/>
      <w:gridCol w:w="3120"/>
      <w:gridCol w:w="3120"/>
    </w:tblGrid>
    <w:tr w:rsidR="09DFBBFF" w14:paraId="7B07EB99" w14:textId="77777777" w:rsidTr="09DFBBFF">
      <w:trPr>
        <w:trHeight w:val="300"/>
      </w:trPr>
      <w:tc>
        <w:tcPr>
          <w:tcW w:w="3120" w:type="dxa"/>
        </w:tcPr>
        <w:p w14:paraId="7A5B44C9" w14:textId="1640BE2F" w:rsidR="09DFBBFF" w:rsidRDefault="09DFBBFF" w:rsidP="09DFBBFF">
          <w:pPr>
            <w:pStyle w:val="Header"/>
            <w:ind w:left="-115"/>
          </w:pPr>
        </w:p>
      </w:tc>
      <w:tc>
        <w:tcPr>
          <w:tcW w:w="3120" w:type="dxa"/>
        </w:tcPr>
        <w:p w14:paraId="515EDC0D" w14:textId="777953CF" w:rsidR="09DFBBFF" w:rsidRDefault="09DFBBFF" w:rsidP="09DFBBFF">
          <w:pPr>
            <w:pStyle w:val="Header"/>
            <w:jc w:val="center"/>
          </w:pPr>
        </w:p>
      </w:tc>
      <w:tc>
        <w:tcPr>
          <w:tcW w:w="3120" w:type="dxa"/>
        </w:tcPr>
        <w:p w14:paraId="647ADBD4" w14:textId="51F34A8B" w:rsidR="09DFBBFF" w:rsidRDefault="09DFBBFF" w:rsidP="09DFBBFF">
          <w:pPr>
            <w:pStyle w:val="Header"/>
            <w:ind w:right="-115"/>
            <w:jc w:val="right"/>
          </w:pPr>
        </w:p>
      </w:tc>
    </w:tr>
  </w:tbl>
  <w:p w14:paraId="07E9371F" w14:textId="2097CAFD" w:rsidR="09DFBBFF" w:rsidRDefault="09DFBBFF" w:rsidP="09DFBBFF">
    <w:pPr>
      <w:pStyle w:val="Header"/>
    </w:pPr>
  </w:p>
</w:hdr>
</file>

<file path=word/intelligence2.xml><?xml version="1.0" encoding="utf-8"?>
<int2:intelligence xmlns:int2="http://schemas.microsoft.com/office/intelligence/2020/intelligence" xmlns:oel="http://schemas.microsoft.com/office/2019/extlst">
  <int2:observations>
    <int2:textHash int2:hashCode="M6X/ef/b3R4Szw" int2:id="qu8K14G8">
      <int2:state int2:value="Rejected" int2:type="spell"/>
    </int2:textHash>
    <int2:textHash int2:hashCode="HRBwRebrATBcJ5" int2:id="DdFdG3CL">
      <int2:state int2:value="Rejected" int2:type="spell"/>
    </int2:textHash>
    <int2:textHash int2:hashCode="tp9ej4QlPYFUgM" int2:id="k94eYExD">
      <int2:state int2:value="Rejected" int2:type="spell"/>
    </int2:textHash>
    <int2:textHash int2:hashCode="M2I/DU6p6VURPX" int2:id="WZjev85g">
      <int2:state int2:value="Rejected" int2:type="spell"/>
    </int2:textHash>
    <int2:textHash int2:hashCode="phIwAgi+NJ3wi4" int2:id="1z49trbZ">
      <int2:state int2:value="Rejected" int2:type="spell"/>
    </int2:textHash>
    <int2:textHash int2:hashCode="E0Xf9f/bnDsCWL" int2:id="91xxSKzX">
      <int2:state int2:value="Rejected" int2:type="spell"/>
    </int2:textHash>
    <int2:textHash int2:hashCode="XNMub+1qW6Q+ul" int2:id="A4Mc2bHW">
      <int2:state int2:value="Rejected" int2:type="spell"/>
    </int2:textHash>
    <int2:textHash int2:hashCode="R+yZg5j5aTH65e" int2:id="xJCz6CeR">
      <int2:state int2:value="Rejected" int2:type="spell"/>
    </int2:textHash>
    <int2:textHash int2:hashCode="Soqfwx3BWkuHux" int2:id="ID3Ggobw">
      <int2:state int2:value="Rejected" int2:type="spell"/>
    </int2:textHash>
    <int2:textHash int2:hashCode="GsGnGQRU/tiaDb" int2:id="aOgwFN80">
      <int2:state int2:value="Rejected" int2:type="spell"/>
    </int2:textHash>
    <int2:textHash int2:hashCode="kglbESgR6OJZ6+" int2:id="7j3YVUqJ">
      <int2:state int2:value="Rejected" int2:type="spell"/>
    </int2:textHash>
    <int2:textHash int2:hashCode="yHqohfm4Wch26E" int2:id="pJJn8cZN">
      <int2:state int2:value="Rejected" int2:type="spell"/>
    </int2:textHash>
    <int2:textHash int2:hashCode="5/bJS9bPAVp48U" int2:id="hf1ivHXP">
      <int2:state int2:value="Rejected" int2:type="spell"/>
    </int2:textHash>
    <int2:textHash int2:hashCode="0ZZPEv8DiMyJfS" int2:id="DfRifA8u">
      <int2:state int2:value="Rejected" int2:type="spell"/>
    </int2:textHash>
    <int2:textHash int2:hashCode="pPvNfRmG8Ea78b" int2:id="DUNMleMX">
      <int2:state int2:value="Rejected" int2:type="spell"/>
    </int2:textHash>
    <int2:textHash int2:hashCode="arzUhDr2z5X7vk" int2:id="9V0LZ3rS">
      <int2:state int2:value="Rejected" int2:type="spell"/>
    </int2:textHash>
    <int2:textHash int2:hashCode="WiQkUTLllm54Rt" int2:id="VvEwK7Ho">
      <int2:state int2:value="Rejected" int2:type="spell"/>
    </int2:textHash>
    <int2:textHash int2:hashCode="3DnKHRmnKTirzk" int2:id="MQS321kb">
      <int2:state int2:value="Rejected" int2:type="spell"/>
    </int2:textHash>
    <int2:bookmark int2:bookmarkName="_Int_If1BoQ0c" int2:invalidationBookmarkName="" int2:hashCode="8L8rEIgb3PCc3R" int2:id="et7JGV4r">
      <int2:state int2:value="Rejected" int2:type="gram"/>
    </int2:bookmark>
    <int2:bookmark int2:bookmarkName="_Int_waG1q66u" int2:invalidationBookmarkName="" int2:hashCode="xXXz44PfXIH7BX" int2:id="GODIv0YS">
      <int2:state int2:value="Rejected" int2:type="gram"/>
    </int2:bookmark>
    <int2:bookmark int2:bookmarkName="_Int_PfrYz7Lj" int2:invalidationBookmarkName="" int2:hashCode="RhSMw7TSs6yAc/" int2:id="vnqwhxEM">
      <int2:state int2:value="Rejected" int2:type="gram"/>
    </int2:bookmark>
    <int2:bookmark int2:bookmarkName="_Int_lEP6XXNm" int2:invalidationBookmarkName="" int2:hashCode="6KwxCWAoDwtvI+" int2:id="K7rRJjHZ">
      <int2:state int2:value="Rejected" int2:type="style"/>
    </int2:bookmark>
    <int2:bookmark int2:bookmarkName="_Int_QX67CJjt" int2:invalidationBookmarkName="" int2:hashCode="fHEeilkTjtcnIz" int2:id="9ldPJ3Or">
      <int2:state int2:value="Rejected" int2:type="style"/>
    </int2:bookmark>
    <int2:bookmark int2:bookmarkName="_Int_WOJNLVAj" int2:invalidationBookmarkName="" int2:hashCode="rxDvIN2QYLvurQ" int2:id="Xyg0qiat">
      <int2:state int2:value="Rejected" int2:type="gram"/>
    </int2:bookmark>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DC2A7"/>
    <w:multiLevelType w:val="hybridMultilevel"/>
    <w:tmpl w:val="6AFE035A"/>
    <w:lvl w:ilvl="0" w:tplc="CBA4FE40">
      <w:start w:val="1"/>
      <w:numFmt w:val="bullet"/>
      <w:lvlText w:val=""/>
      <w:lvlJc w:val="left"/>
      <w:pPr>
        <w:ind w:left="720" w:hanging="360"/>
      </w:pPr>
      <w:rPr>
        <w:rFonts w:ascii="Symbol" w:hAnsi="Symbol" w:hint="default"/>
      </w:rPr>
    </w:lvl>
    <w:lvl w:ilvl="1" w:tplc="9A38F902">
      <w:start w:val="1"/>
      <w:numFmt w:val="bullet"/>
      <w:lvlText w:val="o"/>
      <w:lvlJc w:val="left"/>
      <w:pPr>
        <w:ind w:left="1440" w:hanging="360"/>
      </w:pPr>
      <w:rPr>
        <w:rFonts w:ascii="Courier New" w:hAnsi="Courier New" w:hint="default"/>
      </w:rPr>
    </w:lvl>
    <w:lvl w:ilvl="2" w:tplc="82F8EAE2">
      <w:start w:val="1"/>
      <w:numFmt w:val="bullet"/>
      <w:lvlText w:val=""/>
      <w:lvlJc w:val="left"/>
      <w:pPr>
        <w:ind w:left="2160" w:hanging="360"/>
      </w:pPr>
      <w:rPr>
        <w:rFonts w:ascii="Wingdings" w:hAnsi="Wingdings" w:hint="default"/>
      </w:rPr>
    </w:lvl>
    <w:lvl w:ilvl="3" w:tplc="8524289A">
      <w:start w:val="1"/>
      <w:numFmt w:val="bullet"/>
      <w:lvlText w:val=""/>
      <w:lvlJc w:val="left"/>
      <w:pPr>
        <w:ind w:left="2880" w:hanging="360"/>
      </w:pPr>
      <w:rPr>
        <w:rFonts w:ascii="Symbol" w:hAnsi="Symbol" w:hint="default"/>
      </w:rPr>
    </w:lvl>
    <w:lvl w:ilvl="4" w:tplc="F806A080">
      <w:start w:val="1"/>
      <w:numFmt w:val="bullet"/>
      <w:lvlText w:val="o"/>
      <w:lvlJc w:val="left"/>
      <w:pPr>
        <w:ind w:left="3600" w:hanging="360"/>
      </w:pPr>
      <w:rPr>
        <w:rFonts w:ascii="Courier New" w:hAnsi="Courier New" w:hint="default"/>
      </w:rPr>
    </w:lvl>
    <w:lvl w:ilvl="5" w:tplc="E3BC3836">
      <w:start w:val="1"/>
      <w:numFmt w:val="bullet"/>
      <w:lvlText w:val=""/>
      <w:lvlJc w:val="left"/>
      <w:pPr>
        <w:ind w:left="4320" w:hanging="360"/>
      </w:pPr>
      <w:rPr>
        <w:rFonts w:ascii="Wingdings" w:hAnsi="Wingdings" w:hint="default"/>
      </w:rPr>
    </w:lvl>
    <w:lvl w:ilvl="6" w:tplc="E1F0337A">
      <w:start w:val="1"/>
      <w:numFmt w:val="bullet"/>
      <w:lvlText w:val=""/>
      <w:lvlJc w:val="left"/>
      <w:pPr>
        <w:ind w:left="5040" w:hanging="360"/>
      </w:pPr>
      <w:rPr>
        <w:rFonts w:ascii="Symbol" w:hAnsi="Symbol" w:hint="default"/>
      </w:rPr>
    </w:lvl>
    <w:lvl w:ilvl="7" w:tplc="2B5CD8D8">
      <w:start w:val="1"/>
      <w:numFmt w:val="bullet"/>
      <w:lvlText w:val="o"/>
      <w:lvlJc w:val="left"/>
      <w:pPr>
        <w:ind w:left="5760" w:hanging="360"/>
      </w:pPr>
      <w:rPr>
        <w:rFonts w:ascii="Courier New" w:hAnsi="Courier New" w:hint="default"/>
      </w:rPr>
    </w:lvl>
    <w:lvl w:ilvl="8" w:tplc="624ECD78">
      <w:start w:val="1"/>
      <w:numFmt w:val="bullet"/>
      <w:lvlText w:val=""/>
      <w:lvlJc w:val="left"/>
      <w:pPr>
        <w:ind w:left="6480" w:hanging="360"/>
      </w:pPr>
      <w:rPr>
        <w:rFonts w:ascii="Wingdings" w:hAnsi="Wingdings" w:hint="default"/>
      </w:rPr>
    </w:lvl>
  </w:abstractNum>
  <w:abstractNum w:abstractNumId="1" w15:restartNumberingAfterBreak="0">
    <w:nsid w:val="011A0223"/>
    <w:multiLevelType w:val="hybridMultilevel"/>
    <w:tmpl w:val="B2C2704A"/>
    <w:lvl w:ilvl="0" w:tplc="678CDD2A">
      <w:start w:val="1"/>
      <w:numFmt w:val="bullet"/>
      <w:lvlText w:val=""/>
      <w:lvlJc w:val="left"/>
      <w:pPr>
        <w:ind w:left="720" w:hanging="360"/>
      </w:pPr>
      <w:rPr>
        <w:rFonts w:ascii="Symbol" w:hAnsi="Symbol" w:hint="default"/>
      </w:rPr>
    </w:lvl>
    <w:lvl w:ilvl="1" w:tplc="2F9E20EE">
      <w:start w:val="1"/>
      <w:numFmt w:val="bullet"/>
      <w:lvlText w:val="o"/>
      <w:lvlJc w:val="left"/>
      <w:pPr>
        <w:ind w:left="1440" w:hanging="360"/>
      </w:pPr>
      <w:rPr>
        <w:rFonts w:ascii="Courier New" w:hAnsi="Courier New" w:hint="default"/>
      </w:rPr>
    </w:lvl>
    <w:lvl w:ilvl="2" w:tplc="A97A21B4">
      <w:start w:val="1"/>
      <w:numFmt w:val="bullet"/>
      <w:lvlText w:val=""/>
      <w:lvlJc w:val="left"/>
      <w:pPr>
        <w:ind w:left="2160" w:hanging="360"/>
      </w:pPr>
      <w:rPr>
        <w:rFonts w:ascii="Wingdings" w:hAnsi="Wingdings" w:hint="default"/>
      </w:rPr>
    </w:lvl>
    <w:lvl w:ilvl="3" w:tplc="69CEA16A">
      <w:start w:val="1"/>
      <w:numFmt w:val="bullet"/>
      <w:lvlText w:val=""/>
      <w:lvlJc w:val="left"/>
      <w:pPr>
        <w:ind w:left="2880" w:hanging="360"/>
      </w:pPr>
      <w:rPr>
        <w:rFonts w:ascii="Symbol" w:hAnsi="Symbol" w:hint="default"/>
      </w:rPr>
    </w:lvl>
    <w:lvl w:ilvl="4" w:tplc="E6109C9A">
      <w:start w:val="1"/>
      <w:numFmt w:val="bullet"/>
      <w:lvlText w:val="o"/>
      <w:lvlJc w:val="left"/>
      <w:pPr>
        <w:ind w:left="3600" w:hanging="360"/>
      </w:pPr>
      <w:rPr>
        <w:rFonts w:ascii="Courier New" w:hAnsi="Courier New" w:hint="default"/>
      </w:rPr>
    </w:lvl>
    <w:lvl w:ilvl="5" w:tplc="37E0FD9E">
      <w:start w:val="1"/>
      <w:numFmt w:val="bullet"/>
      <w:lvlText w:val=""/>
      <w:lvlJc w:val="left"/>
      <w:pPr>
        <w:ind w:left="4320" w:hanging="360"/>
      </w:pPr>
      <w:rPr>
        <w:rFonts w:ascii="Wingdings" w:hAnsi="Wingdings" w:hint="default"/>
      </w:rPr>
    </w:lvl>
    <w:lvl w:ilvl="6" w:tplc="5644F982">
      <w:start w:val="1"/>
      <w:numFmt w:val="bullet"/>
      <w:lvlText w:val=""/>
      <w:lvlJc w:val="left"/>
      <w:pPr>
        <w:ind w:left="5040" w:hanging="360"/>
      </w:pPr>
      <w:rPr>
        <w:rFonts w:ascii="Symbol" w:hAnsi="Symbol" w:hint="default"/>
      </w:rPr>
    </w:lvl>
    <w:lvl w:ilvl="7" w:tplc="73864280">
      <w:start w:val="1"/>
      <w:numFmt w:val="bullet"/>
      <w:lvlText w:val="o"/>
      <w:lvlJc w:val="left"/>
      <w:pPr>
        <w:ind w:left="5760" w:hanging="360"/>
      </w:pPr>
      <w:rPr>
        <w:rFonts w:ascii="Courier New" w:hAnsi="Courier New" w:hint="default"/>
      </w:rPr>
    </w:lvl>
    <w:lvl w:ilvl="8" w:tplc="8B42E9BC">
      <w:start w:val="1"/>
      <w:numFmt w:val="bullet"/>
      <w:lvlText w:val=""/>
      <w:lvlJc w:val="left"/>
      <w:pPr>
        <w:ind w:left="6480" w:hanging="360"/>
      </w:pPr>
      <w:rPr>
        <w:rFonts w:ascii="Wingdings" w:hAnsi="Wingdings" w:hint="default"/>
      </w:rPr>
    </w:lvl>
  </w:abstractNum>
  <w:abstractNum w:abstractNumId="2" w15:restartNumberingAfterBreak="0">
    <w:nsid w:val="02A36740"/>
    <w:multiLevelType w:val="hybridMultilevel"/>
    <w:tmpl w:val="E5825594"/>
    <w:lvl w:ilvl="0" w:tplc="A85A06EC">
      <w:start w:val="1"/>
      <w:numFmt w:val="bullet"/>
      <w:lvlText w:val=""/>
      <w:lvlJc w:val="left"/>
      <w:pPr>
        <w:ind w:left="720" w:hanging="360"/>
      </w:pPr>
      <w:rPr>
        <w:rFonts w:ascii="Symbol" w:hAnsi="Symbol" w:hint="default"/>
      </w:rPr>
    </w:lvl>
    <w:lvl w:ilvl="1" w:tplc="C7AA4836">
      <w:start w:val="1"/>
      <w:numFmt w:val="bullet"/>
      <w:lvlText w:val="o"/>
      <w:lvlJc w:val="left"/>
      <w:pPr>
        <w:ind w:left="1440" w:hanging="360"/>
      </w:pPr>
      <w:rPr>
        <w:rFonts w:ascii="Courier New" w:hAnsi="Courier New" w:hint="default"/>
      </w:rPr>
    </w:lvl>
    <w:lvl w:ilvl="2" w:tplc="C4C08690">
      <w:start w:val="1"/>
      <w:numFmt w:val="bullet"/>
      <w:lvlText w:val=""/>
      <w:lvlJc w:val="left"/>
      <w:pPr>
        <w:ind w:left="2160" w:hanging="360"/>
      </w:pPr>
      <w:rPr>
        <w:rFonts w:ascii="Wingdings" w:hAnsi="Wingdings" w:hint="default"/>
      </w:rPr>
    </w:lvl>
    <w:lvl w:ilvl="3" w:tplc="C4A20D1A">
      <w:start w:val="1"/>
      <w:numFmt w:val="bullet"/>
      <w:lvlText w:val=""/>
      <w:lvlJc w:val="left"/>
      <w:pPr>
        <w:ind w:left="2880" w:hanging="360"/>
      </w:pPr>
      <w:rPr>
        <w:rFonts w:ascii="Symbol" w:hAnsi="Symbol" w:hint="default"/>
      </w:rPr>
    </w:lvl>
    <w:lvl w:ilvl="4" w:tplc="1FB25A20">
      <w:start w:val="1"/>
      <w:numFmt w:val="bullet"/>
      <w:lvlText w:val="o"/>
      <w:lvlJc w:val="left"/>
      <w:pPr>
        <w:ind w:left="3600" w:hanging="360"/>
      </w:pPr>
      <w:rPr>
        <w:rFonts w:ascii="Courier New" w:hAnsi="Courier New" w:hint="default"/>
      </w:rPr>
    </w:lvl>
    <w:lvl w:ilvl="5" w:tplc="070A79BC">
      <w:start w:val="1"/>
      <w:numFmt w:val="bullet"/>
      <w:lvlText w:val=""/>
      <w:lvlJc w:val="left"/>
      <w:pPr>
        <w:ind w:left="4320" w:hanging="360"/>
      </w:pPr>
      <w:rPr>
        <w:rFonts w:ascii="Wingdings" w:hAnsi="Wingdings" w:hint="default"/>
      </w:rPr>
    </w:lvl>
    <w:lvl w:ilvl="6" w:tplc="A9361558">
      <w:start w:val="1"/>
      <w:numFmt w:val="bullet"/>
      <w:lvlText w:val=""/>
      <w:lvlJc w:val="left"/>
      <w:pPr>
        <w:ind w:left="5040" w:hanging="360"/>
      </w:pPr>
      <w:rPr>
        <w:rFonts w:ascii="Symbol" w:hAnsi="Symbol" w:hint="default"/>
      </w:rPr>
    </w:lvl>
    <w:lvl w:ilvl="7" w:tplc="1BE2FA94">
      <w:start w:val="1"/>
      <w:numFmt w:val="bullet"/>
      <w:lvlText w:val="o"/>
      <w:lvlJc w:val="left"/>
      <w:pPr>
        <w:ind w:left="5760" w:hanging="360"/>
      </w:pPr>
      <w:rPr>
        <w:rFonts w:ascii="Courier New" w:hAnsi="Courier New" w:hint="default"/>
      </w:rPr>
    </w:lvl>
    <w:lvl w:ilvl="8" w:tplc="987A0A2A">
      <w:start w:val="1"/>
      <w:numFmt w:val="bullet"/>
      <w:lvlText w:val=""/>
      <w:lvlJc w:val="left"/>
      <w:pPr>
        <w:ind w:left="6480" w:hanging="360"/>
      </w:pPr>
      <w:rPr>
        <w:rFonts w:ascii="Wingdings" w:hAnsi="Wingdings" w:hint="default"/>
      </w:rPr>
    </w:lvl>
  </w:abstractNum>
  <w:abstractNum w:abstractNumId="3" w15:restartNumberingAfterBreak="0">
    <w:nsid w:val="0313D59D"/>
    <w:multiLevelType w:val="hybridMultilevel"/>
    <w:tmpl w:val="BCB4BFA8"/>
    <w:lvl w:ilvl="0" w:tplc="0E8677D0">
      <w:start w:val="1"/>
      <w:numFmt w:val="bullet"/>
      <w:lvlText w:val=""/>
      <w:lvlJc w:val="left"/>
      <w:pPr>
        <w:ind w:left="720" w:hanging="360"/>
      </w:pPr>
      <w:rPr>
        <w:rFonts w:ascii="Symbol" w:hAnsi="Symbol" w:hint="default"/>
      </w:rPr>
    </w:lvl>
    <w:lvl w:ilvl="1" w:tplc="D7E4E8F4">
      <w:start w:val="1"/>
      <w:numFmt w:val="bullet"/>
      <w:lvlText w:val="o"/>
      <w:lvlJc w:val="left"/>
      <w:pPr>
        <w:ind w:left="1440" w:hanging="360"/>
      </w:pPr>
      <w:rPr>
        <w:rFonts w:ascii="Courier New" w:hAnsi="Courier New" w:hint="default"/>
      </w:rPr>
    </w:lvl>
    <w:lvl w:ilvl="2" w:tplc="9FB69C32">
      <w:start w:val="1"/>
      <w:numFmt w:val="bullet"/>
      <w:lvlText w:val=""/>
      <w:lvlJc w:val="left"/>
      <w:pPr>
        <w:ind w:left="2160" w:hanging="360"/>
      </w:pPr>
      <w:rPr>
        <w:rFonts w:ascii="Wingdings" w:hAnsi="Wingdings" w:hint="default"/>
      </w:rPr>
    </w:lvl>
    <w:lvl w:ilvl="3" w:tplc="BC825ABA">
      <w:start w:val="1"/>
      <w:numFmt w:val="bullet"/>
      <w:lvlText w:val=""/>
      <w:lvlJc w:val="left"/>
      <w:pPr>
        <w:ind w:left="2880" w:hanging="360"/>
      </w:pPr>
      <w:rPr>
        <w:rFonts w:ascii="Symbol" w:hAnsi="Symbol" w:hint="default"/>
      </w:rPr>
    </w:lvl>
    <w:lvl w:ilvl="4" w:tplc="18FE4BD0">
      <w:start w:val="1"/>
      <w:numFmt w:val="bullet"/>
      <w:lvlText w:val="o"/>
      <w:lvlJc w:val="left"/>
      <w:pPr>
        <w:ind w:left="3600" w:hanging="360"/>
      </w:pPr>
      <w:rPr>
        <w:rFonts w:ascii="Courier New" w:hAnsi="Courier New" w:hint="default"/>
      </w:rPr>
    </w:lvl>
    <w:lvl w:ilvl="5" w:tplc="F5DA7296">
      <w:start w:val="1"/>
      <w:numFmt w:val="bullet"/>
      <w:lvlText w:val=""/>
      <w:lvlJc w:val="left"/>
      <w:pPr>
        <w:ind w:left="4320" w:hanging="360"/>
      </w:pPr>
      <w:rPr>
        <w:rFonts w:ascii="Wingdings" w:hAnsi="Wingdings" w:hint="default"/>
      </w:rPr>
    </w:lvl>
    <w:lvl w:ilvl="6" w:tplc="667865F4">
      <w:start w:val="1"/>
      <w:numFmt w:val="bullet"/>
      <w:lvlText w:val=""/>
      <w:lvlJc w:val="left"/>
      <w:pPr>
        <w:ind w:left="5040" w:hanging="360"/>
      </w:pPr>
      <w:rPr>
        <w:rFonts w:ascii="Symbol" w:hAnsi="Symbol" w:hint="default"/>
      </w:rPr>
    </w:lvl>
    <w:lvl w:ilvl="7" w:tplc="E20A27C4">
      <w:start w:val="1"/>
      <w:numFmt w:val="bullet"/>
      <w:lvlText w:val="o"/>
      <w:lvlJc w:val="left"/>
      <w:pPr>
        <w:ind w:left="5760" w:hanging="360"/>
      </w:pPr>
      <w:rPr>
        <w:rFonts w:ascii="Courier New" w:hAnsi="Courier New" w:hint="default"/>
      </w:rPr>
    </w:lvl>
    <w:lvl w:ilvl="8" w:tplc="0C4623C2">
      <w:start w:val="1"/>
      <w:numFmt w:val="bullet"/>
      <w:lvlText w:val=""/>
      <w:lvlJc w:val="left"/>
      <w:pPr>
        <w:ind w:left="6480" w:hanging="360"/>
      </w:pPr>
      <w:rPr>
        <w:rFonts w:ascii="Wingdings" w:hAnsi="Wingdings" w:hint="default"/>
      </w:rPr>
    </w:lvl>
  </w:abstractNum>
  <w:abstractNum w:abstractNumId="4" w15:restartNumberingAfterBreak="0">
    <w:nsid w:val="03DF8DF8"/>
    <w:multiLevelType w:val="hybridMultilevel"/>
    <w:tmpl w:val="360CD5FE"/>
    <w:lvl w:ilvl="0" w:tplc="289C668E">
      <w:start w:val="1"/>
      <w:numFmt w:val="bullet"/>
      <w:lvlText w:val=""/>
      <w:lvlJc w:val="left"/>
      <w:pPr>
        <w:ind w:left="720" w:hanging="360"/>
      </w:pPr>
      <w:rPr>
        <w:rFonts w:ascii="Symbol" w:hAnsi="Symbol" w:hint="default"/>
      </w:rPr>
    </w:lvl>
    <w:lvl w:ilvl="1" w:tplc="D5384936">
      <w:start w:val="1"/>
      <w:numFmt w:val="bullet"/>
      <w:lvlText w:val="o"/>
      <w:lvlJc w:val="left"/>
      <w:pPr>
        <w:ind w:left="1440" w:hanging="360"/>
      </w:pPr>
      <w:rPr>
        <w:rFonts w:ascii="Courier New" w:hAnsi="Courier New" w:hint="default"/>
      </w:rPr>
    </w:lvl>
    <w:lvl w:ilvl="2" w:tplc="19566556">
      <w:start w:val="1"/>
      <w:numFmt w:val="bullet"/>
      <w:lvlText w:val=""/>
      <w:lvlJc w:val="left"/>
      <w:pPr>
        <w:ind w:left="2160" w:hanging="360"/>
      </w:pPr>
      <w:rPr>
        <w:rFonts w:ascii="Wingdings" w:hAnsi="Wingdings" w:hint="default"/>
      </w:rPr>
    </w:lvl>
    <w:lvl w:ilvl="3" w:tplc="15746A80">
      <w:start w:val="1"/>
      <w:numFmt w:val="bullet"/>
      <w:lvlText w:val=""/>
      <w:lvlJc w:val="left"/>
      <w:pPr>
        <w:ind w:left="2880" w:hanging="360"/>
      </w:pPr>
      <w:rPr>
        <w:rFonts w:ascii="Symbol" w:hAnsi="Symbol" w:hint="default"/>
      </w:rPr>
    </w:lvl>
    <w:lvl w:ilvl="4" w:tplc="52D4ED98">
      <w:start w:val="1"/>
      <w:numFmt w:val="bullet"/>
      <w:lvlText w:val="o"/>
      <w:lvlJc w:val="left"/>
      <w:pPr>
        <w:ind w:left="3600" w:hanging="360"/>
      </w:pPr>
      <w:rPr>
        <w:rFonts w:ascii="Courier New" w:hAnsi="Courier New" w:hint="default"/>
      </w:rPr>
    </w:lvl>
    <w:lvl w:ilvl="5" w:tplc="A552E50C">
      <w:start w:val="1"/>
      <w:numFmt w:val="bullet"/>
      <w:lvlText w:val=""/>
      <w:lvlJc w:val="left"/>
      <w:pPr>
        <w:ind w:left="4320" w:hanging="360"/>
      </w:pPr>
      <w:rPr>
        <w:rFonts w:ascii="Wingdings" w:hAnsi="Wingdings" w:hint="default"/>
      </w:rPr>
    </w:lvl>
    <w:lvl w:ilvl="6" w:tplc="A7086D5A">
      <w:start w:val="1"/>
      <w:numFmt w:val="bullet"/>
      <w:lvlText w:val=""/>
      <w:lvlJc w:val="left"/>
      <w:pPr>
        <w:ind w:left="5040" w:hanging="360"/>
      </w:pPr>
      <w:rPr>
        <w:rFonts w:ascii="Symbol" w:hAnsi="Symbol" w:hint="default"/>
      </w:rPr>
    </w:lvl>
    <w:lvl w:ilvl="7" w:tplc="8B6ACD40">
      <w:start w:val="1"/>
      <w:numFmt w:val="bullet"/>
      <w:lvlText w:val="o"/>
      <w:lvlJc w:val="left"/>
      <w:pPr>
        <w:ind w:left="5760" w:hanging="360"/>
      </w:pPr>
      <w:rPr>
        <w:rFonts w:ascii="Courier New" w:hAnsi="Courier New" w:hint="default"/>
      </w:rPr>
    </w:lvl>
    <w:lvl w:ilvl="8" w:tplc="A656DBEC">
      <w:start w:val="1"/>
      <w:numFmt w:val="bullet"/>
      <w:lvlText w:val=""/>
      <w:lvlJc w:val="left"/>
      <w:pPr>
        <w:ind w:left="6480" w:hanging="360"/>
      </w:pPr>
      <w:rPr>
        <w:rFonts w:ascii="Wingdings" w:hAnsi="Wingdings" w:hint="default"/>
      </w:rPr>
    </w:lvl>
  </w:abstractNum>
  <w:abstractNum w:abstractNumId="5" w15:restartNumberingAfterBreak="0">
    <w:nsid w:val="043464A1"/>
    <w:multiLevelType w:val="hybridMultilevel"/>
    <w:tmpl w:val="C30C4898"/>
    <w:lvl w:ilvl="0" w:tplc="64E889C2">
      <w:start w:val="1"/>
      <w:numFmt w:val="bullet"/>
      <w:lvlText w:val=""/>
      <w:lvlJc w:val="left"/>
      <w:pPr>
        <w:ind w:left="720" w:hanging="360"/>
      </w:pPr>
      <w:rPr>
        <w:rFonts w:ascii="Symbol" w:hAnsi="Symbol" w:hint="default"/>
      </w:rPr>
    </w:lvl>
    <w:lvl w:ilvl="1" w:tplc="79123DF0">
      <w:start w:val="1"/>
      <w:numFmt w:val="bullet"/>
      <w:lvlText w:val="o"/>
      <w:lvlJc w:val="left"/>
      <w:pPr>
        <w:ind w:left="1440" w:hanging="360"/>
      </w:pPr>
      <w:rPr>
        <w:rFonts w:ascii="Courier New" w:hAnsi="Courier New" w:hint="default"/>
      </w:rPr>
    </w:lvl>
    <w:lvl w:ilvl="2" w:tplc="B46ADCAA">
      <w:start w:val="1"/>
      <w:numFmt w:val="bullet"/>
      <w:lvlText w:val=""/>
      <w:lvlJc w:val="left"/>
      <w:pPr>
        <w:ind w:left="2160" w:hanging="360"/>
      </w:pPr>
      <w:rPr>
        <w:rFonts w:ascii="Wingdings" w:hAnsi="Wingdings" w:hint="default"/>
      </w:rPr>
    </w:lvl>
    <w:lvl w:ilvl="3" w:tplc="F4E0E7FA">
      <w:start w:val="1"/>
      <w:numFmt w:val="bullet"/>
      <w:lvlText w:val=""/>
      <w:lvlJc w:val="left"/>
      <w:pPr>
        <w:ind w:left="2880" w:hanging="360"/>
      </w:pPr>
      <w:rPr>
        <w:rFonts w:ascii="Symbol" w:hAnsi="Symbol" w:hint="default"/>
      </w:rPr>
    </w:lvl>
    <w:lvl w:ilvl="4" w:tplc="EA24EDE4">
      <w:start w:val="1"/>
      <w:numFmt w:val="bullet"/>
      <w:lvlText w:val="o"/>
      <w:lvlJc w:val="left"/>
      <w:pPr>
        <w:ind w:left="3600" w:hanging="360"/>
      </w:pPr>
      <w:rPr>
        <w:rFonts w:ascii="Courier New" w:hAnsi="Courier New" w:hint="default"/>
      </w:rPr>
    </w:lvl>
    <w:lvl w:ilvl="5" w:tplc="FA40FCDA">
      <w:start w:val="1"/>
      <w:numFmt w:val="bullet"/>
      <w:lvlText w:val=""/>
      <w:lvlJc w:val="left"/>
      <w:pPr>
        <w:ind w:left="4320" w:hanging="360"/>
      </w:pPr>
      <w:rPr>
        <w:rFonts w:ascii="Wingdings" w:hAnsi="Wingdings" w:hint="default"/>
      </w:rPr>
    </w:lvl>
    <w:lvl w:ilvl="6" w:tplc="D00033DC">
      <w:start w:val="1"/>
      <w:numFmt w:val="bullet"/>
      <w:lvlText w:val=""/>
      <w:lvlJc w:val="left"/>
      <w:pPr>
        <w:ind w:left="5040" w:hanging="360"/>
      </w:pPr>
      <w:rPr>
        <w:rFonts w:ascii="Symbol" w:hAnsi="Symbol" w:hint="default"/>
      </w:rPr>
    </w:lvl>
    <w:lvl w:ilvl="7" w:tplc="0EB81F26">
      <w:start w:val="1"/>
      <w:numFmt w:val="bullet"/>
      <w:lvlText w:val="o"/>
      <w:lvlJc w:val="left"/>
      <w:pPr>
        <w:ind w:left="5760" w:hanging="360"/>
      </w:pPr>
      <w:rPr>
        <w:rFonts w:ascii="Courier New" w:hAnsi="Courier New" w:hint="default"/>
      </w:rPr>
    </w:lvl>
    <w:lvl w:ilvl="8" w:tplc="48EC1884">
      <w:start w:val="1"/>
      <w:numFmt w:val="bullet"/>
      <w:lvlText w:val=""/>
      <w:lvlJc w:val="left"/>
      <w:pPr>
        <w:ind w:left="6480" w:hanging="360"/>
      </w:pPr>
      <w:rPr>
        <w:rFonts w:ascii="Wingdings" w:hAnsi="Wingdings" w:hint="default"/>
      </w:rPr>
    </w:lvl>
  </w:abstractNum>
  <w:abstractNum w:abstractNumId="6" w15:restartNumberingAfterBreak="0">
    <w:nsid w:val="04FF8AD6"/>
    <w:multiLevelType w:val="hybridMultilevel"/>
    <w:tmpl w:val="A6FA3D28"/>
    <w:lvl w:ilvl="0" w:tplc="8668B9BA">
      <w:start w:val="1"/>
      <w:numFmt w:val="bullet"/>
      <w:lvlText w:val=""/>
      <w:lvlJc w:val="left"/>
      <w:pPr>
        <w:ind w:left="720" w:hanging="360"/>
      </w:pPr>
      <w:rPr>
        <w:rFonts w:ascii="Symbol" w:hAnsi="Symbol" w:hint="default"/>
      </w:rPr>
    </w:lvl>
    <w:lvl w:ilvl="1" w:tplc="BA7234F2">
      <w:start w:val="1"/>
      <w:numFmt w:val="bullet"/>
      <w:lvlText w:val="o"/>
      <w:lvlJc w:val="left"/>
      <w:pPr>
        <w:ind w:left="1440" w:hanging="360"/>
      </w:pPr>
      <w:rPr>
        <w:rFonts w:ascii="Courier New" w:hAnsi="Courier New" w:hint="default"/>
      </w:rPr>
    </w:lvl>
    <w:lvl w:ilvl="2" w:tplc="9DC4F99A">
      <w:start w:val="1"/>
      <w:numFmt w:val="bullet"/>
      <w:lvlText w:val=""/>
      <w:lvlJc w:val="left"/>
      <w:pPr>
        <w:ind w:left="2160" w:hanging="360"/>
      </w:pPr>
      <w:rPr>
        <w:rFonts w:ascii="Wingdings" w:hAnsi="Wingdings" w:hint="default"/>
      </w:rPr>
    </w:lvl>
    <w:lvl w:ilvl="3" w:tplc="1A20BD32">
      <w:start w:val="1"/>
      <w:numFmt w:val="bullet"/>
      <w:lvlText w:val=""/>
      <w:lvlJc w:val="left"/>
      <w:pPr>
        <w:ind w:left="2880" w:hanging="360"/>
      </w:pPr>
      <w:rPr>
        <w:rFonts w:ascii="Symbol" w:hAnsi="Symbol" w:hint="default"/>
      </w:rPr>
    </w:lvl>
    <w:lvl w:ilvl="4" w:tplc="9B2C66C0">
      <w:start w:val="1"/>
      <w:numFmt w:val="bullet"/>
      <w:lvlText w:val="o"/>
      <w:lvlJc w:val="left"/>
      <w:pPr>
        <w:ind w:left="3600" w:hanging="360"/>
      </w:pPr>
      <w:rPr>
        <w:rFonts w:ascii="Courier New" w:hAnsi="Courier New" w:hint="default"/>
      </w:rPr>
    </w:lvl>
    <w:lvl w:ilvl="5" w:tplc="46C09694">
      <w:start w:val="1"/>
      <w:numFmt w:val="bullet"/>
      <w:lvlText w:val=""/>
      <w:lvlJc w:val="left"/>
      <w:pPr>
        <w:ind w:left="4320" w:hanging="360"/>
      </w:pPr>
      <w:rPr>
        <w:rFonts w:ascii="Wingdings" w:hAnsi="Wingdings" w:hint="default"/>
      </w:rPr>
    </w:lvl>
    <w:lvl w:ilvl="6" w:tplc="22F0A048">
      <w:start w:val="1"/>
      <w:numFmt w:val="bullet"/>
      <w:lvlText w:val=""/>
      <w:lvlJc w:val="left"/>
      <w:pPr>
        <w:ind w:left="5040" w:hanging="360"/>
      </w:pPr>
      <w:rPr>
        <w:rFonts w:ascii="Symbol" w:hAnsi="Symbol" w:hint="default"/>
      </w:rPr>
    </w:lvl>
    <w:lvl w:ilvl="7" w:tplc="88A235F4">
      <w:start w:val="1"/>
      <w:numFmt w:val="bullet"/>
      <w:lvlText w:val="o"/>
      <w:lvlJc w:val="left"/>
      <w:pPr>
        <w:ind w:left="5760" w:hanging="360"/>
      </w:pPr>
      <w:rPr>
        <w:rFonts w:ascii="Courier New" w:hAnsi="Courier New" w:hint="default"/>
      </w:rPr>
    </w:lvl>
    <w:lvl w:ilvl="8" w:tplc="23FE3F30">
      <w:start w:val="1"/>
      <w:numFmt w:val="bullet"/>
      <w:lvlText w:val=""/>
      <w:lvlJc w:val="left"/>
      <w:pPr>
        <w:ind w:left="6480" w:hanging="360"/>
      </w:pPr>
      <w:rPr>
        <w:rFonts w:ascii="Wingdings" w:hAnsi="Wingdings" w:hint="default"/>
      </w:rPr>
    </w:lvl>
  </w:abstractNum>
  <w:abstractNum w:abstractNumId="7" w15:restartNumberingAfterBreak="0">
    <w:nsid w:val="05FA3694"/>
    <w:multiLevelType w:val="hybridMultilevel"/>
    <w:tmpl w:val="E83845B4"/>
    <w:lvl w:ilvl="0" w:tplc="6D4A4C64">
      <w:start w:val="1"/>
      <w:numFmt w:val="decimal"/>
      <w:lvlText w:val="%1)"/>
      <w:lvlJc w:val="left"/>
      <w:pPr>
        <w:ind w:left="720" w:hanging="360"/>
      </w:pPr>
    </w:lvl>
    <w:lvl w:ilvl="1" w:tplc="F11AFDCA">
      <w:start w:val="1"/>
      <w:numFmt w:val="lowerLetter"/>
      <w:lvlText w:val="%2."/>
      <w:lvlJc w:val="left"/>
      <w:pPr>
        <w:ind w:left="1440" w:hanging="360"/>
      </w:pPr>
    </w:lvl>
    <w:lvl w:ilvl="2" w:tplc="D5DE3050">
      <w:start w:val="1"/>
      <w:numFmt w:val="lowerRoman"/>
      <w:lvlText w:val="%3."/>
      <w:lvlJc w:val="right"/>
      <w:pPr>
        <w:ind w:left="2160" w:hanging="180"/>
      </w:pPr>
    </w:lvl>
    <w:lvl w:ilvl="3" w:tplc="E3AA72B8">
      <w:start w:val="1"/>
      <w:numFmt w:val="decimal"/>
      <w:lvlText w:val="%4."/>
      <w:lvlJc w:val="left"/>
      <w:pPr>
        <w:ind w:left="2880" w:hanging="360"/>
      </w:pPr>
    </w:lvl>
    <w:lvl w:ilvl="4" w:tplc="602045FC">
      <w:start w:val="1"/>
      <w:numFmt w:val="lowerLetter"/>
      <w:lvlText w:val="%5."/>
      <w:lvlJc w:val="left"/>
      <w:pPr>
        <w:ind w:left="3600" w:hanging="360"/>
      </w:pPr>
    </w:lvl>
    <w:lvl w:ilvl="5" w:tplc="64E888A6">
      <w:start w:val="1"/>
      <w:numFmt w:val="lowerRoman"/>
      <w:lvlText w:val="%6."/>
      <w:lvlJc w:val="right"/>
      <w:pPr>
        <w:ind w:left="4320" w:hanging="180"/>
      </w:pPr>
    </w:lvl>
    <w:lvl w:ilvl="6" w:tplc="C1C65EDE">
      <w:start w:val="1"/>
      <w:numFmt w:val="decimal"/>
      <w:lvlText w:val="%7."/>
      <w:lvlJc w:val="left"/>
      <w:pPr>
        <w:ind w:left="5040" w:hanging="360"/>
      </w:pPr>
    </w:lvl>
    <w:lvl w:ilvl="7" w:tplc="E9923436">
      <w:start w:val="1"/>
      <w:numFmt w:val="lowerLetter"/>
      <w:lvlText w:val="%8."/>
      <w:lvlJc w:val="left"/>
      <w:pPr>
        <w:ind w:left="5760" w:hanging="360"/>
      </w:pPr>
    </w:lvl>
    <w:lvl w:ilvl="8" w:tplc="5120CB7E">
      <w:start w:val="1"/>
      <w:numFmt w:val="lowerRoman"/>
      <w:lvlText w:val="%9."/>
      <w:lvlJc w:val="right"/>
      <w:pPr>
        <w:ind w:left="6480" w:hanging="180"/>
      </w:pPr>
    </w:lvl>
  </w:abstractNum>
  <w:abstractNum w:abstractNumId="8" w15:restartNumberingAfterBreak="0">
    <w:nsid w:val="05FEE5BB"/>
    <w:multiLevelType w:val="hybridMultilevel"/>
    <w:tmpl w:val="9E12A706"/>
    <w:lvl w:ilvl="0" w:tplc="39F60986">
      <w:start w:val="1"/>
      <w:numFmt w:val="bullet"/>
      <w:lvlText w:val=""/>
      <w:lvlJc w:val="left"/>
      <w:pPr>
        <w:ind w:left="720" w:hanging="360"/>
      </w:pPr>
      <w:rPr>
        <w:rFonts w:ascii="Symbol" w:hAnsi="Symbol" w:hint="default"/>
      </w:rPr>
    </w:lvl>
    <w:lvl w:ilvl="1" w:tplc="D3FC1114">
      <w:start w:val="1"/>
      <w:numFmt w:val="bullet"/>
      <w:lvlText w:val="o"/>
      <w:lvlJc w:val="left"/>
      <w:pPr>
        <w:ind w:left="1440" w:hanging="360"/>
      </w:pPr>
      <w:rPr>
        <w:rFonts w:ascii="Courier New" w:hAnsi="Courier New" w:hint="default"/>
      </w:rPr>
    </w:lvl>
    <w:lvl w:ilvl="2" w:tplc="8A382934">
      <w:start w:val="1"/>
      <w:numFmt w:val="bullet"/>
      <w:lvlText w:val=""/>
      <w:lvlJc w:val="left"/>
      <w:pPr>
        <w:ind w:left="2160" w:hanging="360"/>
      </w:pPr>
      <w:rPr>
        <w:rFonts w:ascii="Wingdings" w:hAnsi="Wingdings" w:hint="default"/>
      </w:rPr>
    </w:lvl>
    <w:lvl w:ilvl="3" w:tplc="31E0C096">
      <w:start w:val="1"/>
      <w:numFmt w:val="bullet"/>
      <w:lvlText w:val=""/>
      <w:lvlJc w:val="left"/>
      <w:pPr>
        <w:ind w:left="2880" w:hanging="360"/>
      </w:pPr>
      <w:rPr>
        <w:rFonts w:ascii="Symbol" w:hAnsi="Symbol" w:hint="default"/>
      </w:rPr>
    </w:lvl>
    <w:lvl w:ilvl="4" w:tplc="B5DE8EFA">
      <w:start w:val="1"/>
      <w:numFmt w:val="bullet"/>
      <w:lvlText w:val="o"/>
      <w:lvlJc w:val="left"/>
      <w:pPr>
        <w:ind w:left="3600" w:hanging="360"/>
      </w:pPr>
      <w:rPr>
        <w:rFonts w:ascii="Courier New" w:hAnsi="Courier New" w:hint="default"/>
      </w:rPr>
    </w:lvl>
    <w:lvl w:ilvl="5" w:tplc="8CF622CE">
      <w:start w:val="1"/>
      <w:numFmt w:val="bullet"/>
      <w:lvlText w:val=""/>
      <w:lvlJc w:val="left"/>
      <w:pPr>
        <w:ind w:left="4320" w:hanging="360"/>
      </w:pPr>
      <w:rPr>
        <w:rFonts w:ascii="Wingdings" w:hAnsi="Wingdings" w:hint="default"/>
      </w:rPr>
    </w:lvl>
    <w:lvl w:ilvl="6" w:tplc="9B12B2C0">
      <w:start w:val="1"/>
      <w:numFmt w:val="bullet"/>
      <w:lvlText w:val=""/>
      <w:lvlJc w:val="left"/>
      <w:pPr>
        <w:ind w:left="5040" w:hanging="360"/>
      </w:pPr>
      <w:rPr>
        <w:rFonts w:ascii="Symbol" w:hAnsi="Symbol" w:hint="default"/>
      </w:rPr>
    </w:lvl>
    <w:lvl w:ilvl="7" w:tplc="E4D2DF60">
      <w:start w:val="1"/>
      <w:numFmt w:val="bullet"/>
      <w:lvlText w:val="o"/>
      <w:lvlJc w:val="left"/>
      <w:pPr>
        <w:ind w:left="5760" w:hanging="360"/>
      </w:pPr>
      <w:rPr>
        <w:rFonts w:ascii="Courier New" w:hAnsi="Courier New" w:hint="default"/>
      </w:rPr>
    </w:lvl>
    <w:lvl w:ilvl="8" w:tplc="DF02EA3C">
      <w:start w:val="1"/>
      <w:numFmt w:val="bullet"/>
      <w:lvlText w:val=""/>
      <w:lvlJc w:val="left"/>
      <w:pPr>
        <w:ind w:left="6480" w:hanging="360"/>
      </w:pPr>
      <w:rPr>
        <w:rFonts w:ascii="Wingdings" w:hAnsi="Wingdings" w:hint="default"/>
      </w:rPr>
    </w:lvl>
  </w:abstractNum>
  <w:abstractNum w:abstractNumId="9" w15:restartNumberingAfterBreak="0">
    <w:nsid w:val="07C46C4B"/>
    <w:multiLevelType w:val="hybridMultilevel"/>
    <w:tmpl w:val="1BDC2F6E"/>
    <w:lvl w:ilvl="0" w:tplc="D5F239DA">
      <w:start w:val="1"/>
      <w:numFmt w:val="bullet"/>
      <w:lvlText w:val=""/>
      <w:lvlJc w:val="left"/>
      <w:pPr>
        <w:ind w:left="720" w:hanging="360"/>
      </w:pPr>
      <w:rPr>
        <w:rFonts w:ascii="Symbol" w:hAnsi="Symbol" w:hint="default"/>
      </w:rPr>
    </w:lvl>
    <w:lvl w:ilvl="1" w:tplc="D7C655D8">
      <w:start w:val="1"/>
      <w:numFmt w:val="bullet"/>
      <w:lvlText w:val="o"/>
      <w:lvlJc w:val="left"/>
      <w:pPr>
        <w:ind w:left="1440" w:hanging="360"/>
      </w:pPr>
      <w:rPr>
        <w:rFonts w:ascii="Courier New" w:hAnsi="Courier New" w:hint="default"/>
      </w:rPr>
    </w:lvl>
    <w:lvl w:ilvl="2" w:tplc="C5FAA2BE">
      <w:start w:val="1"/>
      <w:numFmt w:val="bullet"/>
      <w:lvlText w:val=""/>
      <w:lvlJc w:val="left"/>
      <w:pPr>
        <w:ind w:left="2160" w:hanging="360"/>
      </w:pPr>
      <w:rPr>
        <w:rFonts w:ascii="Wingdings" w:hAnsi="Wingdings" w:hint="default"/>
      </w:rPr>
    </w:lvl>
    <w:lvl w:ilvl="3" w:tplc="E16C7180">
      <w:start w:val="1"/>
      <w:numFmt w:val="bullet"/>
      <w:lvlText w:val=""/>
      <w:lvlJc w:val="left"/>
      <w:pPr>
        <w:ind w:left="2880" w:hanging="360"/>
      </w:pPr>
      <w:rPr>
        <w:rFonts w:ascii="Symbol" w:hAnsi="Symbol" w:hint="default"/>
      </w:rPr>
    </w:lvl>
    <w:lvl w:ilvl="4" w:tplc="C882BAEC">
      <w:start w:val="1"/>
      <w:numFmt w:val="bullet"/>
      <w:lvlText w:val="o"/>
      <w:lvlJc w:val="left"/>
      <w:pPr>
        <w:ind w:left="3600" w:hanging="360"/>
      </w:pPr>
      <w:rPr>
        <w:rFonts w:ascii="Courier New" w:hAnsi="Courier New" w:hint="default"/>
      </w:rPr>
    </w:lvl>
    <w:lvl w:ilvl="5" w:tplc="A7E6C63E">
      <w:start w:val="1"/>
      <w:numFmt w:val="bullet"/>
      <w:lvlText w:val=""/>
      <w:lvlJc w:val="left"/>
      <w:pPr>
        <w:ind w:left="4320" w:hanging="360"/>
      </w:pPr>
      <w:rPr>
        <w:rFonts w:ascii="Wingdings" w:hAnsi="Wingdings" w:hint="default"/>
      </w:rPr>
    </w:lvl>
    <w:lvl w:ilvl="6" w:tplc="AA46DDD6">
      <w:start w:val="1"/>
      <w:numFmt w:val="bullet"/>
      <w:lvlText w:val=""/>
      <w:lvlJc w:val="left"/>
      <w:pPr>
        <w:ind w:left="5040" w:hanging="360"/>
      </w:pPr>
      <w:rPr>
        <w:rFonts w:ascii="Symbol" w:hAnsi="Symbol" w:hint="default"/>
      </w:rPr>
    </w:lvl>
    <w:lvl w:ilvl="7" w:tplc="E0CA48E0">
      <w:start w:val="1"/>
      <w:numFmt w:val="bullet"/>
      <w:lvlText w:val="o"/>
      <w:lvlJc w:val="left"/>
      <w:pPr>
        <w:ind w:left="5760" w:hanging="360"/>
      </w:pPr>
      <w:rPr>
        <w:rFonts w:ascii="Courier New" w:hAnsi="Courier New" w:hint="default"/>
      </w:rPr>
    </w:lvl>
    <w:lvl w:ilvl="8" w:tplc="191460AE">
      <w:start w:val="1"/>
      <w:numFmt w:val="bullet"/>
      <w:lvlText w:val=""/>
      <w:lvlJc w:val="left"/>
      <w:pPr>
        <w:ind w:left="6480" w:hanging="360"/>
      </w:pPr>
      <w:rPr>
        <w:rFonts w:ascii="Wingdings" w:hAnsi="Wingdings" w:hint="default"/>
      </w:rPr>
    </w:lvl>
  </w:abstractNum>
  <w:abstractNum w:abstractNumId="10" w15:restartNumberingAfterBreak="0">
    <w:nsid w:val="08750E24"/>
    <w:multiLevelType w:val="hybridMultilevel"/>
    <w:tmpl w:val="2164699C"/>
    <w:lvl w:ilvl="0" w:tplc="17C0818E">
      <w:start w:val="1"/>
      <w:numFmt w:val="bullet"/>
      <w:lvlText w:val=""/>
      <w:lvlJc w:val="left"/>
      <w:pPr>
        <w:ind w:left="720" w:hanging="360"/>
      </w:pPr>
      <w:rPr>
        <w:rFonts w:ascii="Symbol" w:hAnsi="Symbol" w:hint="default"/>
      </w:rPr>
    </w:lvl>
    <w:lvl w:ilvl="1" w:tplc="8B585672">
      <w:start w:val="1"/>
      <w:numFmt w:val="bullet"/>
      <w:lvlText w:val="o"/>
      <w:lvlJc w:val="left"/>
      <w:pPr>
        <w:ind w:left="1440" w:hanging="360"/>
      </w:pPr>
      <w:rPr>
        <w:rFonts w:ascii="Courier New" w:hAnsi="Courier New" w:hint="default"/>
      </w:rPr>
    </w:lvl>
    <w:lvl w:ilvl="2" w:tplc="AB28B09C">
      <w:start w:val="1"/>
      <w:numFmt w:val="bullet"/>
      <w:lvlText w:val=""/>
      <w:lvlJc w:val="left"/>
      <w:pPr>
        <w:ind w:left="2160" w:hanging="360"/>
      </w:pPr>
      <w:rPr>
        <w:rFonts w:ascii="Wingdings" w:hAnsi="Wingdings" w:hint="default"/>
      </w:rPr>
    </w:lvl>
    <w:lvl w:ilvl="3" w:tplc="D4487B16">
      <w:start w:val="1"/>
      <w:numFmt w:val="bullet"/>
      <w:lvlText w:val=""/>
      <w:lvlJc w:val="left"/>
      <w:pPr>
        <w:ind w:left="2880" w:hanging="360"/>
      </w:pPr>
      <w:rPr>
        <w:rFonts w:ascii="Symbol" w:hAnsi="Symbol" w:hint="default"/>
      </w:rPr>
    </w:lvl>
    <w:lvl w:ilvl="4" w:tplc="67F6A40A">
      <w:start w:val="1"/>
      <w:numFmt w:val="bullet"/>
      <w:lvlText w:val="o"/>
      <w:lvlJc w:val="left"/>
      <w:pPr>
        <w:ind w:left="3600" w:hanging="360"/>
      </w:pPr>
      <w:rPr>
        <w:rFonts w:ascii="Courier New" w:hAnsi="Courier New" w:hint="default"/>
      </w:rPr>
    </w:lvl>
    <w:lvl w:ilvl="5" w:tplc="A7E6C696">
      <w:start w:val="1"/>
      <w:numFmt w:val="bullet"/>
      <w:lvlText w:val=""/>
      <w:lvlJc w:val="left"/>
      <w:pPr>
        <w:ind w:left="4320" w:hanging="360"/>
      </w:pPr>
      <w:rPr>
        <w:rFonts w:ascii="Wingdings" w:hAnsi="Wingdings" w:hint="default"/>
      </w:rPr>
    </w:lvl>
    <w:lvl w:ilvl="6" w:tplc="18D4D07E">
      <w:start w:val="1"/>
      <w:numFmt w:val="bullet"/>
      <w:lvlText w:val=""/>
      <w:lvlJc w:val="left"/>
      <w:pPr>
        <w:ind w:left="5040" w:hanging="360"/>
      </w:pPr>
      <w:rPr>
        <w:rFonts w:ascii="Symbol" w:hAnsi="Symbol" w:hint="default"/>
      </w:rPr>
    </w:lvl>
    <w:lvl w:ilvl="7" w:tplc="26C8377E">
      <w:start w:val="1"/>
      <w:numFmt w:val="bullet"/>
      <w:lvlText w:val="o"/>
      <w:lvlJc w:val="left"/>
      <w:pPr>
        <w:ind w:left="5760" w:hanging="360"/>
      </w:pPr>
      <w:rPr>
        <w:rFonts w:ascii="Courier New" w:hAnsi="Courier New" w:hint="default"/>
      </w:rPr>
    </w:lvl>
    <w:lvl w:ilvl="8" w:tplc="40CC5888">
      <w:start w:val="1"/>
      <w:numFmt w:val="bullet"/>
      <w:lvlText w:val=""/>
      <w:lvlJc w:val="left"/>
      <w:pPr>
        <w:ind w:left="6480" w:hanging="360"/>
      </w:pPr>
      <w:rPr>
        <w:rFonts w:ascii="Wingdings" w:hAnsi="Wingdings" w:hint="default"/>
      </w:rPr>
    </w:lvl>
  </w:abstractNum>
  <w:abstractNum w:abstractNumId="11" w15:restartNumberingAfterBreak="0">
    <w:nsid w:val="099F7BE2"/>
    <w:multiLevelType w:val="hybridMultilevel"/>
    <w:tmpl w:val="8BD4D33A"/>
    <w:lvl w:ilvl="0" w:tplc="DCE01E18">
      <w:start w:val="1"/>
      <w:numFmt w:val="bullet"/>
      <w:lvlText w:val=""/>
      <w:lvlJc w:val="left"/>
      <w:pPr>
        <w:ind w:left="720" w:hanging="360"/>
      </w:pPr>
      <w:rPr>
        <w:rFonts w:ascii="Symbol" w:hAnsi="Symbol" w:hint="default"/>
      </w:rPr>
    </w:lvl>
    <w:lvl w:ilvl="1" w:tplc="D478950E">
      <w:start w:val="1"/>
      <w:numFmt w:val="bullet"/>
      <w:lvlText w:val="o"/>
      <w:lvlJc w:val="left"/>
      <w:pPr>
        <w:ind w:left="1440" w:hanging="360"/>
      </w:pPr>
      <w:rPr>
        <w:rFonts w:ascii="Courier New" w:hAnsi="Courier New" w:hint="default"/>
      </w:rPr>
    </w:lvl>
    <w:lvl w:ilvl="2" w:tplc="B9E075CA">
      <w:start w:val="1"/>
      <w:numFmt w:val="bullet"/>
      <w:lvlText w:val=""/>
      <w:lvlJc w:val="left"/>
      <w:pPr>
        <w:ind w:left="2160" w:hanging="360"/>
      </w:pPr>
      <w:rPr>
        <w:rFonts w:ascii="Wingdings" w:hAnsi="Wingdings" w:hint="default"/>
      </w:rPr>
    </w:lvl>
    <w:lvl w:ilvl="3" w:tplc="26607D3C">
      <w:start w:val="1"/>
      <w:numFmt w:val="bullet"/>
      <w:lvlText w:val=""/>
      <w:lvlJc w:val="left"/>
      <w:pPr>
        <w:ind w:left="2880" w:hanging="360"/>
      </w:pPr>
      <w:rPr>
        <w:rFonts w:ascii="Symbol" w:hAnsi="Symbol" w:hint="default"/>
      </w:rPr>
    </w:lvl>
    <w:lvl w:ilvl="4" w:tplc="0290B1B0">
      <w:start w:val="1"/>
      <w:numFmt w:val="bullet"/>
      <w:lvlText w:val="o"/>
      <w:lvlJc w:val="left"/>
      <w:pPr>
        <w:ind w:left="3600" w:hanging="360"/>
      </w:pPr>
      <w:rPr>
        <w:rFonts w:ascii="Courier New" w:hAnsi="Courier New" w:hint="default"/>
      </w:rPr>
    </w:lvl>
    <w:lvl w:ilvl="5" w:tplc="2D3E33D2">
      <w:start w:val="1"/>
      <w:numFmt w:val="bullet"/>
      <w:lvlText w:val=""/>
      <w:lvlJc w:val="left"/>
      <w:pPr>
        <w:ind w:left="4320" w:hanging="360"/>
      </w:pPr>
      <w:rPr>
        <w:rFonts w:ascii="Wingdings" w:hAnsi="Wingdings" w:hint="default"/>
      </w:rPr>
    </w:lvl>
    <w:lvl w:ilvl="6" w:tplc="65585D82">
      <w:start w:val="1"/>
      <w:numFmt w:val="bullet"/>
      <w:lvlText w:val=""/>
      <w:lvlJc w:val="left"/>
      <w:pPr>
        <w:ind w:left="5040" w:hanging="360"/>
      </w:pPr>
      <w:rPr>
        <w:rFonts w:ascii="Symbol" w:hAnsi="Symbol" w:hint="default"/>
      </w:rPr>
    </w:lvl>
    <w:lvl w:ilvl="7" w:tplc="A03A4F04">
      <w:start w:val="1"/>
      <w:numFmt w:val="bullet"/>
      <w:lvlText w:val="o"/>
      <w:lvlJc w:val="left"/>
      <w:pPr>
        <w:ind w:left="5760" w:hanging="360"/>
      </w:pPr>
      <w:rPr>
        <w:rFonts w:ascii="Courier New" w:hAnsi="Courier New" w:hint="default"/>
      </w:rPr>
    </w:lvl>
    <w:lvl w:ilvl="8" w:tplc="AE28AE10">
      <w:start w:val="1"/>
      <w:numFmt w:val="bullet"/>
      <w:lvlText w:val=""/>
      <w:lvlJc w:val="left"/>
      <w:pPr>
        <w:ind w:left="6480" w:hanging="360"/>
      </w:pPr>
      <w:rPr>
        <w:rFonts w:ascii="Wingdings" w:hAnsi="Wingdings" w:hint="default"/>
      </w:rPr>
    </w:lvl>
  </w:abstractNum>
  <w:abstractNum w:abstractNumId="12" w15:restartNumberingAfterBreak="0">
    <w:nsid w:val="0B47EB16"/>
    <w:multiLevelType w:val="hybridMultilevel"/>
    <w:tmpl w:val="DE1EB952"/>
    <w:lvl w:ilvl="0" w:tplc="0CFA3DDE">
      <w:start w:val="1"/>
      <w:numFmt w:val="bullet"/>
      <w:lvlText w:val=""/>
      <w:lvlJc w:val="left"/>
      <w:pPr>
        <w:ind w:left="720" w:hanging="360"/>
      </w:pPr>
      <w:rPr>
        <w:rFonts w:ascii="Symbol" w:hAnsi="Symbol" w:hint="default"/>
      </w:rPr>
    </w:lvl>
    <w:lvl w:ilvl="1" w:tplc="BCA6B75C">
      <w:start w:val="1"/>
      <w:numFmt w:val="bullet"/>
      <w:lvlText w:val="o"/>
      <w:lvlJc w:val="left"/>
      <w:pPr>
        <w:ind w:left="1440" w:hanging="360"/>
      </w:pPr>
      <w:rPr>
        <w:rFonts w:ascii="Courier New" w:hAnsi="Courier New" w:hint="default"/>
      </w:rPr>
    </w:lvl>
    <w:lvl w:ilvl="2" w:tplc="D6F03314">
      <w:start w:val="1"/>
      <w:numFmt w:val="bullet"/>
      <w:lvlText w:val=""/>
      <w:lvlJc w:val="left"/>
      <w:pPr>
        <w:ind w:left="2160" w:hanging="360"/>
      </w:pPr>
      <w:rPr>
        <w:rFonts w:ascii="Wingdings" w:hAnsi="Wingdings" w:hint="default"/>
      </w:rPr>
    </w:lvl>
    <w:lvl w:ilvl="3" w:tplc="185E50C2">
      <w:start w:val="1"/>
      <w:numFmt w:val="bullet"/>
      <w:lvlText w:val=""/>
      <w:lvlJc w:val="left"/>
      <w:pPr>
        <w:ind w:left="2880" w:hanging="360"/>
      </w:pPr>
      <w:rPr>
        <w:rFonts w:ascii="Symbol" w:hAnsi="Symbol" w:hint="default"/>
      </w:rPr>
    </w:lvl>
    <w:lvl w:ilvl="4" w:tplc="7132FBB6">
      <w:start w:val="1"/>
      <w:numFmt w:val="bullet"/>
      <w:lvlText w:val="o"/>
      <w:lvlJc w:val="left"/>
      <w:pPr>
        <w:ind w:left="3600" w:hanging="360"/>
      </w:pPr>
      <w:rPr>
        <w:rFonts w:ascii="Courier New" w:hAnsi="Courier New" w:hint="default"/>
      </w:rPr>
    </w:lvl>
    <w:lvl w:ilvl="5" w:tplc="0644BC98">
      <w:start w:val="1"/>
      <w:numFmt w:val="bullet"/>
      <w:lvlText w:val=""/>
      <w:lvlJc w:val="left"/>
      <w:pPr>
        <w:ind w:left="4320" w:hanging="360"/>
      </w:pPr>
      <w:rPr>
        <w:rFonts w:ascii="Wingdings" w:hAnsi="Wingdings" w:hint="default"/>
      </w:rPr>
    </w:lvl>
    <w:lvl w:ilvl="6" w:tplc="A6CE9DAC">
      <w:start w:val="1"/>
      <w:numFmt w:val="bullet"/>
      <w:lvlText w:val=""/>
      <w:lvlJc w:val="left"/>
      <w:pPr>
        <w:ind w:left="5040" w:hanging="360"/>
      </w:pPr>
      <w:rPr>
        <w:rFonts w:ascii="Symbol" w:hAnsi="Symbol" w:hint="default"/>
      </w:rPr>
    </w:lvl>
    <w:lvl w:ilvl="7" w:tplc="7862D3D2">
      <w:start w:val="1"/>
      <w:numFmt w:val="bullet"/>
      <w:lvlText w:val="o"/>
      <w:lvlJc w:val="left"/>
      <w:pPr>
        <w:ind w:left="5760" w:hanging="360"/>
      </w:pPr>
      <w:rPr>
        <w:rFonts w:ascii="Courier New" w:hAnsi="Courier New" w:hint="default"/>
      </w:rPr>
    </w:lvl>
    <w:lvl w:ilvl="8" w:tplc="ADA4E45C">
      <w:start w:val="1"/>
      <w:numFmt w:val="bullet"/>
      <w:lvlText w:val=""/>
      <w:lvlJc w:val="left"/>
      <w:pPr>
        <w:ind w:left="6480" w:hanging="360"/>
      </w:pPr>
      <w:rPr>
        <w:rFonts w:ascii="Wingdings" w:hAnsi="Wingdings" w:hint="default"/>
      </w:rPr>
    </w:lvl>
  </w:abstractNum>
  <w:abstractNum w:abstractNumId="13" w15:restartNumberingAfterBreak="0">
    <w:nsid w:val="0F15B770"/>
    <w:multiLevelType w:val="multilevel"/>
    <w:tmpl w:val="894A749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4" w15:restartNumberingAfterBreak="0">
    <w:nsid w:val="10FB560A"/>
    <w:multiLevelType w:val="hybridMultilevel"/>
    <w:tmpl w:val="2DAC89D6"/>
    <w:lvl w:ilvl="0" w:tplc="7B4A5F74">
      <w:start w:val="1"/>
      <w:numFmt w:val="bullet"/>
      <w:lvlText w:val=""/>
      <w:lvlJc w:val="left"/>
      <w:pPr>
        <w:ind w:left="720" w:hanging="360"/>
      </w:pPr>
      <w:rPr>
        <w:rFonts w:ascii="Symbol" w:hAnsi="Symbol" w:hint="default"/>
      </w:rPr>
    </w:lvl>
    <w:lvl w:ilvl="1" w:tplc="53344358">
      <w:start w:val="1"/>
      <w:numFmt w:val="bullet"/>
      <w:lvlText w:val="o"/>
      <w:lvlJc w:val="left"/>
      <w:pPr>
        <w:ind w:left="1440" w:hanging="360"/>
      </w:pPr>
      <w:rPr>
        <w:rFonts w:ascii="Courier New" w:hAnsi="Courier New" w:hint="default"/>
      </w:rPr>
    </w:lvl>
    <w:lvl w:ilvl="2" w:tplc="1898FFAE">
      <w:start w:val="1"/>
      <w:numFmt w:val="bullet"/>
      <w:lvlText w:val=""/>
      <w:lvlJc w:val="left"/>
      <w:pPr>
        <w:ind w:left="2160" w:hanging="360"/>
      </w:pPr>
      <w:rPr>
        <w:rFonts w:ascii="Wingdings" w:hAnsi="Wingdings" w:hint="default"/>
      </w:rPr>
    </w:lvl>
    <w:lvl w:ilvl="3" w:tplc="44EA1F44">
      <w:start w:val="1"/>
      <w:numFmt w:val="bullet"/>
      <w:lvlText w:val=""/>
      <w:lvlJc w:val="left"/>
      <w:pPr>
        <w:ind w:left="2880" w:hanging="360"/>
      </w:pPr>
      <w:rPr>
        <w:rFonts w:ascii="Symbol" w:hAnsi="Symbol" w:hint="default"/>
      </w:rPr>
    </w:lvl>
    <w:lvl w:ilvl="4" w:tplc="BFCEFB3C">
      <w:start w:val="1"/>
      <w:numFmt w:val="bullet"/>
      <w:lvlText w:val="o"/>
      <w:lvlJc w:val="left"/>
      <w:pPr>
        <w:ind w:left="3600" w:hanging="360"/>
      </w:pPr>
      <w:rPr>
        <w:rFonts w:ascii="Courier New" w:hAnsi="Courier New" w:hint="default"/>
      </w:rPr>
    </w:lvl>
    <w:lvl w:ilvl="5" w:tplc="CCDE0248">
      <w:start w:val="1"/>
      <w:numFmt w:val="bullet"/>
      <w:lvlText w:val=""/>
      <w:lvlJc w:val="left"/>
      <w:pPr>
        <w:ind w:left="4320" w:hanging="360"/>
      </w:pPr>
      <w:rPr>
        <w:rFonts w:ascii="Wingdings" w:hAnsi="Wingdings" w:hint="default"/>
      </w:rPr>
    </w:lvl>
    <w:lvl w:ilvl="6" w:tplc="ED86F278">
      <w:start w:val="1"/>
      <w:numFmt w:val="bullet"/>
      <w:lvlText w:val=""/>
      <w:lvlJc w:val="left"/>
      <w:pPr>
        <w:ind w:left="5040" w:hanging="360"/>
      </w:pPr>
      <w:rPr>
        <w:rFonts w:ascii="Symbol" w:hAnsi="Symbol" w:hint="default"/>
      </w:rPr>
    </w:lvl>
    <w:lvl w:ilvl="7" w:tplc="6BFE73D6">
      <w:start w:val="1"/>
      <w:numFmt w:val="bullet"/>
      <w:lvlText w:val="o"/>
      <w:lvlJc w:val="left"/>
      <w:pPr>
        <w:ind w:left="5760" w:hanging="360"/>
      </w:pPr>
      <w:rPr>
        <w:rFonts w:ascii="Courier New" w:hAnsi="Courier New" w:hint="default"/>
      </w:rPr>
    </w:lvl>
    <w:lvl w:ilvl="8" w:tplc="73F86D8A">
      <w:start w:val="1"/>
      <w:numFmt w:val="bullet"/>
      <w:lvlText w:val=""/>
      <w:lvlJc w:val="left"/>
      <w:pPr>
        <w:ind w:left="6480" w:hanging="360"/>
      </w:pPr>
      <w:rPr>
        <w:rFonts w:ascii="Wingdings" w:hAnsi="Wingdings" w:hint="default"/>
      </w:rPr>
    </w:lvl>
  </w:abstractNum>
  <w:abstractNum w:abstractNumId="15" w15:restartNumberingAfterBreak="0">
    <w:nsid w:val="18C48F1C"/>
    <w:multiLevelType w:val="hybridMultilevel"/>
    <w:tmpl w:val="6F8A617A"/>
    <w:lvl w:ilvl="0" w:tplc="0CA21892">
      <w:start w:val="1"/>
      <w:numFmt w:val="decimal"/>
      <w:lvlText w:val="%1)"/>
      <w:lvlJc w:val="left"/>
      <w:pPr>
        <w:ind w:left="720" w:hanging="360"/>
      </w:pPr>
    </w:lvl>
    <w:lvl w:ilvl="1" w:tplc="FC0CE0C0">
      <w:start w:val="1"/>
      <w:numFmt w:val="lowerLetter"/>
      <w:lvlText w:val="%2."/>
      <w:lvlJc w:val="left"/>
      <w:pPr>
        <w:ind w:left="1440" w:hanging="360"/>
      </w:pPr>
    </w:lvl>
    <w:lvl w:ilvl="2" w:tplc="D7CADCC8">
      <w:start w:val="1"/>
      <w:numFmt w:val="lowerRoman"/>
      <w:lvlText w:val="%3."/>
      <w:lvlJc w:val="right"/>
      <w:pPr>
        <w:ind w:left="2160" w:hanging="180"/>
      </w:pPr>
    </w:lvl>
    <w:lvl w:ilvl="3" w:tplc="81B695EA">
      <w:start w:val="1"/>
      <w:numFmt w:val="decimal"/>
      <w:lvlText w:val="%4."/>
      <w:lvlJc w:val="left"/>
      <w:pPr>
        <w:ind w:left="2880" w:hanging="360"/>
      </w:pPr>
    </w:lvl>
    <w:lvl w:ilvl="4" w:tplc="E16C9F16">
      <w:start w:val="1"/>
      <w:numFmt w:val="lowerLetter"/>
      <w:lvlText w:val="%5."/>
      <w:lvlJc w:val="left"/>
      <w:pPr>
        <w:ind w:left="3600" w:hanging="360"/>
      </w:pPr>
    </w:lvl>
    <w:lvl w:ilvl="5" w:tplc="9F54C0B6">
      <w:start w:val="1"/>
      <w:numFmt w:val="lowerRoman"/>
      <w:lvlText w:val="%6."/>
      <w:lvlJc w:val="right"/>
      <w:pPr>
        <w:ind w:left="4320" w:hanging="180"/>
      </w:pPr>
    </w:lvl>
    <w:lvl w:ilvl="6" w:tplc="B040F4D0">
      <w:start w:val="1"/>
      <w:numFmt w:val="decimal"/>
      <w:lvlText w:val="%7."/>
      <w:lvlJc w:val="left"/>
      <w:pPr>
        <w:ind w:left="5040" w:hanging="360"/>
      </w:pPr>
    </w:lvl>
    <w:lvl w:ilvl="7" w:tplc="9618A4E4">
      <w:start w:val="1"/>
      <w:numFmt w:val="lowerLetter"/>
      <w:lvlText w:val="%8."/>
      <w:lvlJc w:val="left"/>
      <w:pPr>
        <w:ind w:left="5760" w:hanging="360"/>
      </w:pPr>
    </w:lvl>
    <w:lvl w:ilvl="8" w:tplc="3A789C2A">
      <w:start w:val="1"/>
      <w:numFmt w:val="lowerRoman"/>
      <w:lvlText w:val="%9."/>
      <w:lvlJc w:val="right"/>
      <w:pPr>
        <w:ind w:left="6480" w:hanging="180"/>
      </w:pPr>
    </w:lvl>
  </w:abstractNum>
  <w:abstractNum w:abstractNumId="16" w15:restartNumberingAfterBreak="0">
    <w:nsid w:val="1A537D53"/>
    <w:multiLevelType w:val="hybridMultilevel"/>
    <w:tmpl w:val="09766A04"/>
    <w:lvl w:ilvl="0" w:tplc="BE0415DE">
      <w:start w:val="1"/>
      <w:numFmt w:val="bullet"/>
      <w:lvlText w:val=""/>
      <w:lvlJc w:val="left"/>
      <w:pPr>
        <w:ind w:left="720" w:hanging="360"/>
      </w:pPr>
      <w:rPr>
        <w:rFonts w:ascii="Symbol" w:hAnsi="Symbol" w:hint="default"/>
      </w:rPr>
    </w:lvl>
    <w:lvl w:ilvl="1" w:tplc="4F62F370">
      <w:start w:val="1"/>
      <w:numFmt w:val="bullet"/>
      <w:lvlText w:val="o"/>
      <w:lvlJc w:val="left"/>
      <w:pPr>
        <w:ind w:left="1440" w:hanging="360"/>
      </w:pPr>
      <w:rPr>
        <w:rFonts w:ascii="Courier New" w:hAnsi="Courier New" w:hint="default"/>
      </w:rPr>
    </w:lvl>
    <w:lvl w:ilvl="2" w:tplc="C9A2C044">
      <w:start w:val="1"/>
      <w:numFmt w:val="bullet"/>
      <w:lvlText w:val=""/>
      <w:lvlJc w:val="left"/>
      <w:pPr>
        <w:ind w:left="2160" w:hanging="360"/>
      </w:pPr>
      <w:rPr>
        <w:rFonts w:ascii="Wingdings" w:hAnsi="Wingdings" w:hint="default"/>
      </w:rPr>
    </w:lvl>
    <w:lvl w:ilvl="3" w:tplc="8BA26024">
      <w:start w:val="1"/>
      <w:numFmt w:val="bullet"/>
      <w:lvlText w:val=""/>
      <w:lvlJc w:val="left"/>
      <w:pPr>
        <w:ind w:left="2880" w:hanging="360"/>
      </w:pPr>
      <w:rPr>
        <w:rFonts w:ascii="Symbol" w:hAnsi="Symbol" w:hint="default"/>
      </w:rPr>
    </w:lvl>
    <w:lvl w:ilvl="4" w:tplc="B7AA9184">
      <w:start w:val="1"/>
      <w:numFmt w:val="bullet"/>
      <w:lvlText w:val="o"/>
      <w:lvlJc w:val="left"/>
      <w:pPr>
        <w:ind w:left="3600" w:hanging="360"/>
      </w:pPr>
      <w:rPr>
        <w:rFonts w:ascii="Courier New" w:hAnsi="Courier New" w:hint="default"/>
      </w:rPr>
    </w:lvl>
    <w:lvl w:ilvl="5" w:tplc="1FE029A8">
      <w:start w:val="1"/>
      <w:numFmt w:val="bullet"/>
      <w:lvlText w:val=""/>
      <w:lvlJc w:val="left"/>
      <w:pPr>
        <w:ind w:left="4320" w:hanging="360"/>
      </w:pPr>
      <w:rPr>
        <w:rFonts w:ascii="Wingdings" w:hAnsi="Wingdings" w:hint="default"/>
      </w:rPr>
    </w:lvl>
    <w:lvl w:ilvl="6" w:tplc="80048210">
      <w:start w:val="1"/>
      <w:numFmt w:val="bullet"/>
      <w:lvlText w:val=""/>
      <w:lvlJc w:val="left"/>
      <w:pPr>
        <w:ind w:left="5040" w:hanging="360"/>
      </w:pPr>
      <w:rPr>
        <w:rFonts w:ascii="Symbol" w:hAnsi="Symbol" w:hint="default"/>
      </w:rPr>
    </w:lvl>
    <w:lvl w:ilvl="7" w:tplc="13D63B20">
      <w:start w:val="1"/>
      <w:numFmt w:val="bullet"/>
      <w:lvlText w:val="o"/>
      <w:lvlJc w:val="left"/>
      <w:pPr>
        <w:ind w:left="5760" w:hanging="360"/>
      </w:pPr>
      <w:rPr>
        <w:rFonts w:ascii="Courier New" w:hAnsi="Courier New" w:hint="default"/>
      </w:rPr>
    </w:lvl>
    <w:lvl w:ilvl="8" w:tplc="CE84463C">
      <w:start w:val="1"/>
      <w:numFmt w:val="bullet"/>
      <w:lvlText w:val=""/>
      <w:lvlJc w:val="left"/>
      <w:pPr>
        <w:ind w:left="6480" w:hanging="360"/>
      </w:pPr>
      <w:rPr>
        <w:rFonts w:ascii="Wingdings" w:hAnsi="Wingdings" w:hint="default"/>
      </w:rPr>
    </w:lvl>
  </w:abstractNum>
  <w:abstractNum w:abstractNumId="17" w15:restartNumberingAfterBreak="0">
    <w:nsid w:val="1AB8C2FE"/>
    <w:multiLevelType w:val="hybridMultilevel"/>
    <w:tmpl w:val="BDD07EB0"/>
    <w:lvl w:ilvl="0" w:tplc="9AFAE712">
      <w:start w:val="1"/>
      <w:numFmt w:val="bullet"/>
      <w:lvlText w:val=""/>
      <w:lvlJc w:val="left"/>
      <w:pPr>
        <w:ind w:left="720" w:hanging="360"/>
      </w:pPr>
      <w:rPr>
        <w:rFonts w:ascii="Symbol" w:hAnsi="Symbol" w:hint="default"/>
      </w:rPr>
    </w:lvl>
    <w:lvl w:ilvl="1" w:tplc="4672F03E">
      <w:start w:val="1"/>
      <w:numFmt w:val="bullet"/>
      <w:lvlText w:val="o"/>
      <w:lvlJc w:val="left"/>
      <w:pPr>
        <w:ind w:left="1440" w:hanging="360"/>
      </w:pPr>
      <w:rPr>
        <w:rFonts w:ascii="Courier New" w:hAnsi="Courier New" w:hint="default"/>
      </w:rPr>
    </w:lvl>
    <w:lvl w:ilvl="2" w:tplc="374CE05A">
      <w:start w:val="1"/>
      <w:numFmt w:val="bullet"/>
      <w:lvlText w:val=""/>
      <w:lvlJc w:val="left"/>
      <w:pPr>
        <w:ind w:left="2160" w:hanging="360"/>
      </w:pPr>
      <w:rPr>
        <w:rFonts w:ascii="Wingdings" w:hAnsi="Wingdings" w:hint="default"/>
      </w:rPr>
    </w:lvl>
    <w:lvl w:ilvl="3" w:tplc="9F1A3476">
      <w:start w:val="1"/>
      <w:numFmt w:val="bullet"/>
      <w:lvlText w:val=""/>
      <w:lvlJc w:val="left"/>
      <w:pPr>
        <w:ind w:left="2880" w:hanging="360"/>
      </w:pPr>
      <w:rPr>
        <w:rFonts w:ascii="Symbol" w:hAnsi="Symbol" w:hint="default"/>
      </w:rPr>
    </w:lvl>
    <w:lvl w:ilvl="4" w:tplc="0E6A6A74">
      <w:start w:val="1"/>
      <w:numFmt w:val="bullet"/>
      <w:lvlText w:val="o"/>
      <w:lvlJc w:val="left"/>
      <w:pPr>
        <w:ind w:left="3600" w:hanging="360"/>
      </w:pPr>
      <w:rPr>
        <w:rFonts w:ascii="Courier New" w:hAnsi="Courier New" w:hint="default"/>
      </w:rPr>
    </w:lvl>
    <w:lvl w:ilvl="5" w:tplc="686EC53A">
      <w:start w:val="1"/>
      <w:numFmt w:val="bullet"/>
      <w:lvlText w:val=""/>
      <w:lvlJc w:val="left"/>
      <w:pPr>
        <w:ind w:left="4320" w:hanging="360"/>
      </w:pPr>
      <w:rPr>
        <w:rFonts w:ascii="Wingdings" w:hAnsi="Wingdings" w:hint="default"/>
      </w:rPr>
    </w:lvl>
    <w:lvl w:ilvl="6" w:tplc="C7A2168A">
      <w:start w:val="1"/>
      <w:numFmt w:val="bullet"/>
      <w:lvlText w:val=""/>
      <w:lvlJc w:val="left"/>
      <w:pPr>
        <w:ind w:left="5040" w:hanging="360"/>
      </w:pPr>
      <w:rPr>
        <w:rFonts w:ascii="Symbol" w:hAnsi="Symbol" w:hint="default"/>
      </w:rPr>
    </w:lvl>
    <w:lvl w:ilvl="7" w:tplc="FEBC3CD2">
      <w:start w:val="1"/>
      <w:numFmt w:val="bullet"/>
      <w:lvlText w:val="o"/>
      <w:lvlJc w:val="left"/>
      <w:pPr>
        <w:ind w:left="5760" w:hanging="360"/>
      </w:pPr>
      <w:rPr>
        <w:rFonts w:ascii="Courier New" w:hAnsi="Courier New" w:hint="default"/>
      </w:rPr>
    </w:lvl>
    <w:lvl w:ilvl="8" w:tplc="D7D48D30">
      <w:start w:val="1"/>
      <w:numFmt w:val="bullet"/>
      <w:lvlText w:val=""/>
      <w:lvlJc w:val="left"/>
      <w:pPr>
        <w:ind w:left="6480" w:hanging="360"/>
      </w:pPr>
      <w:rPr>
        <w:rFonts w:ascii="Wingdings" w:hAnsi="Wingdings" w:hint="default"/>
      </w:rPr>
    </w:lvl>
  </w:abstractNum>
  <w:abstractNum w:abstractNumId="18" w15:restartNumberingAfterBreak="0">
    <w:nsid w:val="1C5932EA"/>
    <w:multiLevelType w:val="hybridMultilevel"/>
    <w:tmpl w:val="0DC24104"/>
    <w:lvl w:ilvl="0" w:tplc="BC103DA0">
      <w:start w:val="1"/>
      <w:numFmt w:val="decimal"/>
      <w:lvlText w:val="%1)"/>
      <w:lvlJc w:val="left"/>
      <w:pPr>
        <w:ind w:left="720" w:hanging="360"/>
      </w:pPr>
    </w:lvl>
    <w:lvl w:ilvl="1" w:tplc="9142F3C8">
      <w:start w:val="1"/>
      <w:numFmt w:val="lowerLetter"/>
      <w:lvlText w:val="%2."/>
      <w:lvlJc w:val="left"/>
      <w:pPr>
        <w:ind w:left="1440" w:hanging="360"/>
      </w:pPr>
    </w:lvl>
    <w:lvl w:ilvl="2" w:tplc="C3E84AF2">
      <w:start w:val="1"/>
      <w:numFmt w:val="lowerRoman"/>
      <w:lvlText w:val="%3."/>
      <w:lvlJc w:val="right"/>
      <w:pPr>
        <w:ind w:left="2160" w:hanging="180"/>
      </w:pPr>
    </w:lvl>
    <w:lvl w:ilvl="3" w:tplc="9558ED90">
      <w:start w:val="1"/>
      <w:numFmt w:val="decimal"/>
      <w:lvlText w:val="%4."/>
      <w:lvlJc w:val="left"/>
      <w:pPr>
        <w:ind w:left="2880" w:hanging="360"/>
      </w:pPr>
    </w:lvl>
    <w:lvl w:ilvl="4" w:tplc="362805F4">
      <w:start w:val="1"/>
      <w:numFmt w:val="lowerLetter"/>
      <w:lvlText w:val="%5."/>
      <w:lvlJc w:val="left"/>
      <w:pPr>
        <w:ind w:left="3600" w:hanging="360"/>
      </w:pPr>
    </w:lvl>
    <w:lvl w:ilvl="5" w:tplc="B00E8C1A">
      <w:start w:val="1"/>
      <w:numFmt w:val="lowerRoman"/>
      <w:lvlText w:val="%6."/>
      <w:lvlJc w:val="right"/>
      <w:pPr>
        <w:ind w:left="4320" w:hanging="180"/>
      </w:pPr>
    </w:lvl>
    <w:lvl w:ilvl="6" w:tplc="5462B1D8">
      <w:start w:val="1"/>
      <w:numFmt w:val="decimal"/>
      <w:lvlText w:val="%7."/>
      <w:lvlJc w:val="left"/>
      <w:pPr>
        <w:ind w:left="5040" w:hanging="360"/>
      </w:pPr>
    </w:lvl>
    <w:lvl w:ilvl="7" w:tplc="2D56A77A">
      <w:start w:val="1"/>
      <w:numFmt w:val="lowerLetter"/>
      <w:lvlText w:val="%8."/>
      <w:lvlJc w:val="left"/>
      <w:pPr>
        <w:ind w:left="5760" w:hanging="360"/>
      </w:pPr>
    </w:lvl>
    <w:lvl w:ilvl="8" w:tplc="99CEF402">
      <w:start w:val="1"/>
      <w:numFmt w:val="lowerRoman"/>
      <w:lvlText w:val="%9."/>
      <w:lvlJc w:val="right"/>
      <w:pPr>
        <w:ind w:left="6480" w:hanging="180"/>
      </w:pPr>
    </w:lvl>
  </w:abstractNum>
  <w:abstractNum w:abstractNumId="19" w15:restartNumberingAfterBreak="0">
    <w:nsid w:val="1C6F5A7F"/>
    <w:multiLevelType w:val="hybridMultilevel"/>
    <w:tmpl w:val="56683AEC"/>
    <w:lvl w:ilvl="0" w:tplc="E0C218F2">
      <w:start w:val="1"/>
      <w:numFmt w:val="bullet"/>
      <w:lvlText w:val=""/>
      <w:lvlJc w:val="left"/>
      <w:pPr>
        <w:ind w:left="720" w:hanging="360"/>
      </w:pPr>
      <w:rPr>
        <w:rFonts w:ascii="Symbol" w:hAnsi="Symbol" w:hint="default"/>
      </w:rPr>
    </w:lvl>
    <w:lvl w:ilvl="1" w:tplc="58A2AEC6">
      <w:start w:val="1"/>
      <w:numFmt w:val="bullet"/>
      <w:lvlText w:val="o"/>
      <w:lvlJc w:val="left"/>
      <w:pPr>
        <w:ind w:left="1440" w:hanging="360"/>
      </w:pPr>
      <w:rPr>
        <w:rFonts w:ascii="Courier New" w:hAnsi="Courier New" w:hint="default"/>
      </w:rPr>
    </w:lvl>
    <w:lvl w:ilvl="2" w:tplc="756AC37A">
      <w:start w:val="1"/>
      <w:numFmt w:val="bullet"/>
      <w:lvlText w:val=""/>
      <w:lvlJc w:val="left"/>
      <w:pPr>
        <w:ind w:left="2160" w:hanging="360"/>
      </w:pPr>
      <w:rPr>
        <w:rFonts w:ascii="Wingdings" w:hAnsi="Wingdings" w:hint="default"/>
      </w:rPr>
    </w:lvl>
    <w:lvl w:ilvl="3" w:tplc="A9BAC608">
      <w:start w:val="1"/>
      <w:numFmt w:val="bullet"/>
      <w:lvlText w:val=""/>
      <w:lvlJc w:val="left"/>
      <w:pPr>
        <w:ind w:left="2880" w:hanging="360"/>
      </w:pPr>
      <w:rPr>
        <w:rFonts w:ascii="Symbol" w:hAnsi="Symbol" w:hint="default"/>
      </w:rPr>
    </w:lvl>
    <w:lvl w:ilvl="4" w:tplc="D994A068">
      <w:start w:val="1"/>
      <w:numFmt w:val="bullet"/>
      <w:lvlText w:val="o"/>
      <w:lvlJc w:val="left"/>
      <w:pPr>
        <w:ind w:left="3600" w:hanging="360"/>
      </w:pPr>
      <w:rPr>
        <w:rFonts w:ascii="Courier New" w:hAnsi="Courier New" w:hint="default"/>
      </w:rPr>
    </w:lvl>
    <w:lvl w:ilvl="5" w:tplc="5CF47248">
      <w:start w:val="1"/>
      <w:numFmt w:val="bullet"/>
      <w:lvlText w:val=""/>
      <w:lvlJc w:val="left"/>
      <w:pPr>
        <w:ind w:left="4320" w:hanging="360"/>
      </w:pPr>
      <w:rPr>
        <w:rFonts w:ascii="Wingdings" w:hAnsi="Wingdings" w:hint="default"/>
      </w:rPr>
    </w:lvl>
    <w:lvl w:ilvl="6" w:tplc="D2127658">
      <w:start w:val="1"/>
      <w:numFmt w:val="bullet"/>
      <w:lvlText w:val=""/>
      <w:lvlJc w:val="left"/>
      <w:pPr>
        <w:ind w:left="5040" w:hanging="360"/>
      </w:pPr>
      <w:rPr>
        <w:rFonts w:ascii="Symbol" w:hAnsi="Symbol" w:hint="default"/>
      </w:rPr>
    </w:lvl>
    <w:lvl w:ilvl="7" w:tplc="A8E0089C">
      <w:start w:val="1"/>
      <w:numFmt w:val="bullet"/>
      <w:lvlText w:val="o"/>
      <w:lvlJc w:val="left"/>
      <w:pPr>
        <w:ind w:left="5760" w:hanging="360"/>
      </w:pPr>
      <w:rPr>
        <w:rFonts w:ascii="Courier New" w:hAnsi="Courier New" w:hint="default"/>
      </w:rPr>
    </w:lvl>
    <w:lvl w:ilvl="8" w:tplc="BCE8C3E8">
      <w:start w:val="1"/>
      <w:numFmt w:val="bullet"/>
      <w:lvlText w:val=""/>
      <w:lvlJc w:val="left"/>
      <w:pPr>
        <w:ind w:left="6480" w:hanging="360"/>
      </w:pPr>
      <w:rPr>
        <w:rFonts w:ascii="Wingdings" w:hAnsi="Wingdings" w:hint="default"/>
      </w:rPr>
    </w:lvl>
  </w:abstractNum>
  <w:abstractNum w:abstractNumId="20" w15:restartNumberingAfterBreak="0">
    <w:nsid w:val="23AA243A"/>
    <w:multiLevelType w:val="hybridMultilevel"/>
    <w:tmpl w:val="EEDC0662"/>
    <w:lvl w:ilvl="0" w:tplc="17242678">
      <w:start w:val="1"/>
      <w:numFmt w:val="bullet"/>
      <w:lvlText w:val=""/>
      <w:lvlJc w:val="left"/>
      <w:pPr>
        <w:ind w:left="720" w:hanging="360"/>
      </w:pPr>
      <w:rPr>
        <w:rFonts w:ascii="Symbol" w:hAnsi="Symbol" w:hint="default"/>
      </w:rPr>
    </w:lvl>
    <w:lvl w:ilvl="1" w:tplc="2CDAFEA6">
      <w:start w:val="1"/>
      <w:numFmt w:val="bullet"/>
      <w:lvlText w:val="o"/>
      <w:lvlJc w:val="left"/>
      <w:pPr>
        <w:ind w:left="1440" w:hanging="360"/>
      </w:pPr>
      <w:rPr>
        <w:rFonts w:ascii="Courier New" w:hAnsi="Courier New" w:hint="default"/>
      </w:rPr>
    </w:lvl>
    <w:lvl w:ilvl="2" w:tplc="B2BA260C">
      <w:start w:val="1"/>
      <w:numFmt w:val="bullet"/>
      <w:lvlText w:val=""/>
      <w:lvlJc w:val="left"/>
      <w:pPr>
        <w:ind w:left="2160" w:hanging="360"/>
      </w:pPr>
      <w:rPr>
        <w:rFonts w:ascii="Wingdings" w:hAnsi="Wingdings" w:hint="default"/>
      </w:rPr>
    </w:lvl>
    <w:lvl w:ilvl="3" w:tplc="FE7A5508">
      <w:start w:val="1"/>
      <w:numFmt w:val="bullet"/>
      <w:lvlText w:val=""/>
      <w:lvlJc w:val="left"/>
      <w:pPr>
        <w:ind w:left="2880" w:hanging="360"/>
      </w:pPr>
      <w:rPr>
        <w:rFonts w:ascii="Symbol" w:hAnsi="Symbol" w:hint="default"/>
      </w:rPr>
    </w:lvl>
    <w:lvl w:ilvl="4" w:tplc="79C03346">
      <w:start w:val="1"/>
      <w:numFmt w:val="bullet"/>
      <w:lvlText w:val="o"/>
      <w:lvlJc w:val="left"/>
      <w:pPr>
        <w:ind w:left="3600" w:hanging="360"/>
      </w:pPr>
      <w:rPr>
        <w:rFonts w:ascii="Courier New" w:hAnsi="Courier New" w:hint="default"/>
      </w:rPr>
    </w:lvl>
    <w:lvl w:ilvl="5" w:tplc="6596A358">
      <w:start w:val="1"/>
      <w:numFmt w:val="bullet"/>
      <w:lvlText w:val=""/>
      <w:lvlJc w:val="left"/>
      <w:pPr>
        <w:ind w:left="4320" w:hanging="360"/>
      </w:pPr>
      <w:rPr>
        <w:rFonts w:ascii="Wingdings" w:hAnsi="Wingdings" w:hint="default"/>
      </w:rPr>
    </w:lvl>
    <w:lvl w:ilvl="6" w:tplc="E3EA2ADC">
      <w:start w:val="1"/>
      <w:numFmt w:val="bullet"/>
      <w:lvlText w:val=""/>
      <w:lvlJc w:val="left"/>
      <w:pPr>
        <w:ind w:left="5040" w:hanging="360"/>
      </w:pPr>
      <w:rPr>
        <w:rFonts w:ascii="Symbol" w:hAnsi="Symbol" w:hint="default"/>
      </w:rPr>
    </w:lvl>
    <w:lvl w:ilvl="7" w:tplc="8A2C536A">
      <w:start w:val="1"/>
      <w:numFmt w:val="bullet"/>
      <w:lvlText w:val="o"/>
      <w:lvlJc w:val="left"/>
      <w:pPr>
        <w:ind w:left="5760" w:hanging="360"/>
      </w:pPr>
      <w:rPr>
        <w:rFonts w:ascii="Courier New" w:hAnsi="Courier New" w:hint="default"/>
      </w:rPr>
    </w:lvl>
    <w:lvl w:ilvl="8" w:tplc="7700B900">
      <w:start w:val="1"/>
      <w:numFmt w:val="bullet"/>
      <w:lvlText w:val=""/>
      <w:lvlJc w:val="left"/>
      <w:pPr>
        <w:ind w:left="6480" w:hanging="360"/>
      </w:pPr>
      <w:rPr>
        <w:rFonts w:ascii="Wingdings" w:hAnsi="Wingdings" w:hint="default"/>
      </w:rPr>
    </w:lvl>
  </w:abstractNum>
  <w:abstractNum w:abstractNumId="21" w15:restartNumberingAfterBreak="0">
    <w:nsid w:val="23CDF7C1"/>
    <w:multiLevelType w:val="hybridMultilevel"/>
    <w:tmpl w:val="B4269D54"/>
    <w:lvl w:ilvl="0" w:tplc="07DE3852">
      <w:start w:val="1"/>
      <w:numFmt w:val="bullet"/>
      <w:lvlText w:val=""/>
      <w:lvlJc w:val="left"/>
      <w:pPr>
        <w:ind w:left="720" w:hanging="360"/>
      </w:pPr>
      <w:rPr>
        <w:rFonts w:ascii="Symbol" w:hAnsi="Symbol" w:hint="default"/>
      </w:rPr>
    </w:lvl>
    <w:lvl w:ilvl="1" w:tplc="247ACDAA">
      <w:start w:val="1"/>
      <w:numFmt w:val="bullet"/>
      <w:lvlText w:val="o"/>
      <w:lvlJc w:val="left"/>
      <w:pPr>
        <w:ind w:left="1440" w:hanging="360"/>
      </w:pPr>
      <w:rPr>
        <w:rFonts w:ascii="Courier New" w:hAnsi="Courier New" w:hint="default"/>
      </w:rPr>
    </w:lvl>
    <w:lvl w:ilvl="2" w:tplc="86AE597E">
      <w:start w:val="1"/>
      <w:numFmt w:val="bullet"/>
      <w:lvlText w:val=""/>
      <w:lvlJc w:val="left"/>
      <w:pPr>
        <w:ind w:left="2160" w:hanging="360"/>
      </w:pPr>
      <w:rPr>
        <w:rFonts w:ascii="Wingdings" w:hAnsi="Wingdings" w:hint="default"/>
      </w:rPr>
    </w:lvl>
    <w:lvl w:ilvl="3" w:tplc="972E3556">
      <w:start w:val="1"/>
      <w:numFmt w:val="bullet"/>
      <w:lvlText w:val=""/>
      <w:lvlJc w:val="left"/>
      <w:pPr>
        <w:ind w:left="2880" w:hanging="360"/>
      </w:pPr>
      <w:rPr>
        <w:rFonts w:ascii="Symbol" w:hAnsi="Symbol" w:hint="default"/>
      </w:rPr>
    </w:lvl>
    <w:lvl w:ilvl="4" w:tplc="70EA2052">
      <w:start w:val="1"/>
      <w:numFmt w:val="bullet"/>
      <w:lvlText w:val="o"/>
      <w:lvlJc w:val="left"/>
      <w:pPr>
        <w:ind w:left="3600" w:hanging="360"/>
      </w:pPr>
      <w:rPr>
        <w:rFonts w:ascii="Courier New" w:hAnsi="Courier New" w:hint="default"/>
      </w:rPr>
    </w:lvl>
    <w:lvl w:ilvl="5" w:tplc="3F5E57DE">
      <w:start w:val="1"/>
      <w:numFmt w:val="bullet"/>
      <w:lvlText w:val=""/>
      <w:lvlJc w:val="left"/>
      <w:pPr>
        <w:ind w:left="4320" w:hanging="360"/>
      </w:pPr>
      <w:rPr>
        <w:rFonts w:ascii="Wingdings" w:hAnsi="Wingdings" w:hint="default"/>
      </w:rPr>
    </w:lvl>
    <w:lvl w:ilvl="6" w:tplc="3F18106C">
      <w:start w:val="1"/>
      <w:numFmt w:val="bullet"/>
      <w:lvlText w:val=""/>
      <w:lvlJc w:val="left"/>
      <w:pPr>
        <w:ind w:left="5040" w:hanging="360"/>
      </w:pPr>
      <w:rPr>
        <w:rFonts w:ascii="Symbol" w:hAnsi="Symbol" w:hint="default"/>
      </w:rPr>
    </w:lvl>
    <w:lvl w:ilvl="7" w:tplc="4044F68E">
      <w:start w:val="1"/>
      <w:numFmt w:val="bullet"/>
      <w:lvlText w:val="o"/>
      <w:lvlJc w:val="left"/>
      <w:pPr>
        <w:ind w:left="5760" w:hanging="360"/>
      </w:pPr>
      <w:rPr>
        <w:rFonts w:ascii="Courier New" w:hAnsi="Courier New" w:hint="default"/>
      </w:rPr>
    </w:lvl>
    <w:lvl w:ilvl="8" w:tplc="50C8668A">
      <w:start w:val="1"/>
      <w:numFmt w:val="bullet"/>
      <w:lvlText w:val=""/>
      <w:lvlJc w:val="left"/>
      <w:pPr>
        <w:ind w:left="6480" w:hanging="360"/>
      </w:pPr>
      <w:rPr>
        <w:rFonts w:ascii="Wingdings" w:hAnsi="Wingdings" w:hint="default"/>
      </w:rPr>
    </w:lvl>
  </w:abstractNum>
  <w:abstractNum w:abstractNumId="22" w15:restartNumberingAfterBreak="0">
    <w:nsid w:val="276183AA"/>
    <w:multiLevelType w:val="hybridMultilevel"/>
    <w:tmpl w:val="33D03E04"/>
    <w:lvl w:ilvl="0" w:tplc="9E8834EC">
      <w:start w:val="1"/>
      <w:numFmt w:val="bullet"/>
      <w:lvlText w:val=""/>
      <w:lvlJc w:val="left"/>
      <w:pPr>
        <w:ind w:left="720" w:hanging="360"/>
      </w:pPr>
      <w:rPr>
        <w:rFonts w:ascii="Symbol" w:hAnsi="Symbol" w:hint="default"/>
      </w:rPr>
    </w:lvl>
    <w:lvl w:ilvl="1" w:tplc="AEFEC070">
      <w:start w:val="1"/>
      <w:numFmt w:val="bullet"/>
      <w:lvlText w:val="o"/>
      <w:lvlJc w:val="left"/>
      <w:pPr>
        <w:ind w:left="1440" w:hanging="360"/>
      </w:pPr>
      <w:rPr>
        <w:rFonts w:ascii="Courier New" w:hAnsi="Courier New" w:hint="default"/>
      </w:rPr>
    </w:lvl>
    <w:lvl w:ilvl="2" w:tplc="194CD1A8">
      <w:start w:val="1"/>
      <w:numFmt w:val="bullet"/>
      <w:lvlText w:val=""/>
      <w:lvlJc w:val="left"/>
      <w:pPr>
        <w:ind w:left="2160" w:hanging="360"/>
      </w:pPr>
      <w:rPr>
        <w:rFonts w:ascii="Wingdings" w:hAnsi="Wingdings" w:hint="default"/>
      </w:rPr>
    </w:lvl>
    <w:lvl w:ilvl="3" w:tplc="C6BA5598">
      <w:start w:val="1"/>
      <w:numFmt w:val="bullet"/>
      <w:lvlText w:val=""/>
      <w:lvlJc w:val="left"/>
      <w:pPr>
        <w:ind w:left="2880" w:hanging="360"/>
      </w:pPr>
      <w:rPr>
        <w:rFonts w:ascii="Symbol" w:hAnsi="Symbol" w:hint="default"/>
      </w:rPr>
    </w:lvl>
    <w:lvl w:ilvl="4" w:tplc="40FA2EA2">
      <w:start w:val="1"/>
      <w:numFmt w:val="bullet"/>
      <w:lvlText w:val="o"/>
      <w:lvlJc w:val="left"/>
      <w:pPr>
        <w:ind w:left="3600" w:hanging="360"/>
      </w:pPr>
      <w:rPr>
        <w:rFonts w:ascii="Courier New" w:hAnsi="Courier New" w:hint="default"/>
      </w:rPr>
    </w:lvl>
    <w:lvl w:ilvl="5" w:tplc="8A766A84">
      <w:start w:val="1"/>
      <w:numFmt w:val="bullet"/>
      <w:lvlText w:val=""/>
      <w:lvlJc w:val="left"/>
      <w:pPr>
        <w:ind w:left="4320" w:hanging="360"/>
      </w:pPr>
      <w:rPr>
        <w:rFonts w:ascii="Wingdings" w:hAnsi="Wingdings" w:hint="default"/>
      </w:rPr>
    </w:lvl>
    <w:lvl w:ilvl="6" w:tplc="D658AD56">
      <w:start w:val="1"/>
      <w:numFmt w:val="bullet"/>
      <w:lvlText w:val=""/>
      <w:lvlJc w:val="left"/>
      <w:pPr>
        <w:ind w:left="5040" w:hanging="360"/>
      </w:pPr>
      <w:rPr>
        <w:rFonts w:ascii="Symbol" w:hAnsi="Symbol" w:hint="default"/>
      </w:rPr>
    </w:lvl>
    <w:lvl w:ilvl="7" w:tplc="54AA8D20">
      <w:start w:val="1"/>
      <w:numFmt w:val="bullet"/>
      <w:lvlText w:val="o"/>
      <w:lvlJc w:val="left"/>
      <w:pPr>
        <w:ind w:left="5760" w:hanging="360"/>
      </w:pPr>
      <w:rPr>
        <w:rFonts w:ascii="Courier New" w:hAnsi="Courier New" w:hint="default"/>
      </w:rPr>
    </w:lvl>
    <w:lvl w:ilvl="8" w:tplc="83E21446">
      <w:start w:val="1"/>
      <w:numFmt w:val="bullet"/>
      <w:lvlText w:val=""/>
      <w:lvlJc w:val="left"/>
      <w:pPr>
        <w:ind w:left="6480" w:hanging="360"/>
      </w:pPr>
      <w:rPr>
        <w:rFonts w:ascii="Wingdings" w:hAnsi="Wingdings" w:hint="default"/>
      </w:rPr>
    </w:lvl>
  </w:abstractNum>
  <w:abstractNum w:abstractNumId="23" w15:restartNumberingAfterBreak="0">
    <w:nsid w:val="28841AF4"/>
    <w:multiLevelType w:val="hybridMultilevel"/>
    <w:tmpl w:val="8D8A87FA"/>
    <w:lvl w:ilvl="0" w:tplc="EDE64348">
      <w:start w:val="1"/>
      <w:numFmt w:val="bullet"/>
      <w:lvlText w:val=""/>
      <w:lvlJc w:val="left"/>
      <w:pPr>
        <w:ind w:left="720" w:hanging="360"/>
      </w:pPr>
      <w:rPr>
        <w:rFonts w:ascii="Symbol" w:hAnsi="Symbol" w:hint="default"/>
      </w:rPr>
    </w:lvl>
    <w:lvl w:ilvl="1" w:tplc="A67A196C">
      <w:start w:val="1"/>
      <w:numFmt w:val="bullet"/>
      <w:lvlText w:val="o"/>
      <w:lvlJc w:val="left"/>
      <w:pPr>
        <w:ind w:left="1440" w:hanging="360"/>
      </w:pPr>
      <w:rPr>
        <w:rFonts w:ascii="Courier New" w:hAnsi="Courier New" w:hint="default"/>
      </w:rPr>
    </w:lvl>
    <w:lvl w:ilvl="2" w:tplc="C9F8EE40">
      <w:start w:val="1"/>
      <w:numFmt w:val="bullet"/>
      <w:lvlText w:val=""/>
      <w:lvlJc w:val="left"/>
      <w:pPr>
        <w:ind w:left="2160" w:hanging="360"/>
      </w:pPr>
      <w:rPr>
        <w:rFonts w:ascii="Wingdings" w:hAnsi="Wingdings" w:hint="default"/>
      </w:rPr>
    </w:lvl>
    <w:lvl w:ilvl="3" w:tplc="8CF4EB54">
      <w:start w:val="1"/>
      <w:numFmt w:val="bullet"/>
      <w:lvlText w:val=""/>
      <w:lvlJc w:val="left"/>
      <w:pPr>
        <w:ind w:left="2880" w:hanging="360"/>
      </w:pPr>
      <w:rPr>
        <w:rFonts w:ascii="Symbol" w:hAnsi="Symbol" w:hint="default"/>
      </w:rPr>
    </w:lvl>
    <w:lvl w:ilvl="4" w:tplc="A8880590">
      <w:start w:val="1"/>
      <w:numFmt w:val="bullet"/>
      <w:lvlText w:val="o"/>
      <w:lvlJc w:val="left"/>
      <w:pPr>
        <w:ind w:left="3600" w:hanging="360"/>
      </w:pPr>
      <w:rPr>
        <w:rFonts w:ascii="Courier New" w:hAnsi="Courier New" w:hint="default"/>
      </w:rPr>
    </w:lvl>
    <w:lvl w:ilvl="5" w:tplc="D52C8648">
      <w:start w:val="1"/>
      <w:numFmt w:val="bullet"/>
      <w:lvlText w:val=""/>
      <w:lvlJc w:val="left"/>
      <w:pPr>
        <w:ind w:left="4320" w:hanging="360"/>
      </w:pPr>
      <w:rPr>
        <w:rFonts w:ascii="Wingdings" w:hAnsi="Wingdings" w:hint="default"/>
      </w:rPr>
    </w:lvl>
    <w:lvl w:ilvl="6" w:tplc="20CA451A">
      <w:start w:val="1"/>
      <w:numFmt w:val="bullet"/>
      <w:lvlText w:val=""/>
      <w:lvlJc w:val="left"/>
      <w:pPr>
        <w:ind w:left="5040" w:hanging="360"/>
      </w:pPr>
      <w:rPr>
        <w:rFonts w:ascii="Symbol" w:hAnsi="Symbol" w:hint="default"/>
      </w:rPr>
    </w:lvl>
    <w:lvl w:ilvl="7" w:tplc="7FCC5D5C">
      <w:start w:val="1"/>
      <w:numFmt w:val="bullet"/>
      <w:lvlText w:val="o"/>
      <w:lvlJc w:val="left"/>
      <w:pPr>
        <w:ind w:left="5760" w:hanging="360"/>
      </w:pPr>
      <w:rPr>
        <w:rFonts w:ascii="Courier New" w:hAnsi="Courier New" w:hint="default"/>
      </w:rPr>
    </w:lvl>
    <w:lvl w:ilvl="8" w:tplc="1C0ECEE4">
      <w:start w:val="1"/>
      <w:numFmt w:val="bullet"/>
      <w:lvlText w:val=""/>
      <w:lvlJc w:val="left"/>
      <w:pPr>
        <w:ind w:left="6480" w:hanging="360"/>
      </w:pPr>
      <w:rPr>
        <w:rFonts w:ascii="Wingdings" w:hAnsi="Wingdings" w:hint="default"/>
      </w:rPr>
    </w:lvl>
  </w:abstractNum>
  <w:abstractNum w:abstractNumId="24" w15:restartNumberingAfterBreak="0">
    <w:nsid w:val="2AE8E637"/>
    <w:multiLevelType w:val="hybridMultilevel"/>
    <w:tmpl w:val="830A8342"/>
    <w:lvl w:ilvl="0" w:tplc="225EC090">
      <w:start w:val="1"/>
      <w:numFmt w:val="bullet"/>
      <w:lvlText w:val=""/>
      <w:lvlJc w:val="left"/>
      <w:pPr>
        <w:ind w:left="720" w:hanging="360"/>
      </w:pPr>
      <w:rPr>
        <w:rFonts w:ascii="Symbol" w:hAnsi="Symbol" w:hint="default"/>
      </w:rPr>
    </w:lvl>
    <w:lvl w:ilvl="1" w:tplc="D6309912">
      <w:start w:val="1"/>
      <w:numFmt w:val="bullet"/>
      <w:lvlText w:val="o"/>
      <w:lvlJc w:val="left"/>
      <w:pPr>
        <w:ind w:left="1440" w:hanging="360"/>
      </w:pPr>
      <w:rPr>
        <w:rFonts w:ascii="Symbol" w:hAnsi="Symbol" w:hint="default"/>
      </w:rPr>
    </w:lvl>
    <w:lvl w:ilvl="2" w:tplc="C74E9FB2">
      <w:start w:val="1"/>
      <w:numFmt w:val="bullet"/>
      <w:lvlText w:val=""/>
      <w:lvlJc w:val="left"/>
      <w:pPr>
        <w:ind w:left="2160" w:hanging="360"/>
      </w:pPr>
      <w:rPr>
        <w:rFonts w:ascii="Wingdings" w:hAnsi="Wingdings" w:hint="default"/>
      </w:rPr>
    </w:lvl>
    <w:lvl w:ilvl="3" w:tplc="DD349826">
      <w:start w:val="1"/>
      <w:numFmt w:val="bullet"/>
      <w:lvlText w:val=""/>
      <w:lvlJc w:val="left"/>
      <w:pPr>
        <w:ind w:left="2880" w:hanging="360"/>
      </w:pPr>
      <w:rPr>
        <w:rFonts w:ascii="Symbol" w:hAnsi="Symbol" w:hint="default"/>
      </w:rPr>
    </w:lvl>
    <w:lvl w:ilvl="4" w:tplc="682A701E">
      <w:start w:val="1"/>
      <w:numFmt w:val="bullet"/>
      <w:lvlText w:val="o"/>
      <w:lvlJc w:val="left"/>
      <w:pPr>
        <w:ind w:left="3600" w:hanging="360"/>
      </w:pPr>
      <w:rPr>
        <w:rFonts w:ascii="Courier New" w:hAnsi="Courier New" w:hint="default"/>
      </w:rPr>
    </w:lvl>
    <w:lvl w:ilvl="5" w:tplc="8C24D2D0">
      <w:start w:val="1"/>
      <w:numFmt w:val="bullet"/>
      <w:lvlText w:val=""/>
      <w:lvlJc w:val="left"/>
      <w:pPr>
        <w:ind w:left="4320" w:hanging="360"/>
      </w:pPr>
      <w:rPr>
        <w:rFonts w:ascii="Wingdings" w:hAnsi="Wingdings" w:hint="default"/>
      </w:rPr>
    </w:lvl>
    <w:lvl w:ilvl="6" w:tplc="23B8AD0E">
      <w:start w:val="1"/>
      <w:numFmt w:val="bullet"/>
      <w:lvlText w:val=""/>
      <w:lvlJc w:val="left"/>
      <w:pPr>
        <w:ind w:left="5040" w:hanging="360"/>
      </w:pPr>
      <w:rPr>
        <w:rFonts w:ascii="Symbol" w:hAnsi="Symbol" w:hint="default"/>
      </w:rPr>
    </w:lvl>
    <w:lvl w:ilvl="7" w:tplc="86643E26">
      <w:start w:val="1"/>
      <w:numFmt w:val="bullet"/>
      <w:lvlText w:val="o"/>
      <w:lvlJc w:val="left"/>
      <w:pPr>
        <w:ind w:left="5760" w:hanging="360"/>
      </w:pPr>
      <w:rPr>
        <w:rFonts w:ascii="Courier New" w:hAnsi="Courier New" w:hint="default"/>
      </w:rPr>
    </w:lvl>
    <w:lvl w:ilvl="8" w:tplc="CA325928">
      <w:start w:val="1"/>
      <w:numFmt w:val="bullet"/>
      <w:lvlText w:val=""/>
      <w:lvlJc w:val="left"/>
      <w:pPr>
        <w:ind w:left="6480" w:hanging="360"/>
      </w:pPr>
      <w:rPr>
        <w:rFonts w:ascii="Wingdings" w:hAnsi="Wingdings" w:hint="default"/>
      </w:rPr>
    </w:lvl>
  </w:abstractNum>
  <w:abstractNum w:abstractNumId="25" w15:restartNumberingAfterBreak="0">
    <w:nsid w:val="2E13B930"/>
    <w:multiLevelType w:val="hybridMultilevel"/>
    <w:tmpl w:val="3C7CEAFC"/>
    <w:lvl w:ilvl="0" w:tplc="833E705E">
      <w:start w:val="1"/>
      <w:numFmt w:val="bullet"/>
      <w:lvlText w:val="o"/>
      <w:lvlJc w:val="left"/>
      <w:pPr>
        <w:ind w:left="1080" w:hanging="360"/>
      </w:pPr>
      <w:rPr>
        <w:rFonts w:ascii="Courier New" w:hAnsi="Courier New" w:hint="default"/>
      </w:rPr>
    </w:lvl>
    <w:lvl w:ilvl="1" w:tplc="51EC5596">
      <w:start w:val="1"/>
      <w:numFmt w:val="bullet"/>
      <w:lvlText w:val="o"/>
      <w:lvlJc w:val="left"/>
      <w:pPr>
        <w:ind w:left="1800" w:hanging="360"/>
      </w:pPr>
      <w:rPr>
        <w:rFonts w:ascii="Courier New" w:hAnsi="Courier New" w:hint="default"/>
      </w:rPr>
    </w:lvl>
    <w:lvl w:ilvl="2" w:tplc="E36C234A">
      <w:start w:val="1"/>
      <w:numFmt w:val="bullet"/>
      <w:lvlText w:val=""/>
      <w:lvlJc w:val="left"/>
      <w:pPr>
        <w:ind w:left="2520" w:hanging="360"/>
      </w:pPr>
      <w:rPr>
        <w:rFonts w:ascii="Wingdings" w:hAnsi="Wingdings" w:hint="default"/>
      </w:rPr>
    </w:lvl>
    <w:lvl w:ilvl="3" w:tplc="1C487EE2">
      <w:start w:val="1"/>
      <w:numFmt w:val="bullet"/>
      <w:lvlText w:val=""/>
      <w:lvlJc w:val="left"/>
      <w:pPr>
        <w:ind w:left="3240" w:hanging="360"/>
      </w:pPr>
      <w:rPr>
        <w:rFonts w:ascii="Symbol" w:hAnsi="Symbol" w:hint="default"/>
      </w:rPr>
    </w:lvl>
    <w:lvl w:ilvl="4" w:tplc="1FEAB3C6">
      <w:start w:val="1"/>
      <w:numFmt w:val="bullet"/>
      <w:lvlText w:val="o"/>
      <w:lvlJc w:val="left"/>
      <w:pPr>
        <w:ind w:left="3960" w:hanging="360"/>
      </w:pPr>
      <w:rPr>
        <w:rFonts w:ascii="Courier New" w:hAnsi="Courier New" w:hint="default"/>
      </w:rPr>
    </w:lvl>
    <w:lvl w:ilvl="5" w:tplc="521443C6">
      <w:start w:val="1"/>
      <w:numFmt w:val="bullet"/>
      <w:lvlText w:val=""/>
      <w:lvlJc w:val="left"/>
      <w:pPr>
        <w:ind w:left="4680" w:hanging="360"/>
      </w:pPr>
      <w:rPr>
        <w:rFonts w:ascii="Wingdings" w:hAnsi="Wingdings" w:hint="default"/>
      </w:rPr>
    </w:lvl>
    <w:lvl w:ilvl="6" w:tplc="798A4A22">
      <w:start w:val="1"/>
      <w:numFmt w:val="bullet"/>
      <w:lvlText w:val=""/>
      <w:lvlJc w:val="left"/>
      <w:pPr>
        <w:ind w:left="5400" w:hanging="360"/>
      </w:pPr>
      <w:rPr>
        <w:rFonts w:ascii="Symbol" w:hAnsi="Symbol" w:hint="default"/>
      </w:rPr>
    </w:lvl>
    <w:lvl w:ilvl="7" w:tplc="6C462BAA">
      <w:start w:val="1"/>
      <w:numFmt w:val="bullet"/>
      <w:lvlText w:val="o"/>
      <w:lvlJc w:val="left"/>
      <w:pPr>
        <w:ind w:left="6120" w:hanging="360"/>
      </w:pPr>
      <w:rPr>
        <w:rFonts w:ascii="Courier New" w:hAnsi="Courier New" w:hint="default"/>
      </w:rPr>
    </w:lvl>
    <w:lvl w:ilvl="8" w:tplc="66F2BE7C">
      <w:start w:val="1"/>
      <w:numFmt w:val="bullet"/>
      <w:lvlText w:val=""/>
      <w:lvlJc w:val="left"/>
      <w:pPr>
        <w:ind w:left="6840" w:hanging="360"/>
      </w:pPr>
      <w:rPr>
        <w:rFonts w:ascii="Wingdings" w:hAnsi="Wingdings" w:hint="default"/>
      </w:rPr>
    </w:lvl>
  </w:abstractNum>
  <w:abstractNum w:abstractNumId="26" w15:restartNumberingAfterBreak="0">
    <w:nsid w:val="2E7DCC83"/>
    <w:multiLevelType w:val="hybridMultilevel"/>
    <w:tmpl w:val="B46C3C92"/>
    <w:lvl w:ilvl="0" w:tplc="1BC4706E">
      <w:start w:val="1"/>
      <w:numFmt w:val="bullet"/>
      <w:lvlText w:val=""/>
      <w:lvlJc w:val="left"/>
      <w:pPr>
        <w:ind w:left="720" w:hanging="360"/>
      </w:pPr>
      <w:rPr>
        <w:rFonts w:ascii="Symbol" w:hAnsi="Symbol" w:hint="default"/>
      </w:rPr>
    </w:lvl>
    <w:lvl w:ilvl="1" w:tplc="BE32F74A">
      <w:start w:val="1"/>
      <w:numFmt w:val="bullet"/>
      <w:lvlText w:val="o"/>
      <w:lvlJc w:val="left"/>
      <w:pPr>
        <w:ind w:left="1440" w:hanging="360"/>
      </w:pPr>
      <w:rPr>
        <w:rFonts w:ascii="Courier New" w:hAnsi="Courier New" w:hint="default"/>
      </w:rPr>
    </w:lvl>
    <w:lvl w:ilvl="2" w:tplc="643817C2">
      <w:start w:val="1"/>
      <w:numFmt w:val="bullet"/>
      <w:lvlText w:val=""/>
      <w:lvlJc w:val="left"/>
      <w:pPr>
        <w:ind w:left="2160" w:hanging="360"/>
      </w:pPr>
      <w:rPr>
        <w:rFonts w:ascii="Wingdings" w:hAnsi="Wingdings" w:hint="default"/>
      </w:rPr>
    </w:lvl>
    <w:lvl w:ilvl="3" w:tplc="ED0C869E">
      <w:start w:val="1"/>
      <w:numFmt w:val="bullet"/>
      <w:lvlText w:val=""/>
      <w:lvlJc w:val="left"/>
      <w:pPr>
        <w:ind w:left="2880" w:hanging="360"/>
      </w:pPr>
      <w:rPr>
        <w:rFonts w:ascii="Symbol" w:hAnsi="Symbol" w:hint="default"/>
      </w:rPr>
    </w:lvl>
    <w:lvl w:ilvl="4" w:tplc="E360715E">
      <w:start w:val="1"/>
      <w:numFmt w:val="bullet"/>
      <w:lvlText w:val="o"/>
      <w:lvlJc w:val="left"/>
      <w:pPr>
        <w:ind w:left="3600" w:hanging="360"/>
      </w:pPr>
      <w:rPr>
        <w:rFonts w:ascii="Courier New" w:hAnsi="Courier New" w:hint="default"/>
      </w:rPr>
    </w:lvl>
    <w:lvl w:ilvl="5" w:tplc="9218482A">
      <w:start w:val="1"/>
      <w:numFmt w:val="bullet"/>
      <w:lvlText w:val=""/>
      <w:lvlJc w:val="left"/>
      <w:pPr>
        <w:ind w:left="4320" w:hanging="360"/>
      </w:pPr>
      <w:rPr>
        <w:rFonts w:ascii="Wingdings" w:hAnsi="Wingdings" w:hint="default"/>
      </w:rPr>
    </w:lvl>
    <w:lvl w:ilvl="6" w:tplc="0A7EED14">
      <w:start w:val="1"/>
      <w:numFmt w:val="bullet"/>
      <w:lvlText w:val=""/>
      <w:lvlJc w:val="left"/>
      <w:pPr>
        <w:ind w:left="5040" w:hanging="360"/>
      </w:pPr>
      <w:rPr>
        <w:rFonts w:ascii="Symbol" w:hAnsi="Symbol" w:hint="default"/>
      </w:rPr>
    </w:lvl>
    <w:lvl w:ilvl="7" w:tplc="BAA005AC">
      <w:start w:val="1"/>
      <w:numFmt w:val="bullet"/>
      <w:lvlText w:val="o"/>
      <w:lvlJc w:val="left"/>
      <w:pPr>
        <w:ind w:left="5760" w:hanging="360"/>
      </w:pPr>
      <w:rPr>
        <w:rFonts w:ascii="Courier New" w:hAnsi="Courier New" w:hint="default"/>
      </w:rPr>
    </w:lvl>
    <w:lvl w:ilvl="8" w:tplc="18ACFA18">
      <w:start w:val="1"/>
      <w:numFmt w:val="bullet"/>
      <w:lvlText w:val=""/>
      <w:lvlJc w:val="left"/>
      <w:pPr>
        <w:ind w:left="6480" w:hanging="360"/>
      </w:pPr>
      <w:rPr>
        <w:rFonts w:ascii="Wingdings" w:hAnsi="Wingdings" w:hint="default"/>
      </w:rPr>
    </w:lvl>
  </w:abstractNum>
  <w:abstractNum w:abstractNumId="27" w15:restartNumberingAfterBreak="0">
    <w:nsid w:val="303FBC38"/>
    <w:multiLevelType w:val="hybridMultilevel"/>
    <w:tmpl w:val="B5D2EEC0"/>
    <w:lvl w:ilvl="0" w:tplc="FA2C12D2">
      <w:start w:val="1"/>
      <w:numFmt w:val="bullet"/>
      <w:lvlText w:val=""/>
      <w:lvlJc w:val="left"/>
      <w:pPr>
        <w:ind w:left="720" w:hanging="360"/>
      </w:pPr>
      <w:rPr>
        <w:rFonts w:ascii="Symbol" w:hAnsi="Symbol" w:hint="default"/>
      </w:rPr>
    </w:lvl>
    <w:lvl w:ilvl="1" w:tplc="564C0F30">
      <w:start w:val="1"/>
      <w:numFmt w:val="bullet"/>
      <w:lvlText w:val="o"/>
      <w:lvlJc w:val="left"/>
      <w:pPr>
        <w:ind w:left="1440" w:hanging="360"/>
      </w:pPr>
      <w:rPr>
        <w:rFonts w:ascii="Courier New" w:hAnsi="Courier New" w:hint="default"/>
      </w:rPr>
    </w:lvl>
    <w:lvl w:ilvl="2" w:tplc="0144DCA6">
      <w:start w:val="1"/>
      <w:numFmt w:val="bullet"/>
      <w:lvlText w:val=""/>
      <w:lvlJc w:val="left"/>
      <w:pPr>
        <w:ind w:left="2160" w:hanging="360"/>
      </w:pPr>
      <w:rPr>
        <w:rFonts w:ascii="Wingdings" w:hAnsi="Wingdings" w:hint="default"/>
      </w:rPr>
    </w:lvl>
    <w:lvl w:ilvl="3" w:tplc="65C26034">
      <w:start w:val="1"/>
      <w:numFmt w:val="bullet"/>
      <w:lvlText w:val=""/>
      <w:lvlJc w:val="left"/>
      <w:pPr>
        <w:ind w:left="2880" w:hanging="360"/>
      </w:pPr>
      <w:rPr>
        <w:rFonts w:ascii="Symbol" w:hAnsi="Symbol" w:hint="default"/>
      </w:rPr>
    </w:lvl>
    <w:lvl w:ilvl="4" w:tplc="104C733C">
      <w:start w:val="1"/>
      <w:numFmt w:val="bullet"/>
      <w:lvlText w:val="o"/>
      <w:lvlJc w:val="left"/>
      <w:pPr>
        <w:ind w:left="3600" w:hanging="360"/>
      </w:pPr>
      <w:rPr>
        <w:rFonts w:ascii="Courier New" w:hAnsi="Courier New" w:hint="default"/>
      </w:rPr>
    </w:lvl>
    <w:lvl w:ilvl="5" w:tplc="64244F9C">
      <w:start w:val="1"/>
      <w:numFmt w:val="bullet"/>
      <w:lvlText w:val=""/>
      <w:lvlJc w:val="left"/>
      <w:pPr>
        <w:ind w:left="4320" w:hanging="360"/>
      </w:pPr>
      <w:rPr>
        <w:rFonts w:ascii="Wingdings" w:hAnsi="Wingdings" w:hint="default"/>
      </w:rPr>
    </w:lvl>
    <w:lvl w:ilvl="6" w:tplc="A4BA11BE">
      <w:start w:val="1"/>
      <w:numFmt w:val="bullet"/>
      <w:lvlText w:val=""/>
      <w:lvlJc w:val="left"/>
      <w:pPr>
        <w:ind w:left="5040" w:hanging="360"/>
      </w:pPr>
      <w:rPr>
        <w:rFonts w:ascii="Symbol" w:hAnsi="Symbol" w:hint="default"/>
      </w:rPr>
    </w:lvl>
    <w:lvl w:ilvl="7" w:tplc="0ADE22B6">
      <w:start w:val="1"/>
      <w:numFmt w:val="bullet"/>
      <w:lvlText w:val="o"/>
      <w:lvlJc w:val="left"/>
      <w:pPr>
        <w:ind w:left="5760" w:hanging="360"/>
      </w:pPr>
      <w:rPr>
        <w:rFonts w:ascii="Courier New" w:hAnsi="Courier New" w:hint="default"/>
      </w:rPr>
    </w:lvl>
    <w:lvl w:ilvl="8" w:tplc="20EC46DA">
      <w:start w:val="1"/>
      <w:numFmt w:val="bullet"/>
      <w:lvlText w:val=""/>
      <w:lvlJc w:val="left"/>
      <w:pPr>
        <w:ind w:left="6480" w:hanging="360"/>
      </w:pPr>
      <w:rPr>
        <w:rFonts w:ascii="Wingdings" w:hAnsi="Wingdings" w:hint="default"/>
      </w:rPr>
    </w:lvl>
  </w:abstractNum>
  <w:abstractNum w:abstractNumId="28" w15:restartNumberingAfterBreak="0">
    <w:nsid w:val="30733EE0"/>
    <w:multiLevelType w:val="hybridMultilevel"/>
    <w:tmpl w:val="86D65242"/>
    <w:lvl w:ilvl="0" w:tplc="20EA094E">
      <w:start w:val="1"/>
      <w:numFmt w:val="bullet"/>
      <w:lvlText w:val=""/>
      <w:lvlJc w:val="left"/>
      <w:pPr>
        <w:ind w:left="720" w:hanging="360"/>
      </w:pPr>
      <w:rPr>
        <w:rFonts w:ascii="Symbol" w:hAnsi="Symbol" w:hint="default"/>
      </w:rPr>
    </w:lvl>
    <w:lvl w:ilvl="1" w:tplc="366AD7EE">
      <w:start w:val="1"/>
      <w:numFmt w:val="bullet"/>
      <w:lvlText w:val="o"/>
      <w:lvlJc w:val="left"/>
      <w:pPr>
        <w:ind w:left="1440" w:hanging="360"/>
      </w:pPr>
      <w:rPr>
        <w:rFonts w:ascii="Courier New" w:hAnsi="Courier New" w:hint="default"/>
      </w:rPr>
    </w:lvl>
    <w:lvl w:ilvl="2" w:tplc="58C27228">
      <w:start w:val="1"/>
      <w:numFmt w:val="bullet"/>
      <w:lvlText w:val=""/>
      <w:lvlJc w:val="left"/>
      <w:pPr>
        <w:ind w:left="2160" w:hanging="360"/>
      </w:pPr>
      <w:rPr>
        <w:rFonts w:ascii="Wingdings" w:hAnsi="Wingdings" w:hint="default"/>
      </w:rPr>
    </w:lvl>
    <w:lvl w:ilvl="3" w:tplc="FC8E832E">
      <w:start w:val="1"/>
      <w:numFmt w:val="bullet"/>
      <w:lvlText w:val=""/>
      <w:lvlJc w:val="left"/>
      <w:pPr>
        <w:ind w:left="2880" w:hanging="360"/>
      </w:pPr>
      <w:rPr>
        <w:rFonts w:ascii="Symbol" w:hAnsi="Symbol" w:hint="default"/>
      </w:rPr>
    </w:lvl>
    <w:lvl w:ilvl="4" w:tplc="F22E61CA">
      <w:start w:val="1"/>
      <w:numFmt w:val="bullet"/>
      <w:lvlText w:val="o"/>
      <w:lvlJc w:val="left"/>
      <w:pPr>
        <w:ind w:left="3600" w:hanging="360"/>
      </w:pPr>
      <w:rPr>
        <w:rFonts w:ascii="Courier New" w:hAnsi="Courier New" w:hint="default"/>
      </w:rPr>
    </w:lvl>
    <w:lvl w:ilvl="5" w:tplc="E25A512E">
      <w:start w:val="1"/>
      <w:numFmt w:val="bullet"/>
      <w:lvlText w:val=""/>
      <w:lvlJc w:val="left"/>
      <w:pPr>
        <w:ind w:left="4320" w:hanging="360"/>
      </w:pPr>
      <w:rPr>
        <w:rFonts w:ascii="Wingdings" w:hAnsi="Wingdings" w:hint="default"/>
      </w:rPr>
    </w:lvl>
    <w:lvl w:ilvl="6" w:tplc="E9B09E6A">
      <w:start w:val="1"/>
      <w:numFmt w:val="bullet"/>
      <w:lvlText w:val=""/>
      <w:lvlJc w:val="left"/>
      <w:pPr>
        <w:ind w:left="5040" w:hanging="360"/>
      </w:pPr>
      <w:rPr>
        <w:rFonts w:ascii="Symbol" w:hAnsi="Symbol" w:hint="default"/>
      </w:rPr>
    </w:lvl>
    <w:lvl w:ilvl="7" w:tplc="D39A70CE">
      <w:start w:val="1"/>
      <w:numFmt w:val="bullet"/>
      <w:lvlText w:val="o"/>
      <w:lvlJc w:val="left"/>
      <w:pPr>
        <w:ind w:left="5760" w:hanging="360"/>
      </w:pPr>
      <w:rPr>
        <w:rFonts w:ascii="Courier New" w:hAnsi="Courier New" w:hint="default"/>
      </w:rPr>
    </w:lvl>
    <w:lvl w:ilvl="8" w:tplc="2F40FEA4">
      <w:start w:val="1"/>
      <w:numFmt w:val="bullet"/>
      <w:lvlText w:val=""/>
      <w:lvlJc w:val="left"/>
      <w:pPr>
        <w:ind w:left="6480" w:hanging="360"/>
      </w:pPr>
      <w:rPr>
        <w:rFonts w:ascii="Wingdings" w:hAnsi="Wingdings" w:hint="default"/>
      </w:rPr>
    </w:lvl>
  </w:abstractNum>
  <w:abstractNum w:abstractNumId="29" w15:restartNumberingAfterBreak="0">
    <w:nsid w:val="32D73B22"/>
    <w:multiLevelType w:val="hybridMultilevel"/>
    <w:tmpl w:val="13CAAECA"/>
    <w:lvl w:ilvl="0" w:tplc="085E6334">
      <w:start w:val="1"/>
      <w:numFmt w:val="bullet"/>
      <w:lvlText w:val=""/>
      <w:lvlJc w:val="left"/>
      <w:pPr>
        <w:ind w:left="720" w:hanging="360"/>
      </w:pPr>
      <w:rPr>
        <w:rFonts w:ascii="Symbol" w:hAnsi="Symbol" w:hint="default"/>
      </w:rPr>
    </w:lvl>
    <w:lvl w:ilvl="1" w:tplc="4F446034">
      <w:start w:val="1"/>
      <w:numFmt w:val="bullet"/>
      <w:lvlText w:val="o"/>
      <w:lvlJc w:val="left"/>
      <w:pPr>
        <w:ind w:left="1440" w:hanging="360"/>
      </w:pPr>
      <w:rPr>
        <w:rFonts w:ascii="Courier New" w:hAnsi="Courier New" w:hint="default"/>
      </w:rPr>
    </w:lvl>
    <w:lvl w:ilvl="2" w:tplc="3258E39A">
      <w:start w:val="1"/>
      <w:numFmt w:val="bullet"/>
      <w:lvlText w:val=""/>
      <w:lvlJc w:val="left"/>
      <w:pPr>
        <w:ind w:left="2160" w:hanging="360"/>
      </w:pPr>
      <w:rPr>
        <w:rFonts w:ascii="Wingdings" w:hAnsi="Wingdings" w:hint="default"/>
      </w:rPr>
    </w:lvl>
    <w:lvl w:ilvl="3" w:tplc="4CA022FE">
      <w:start w:val="1"/>
      <w:numFmt w:val="bullet"/>
      <w:lvlText w:val=""/>
      <w:lvlJc w:val="left"/>
      <w:pPr>
        <w:ind w:left="2880" w:hanging="360"/>
      </w:pPr>
      <w:rPr>
        <w:rFonts w:ascii="Symbol" w:hAnsi="Symbol" w:hint="default"/>
      </w:rPr>
    </w:lvl>
    <w:lvl w:ilvl="4" w:tplc="D284AE26">
      <w:start w:val="1"/>
      <w:numFmt w:val="bullet"/>
      <w:lvlText w:val="o"/>
      <w:lvlJc w:val="left"/>
      <w:pPr>
        <w:ind w:left="3600" w:hanging="360"/>
      </w:pPr>
      <w:rPr>
        <w:rFonts w:ascii="Courier New" w:hAnsi="Courier New" w:hint="default"/>
      </w:rPr>
    </w:lvl>
    <w:lvl w:ilvl="5" w:tplc="7E0CF9CE">
      <w:start w:val="1"/>
      <w:numFmt w:val="bullet"/>
      <w:lvlText w:val=""/>
      <w:lvlJc w:val="left"/>
      <w:pPr>
        <w:ind w:left="4320" w:hanging="360"/>
      </w:pPr>
      <w:rPr>
        <w:rFonts w:ascii="Wingdings" w:hAnsi="Wingdings" w:hint="default"/>
      </w:rPr>
    </w:lvl>
    <w:lvl w:ilvl="6" w:tplc="FF424A04">
      <w:start w:val="1"/>
      <w:numFmt w:val="bullet"/>
      <w:lvlText w:val=""/>
      <w:lvlJc w:val="left"/>
      <w:pPr>
        <w:ind w:left="5040" w:hanging="360"/>
      </w:pPr>
      <w:rPr>
        <w:rFonts w:ascii="Symbol" w:hAnsi="Symbol" w:hint="default"/>
      </w:rPr>
    </w:lvl>
    <w:lvl w:ilvl="7" w:tplc="01C68078">
      <w:start w:val="1"/>
      <w:numFmt w:val="bullet"/>
      <w:lvlText w:val="o"/>
      <w:lvlJc w:val="left"/>
      <w:pPr>
        <w:ind w:left="5760" w:hanging="360"/>
      </w:pPr>
      <w:rPr>
        <w:rFonts w:ascii="Courier New" w:hAnsi="Courier New" w:hint="default"/>
      </w:rPr>
    </w:lvl>
    <w:lvl w:ilvl="8" w:tplc="07AE16D0">
      <w:start w:val="1"/>
      <w:numFmt w:val="bullet"/>
      <w:lvlText w:val=""/>
      <w:lvlJc w:val="left"/>
      <w:pPr>
        <w:ind w:left="6480" w:hanging="360"/>
      </w:pPr>
      <w:rPr>
        <w:rFonts w:ascii="Wingdings" w:hAnsi="Wingdings" w:hint="default"/>
      </w:rPr>
    </w:lvl>
  </w:abstractNum>
  <w:abstractNum w:abstractNumId="30" w15:restartNumberingAfterBreak="0">
    <w:nsid w:val="3727E807"/>
    <w:multiLevelType w:val="hybridMultilevel"/>
    <w:tmpl w:val="1D8E5A5C"/>
    <w:lvl w:ilvl="0" w:tplc="0E320CE0">
      <w:start w:val="1"/>
      <w:numFmt w:val="bullet"/>
      <w:lvlText w:val=""/>
      <w:lvlJc w:val="left"/>
      <w:pPr>
        <w:ind w:left="720" w:hanging="360"/>
      </w:pPr>
      <w:rPr>
        <w:rFonts w:ascii="Symbol" w:hAnsi="Symbol" w:hint="default"/>
      </w:rPr>
    </w:lvl>
    <w:lvl w:ilvl="1" w:tplc="5BB48C1E">
      <w:start w:val="1"/>
      <w:numFmt w:val="bullet"/>
      <w:lvlText w:val="o"/>
      <w:lvlJc w:val="left"/>
      <w:pPr>
        <w:ind w:left="1440" w:hanging="360"/>
      </w:pPr>
      <w:rPr>
        <w:rFonts w:ascii="Courier New" w:hAnsi="Courier New" w:hint="default"/>
      </w:rPr>
    </w:lvl>
    <w:lvl w:ilvl="2" w:tplc="DDF6DA70">
      <w:start w:val="1"/>
      <w:numFmt w:val="bullet"/>
      <w:lvlText w:val=""/>
      <w:lvlJc w:val="left"/>
      <w:pPr>
        <w:ind w:left="2160" w:hanging="360"/>
      </w:pPr>
      <w:rPr>
        <w:rFonts w:ascii="Wingdings" w:hAnsi="Wingdings" w:hint="default"/>
      </w:rPr>
    </w:lvl>
    <w:lvl w:ilvl="3" w:tplc="73DA00FC">
      <w:start w:val="1"/>
      <w:numFmt w:val="bullet"/>
      <w:lvlText w:val=""/>
      <w:lvlJc w:val="left"/>
      <w:pPr>
        <w:ind w:left="2880" w:hanging="360"/>
      </w:pPr>
      <w:rPr>
        <w:rFonts w:ascii="Symbol" w:hAnsi="Symbol" w:hint="default"/>
      </w:rPr>
    </w:lvl>
    <w:lvl w:ilvl="4" w:tplc="070498F2">
      <w:start w:val="1"/>
      <w:numFmt w:val="bullet"/>
      <w:lvlText w:val="o"/>
      <w:lvlJc w:val="left"/>
      <w:pPr>
        <w:ind w:left="3600" w:hanging="360"/>
      </w:pPr>
      <w:rPr>
        <w:rFonts w:ascii="Courier New" w:hAnsi="Courier New" w:hint="default"/>
      </w:rPr>
    </w:lvl>
    <w:lvl w:ilvl="5" w:tplc="E45C44CE">
      <w:start w:val="1"/>
      <w:numFmt w:val="bullet"/>
      <w:lvlText w:val=""/>
      <w:lvlJc w:val="left"/>
      <w:pPr>
        <w:ind w:left="4320" w:hanging="360"/>
      </w:pPr>
      <w:rPr>
        <w:rFonts w:ascii="Wingdings" w:hAnsi="Wingdings" w:hint="default"/>
      </w:rPr>
    </w:lvl>
    <w:lvl w:ilvl="6" w:tplc="EA901358">
      <w:start w:val="1"/>
      <w:numFmt w:val="bullet"/>
      <w:lvlText w:val=""/>
      <w:lvlJc w:val="left"/>
      <w:pPr>
        <w:ind w:left="5040" w:hanging="360"/>
      </w:pPr>
      <w:rPr>
        <w:rFonts w:ascii="Symbol" w:hAnsi="Symbol" w:hint="default"/>
      </w:rPr>
    </w:lvl>
    <w:lvl w:ilvl="7" w:tplc="8D00BAE8">
      <w:start w:val="1"/>
      <w:numFmt w:val="bullet"/>
      <w:lvlText w:val="o"/>
      <w:lvlJc w:val="left"/>
      <w:pPr>
        <w:ind w:left="5760" w:hanging="360"/>
      </w:pPr>
      <w:rPr>
        <w:rFonts w:ascii="Courier New" w:hAnsi="Courier New" w:hint="default"/>
      </w:rPr>
    </w:lvl>
    <w:lvl w:ilvl="8" w:tplc="F302577E">
      <w:start w:val="1"/>
      <w:numFmt w:val="bullet"/>
      <w:lvlText w:val=""/>
      <w:lvlJc w:val="left"/>
      <w:pPr>
        <w:ind w:left="6480" w:hanging="360"/>
      </w:pPr>
      <w:rPr>
        <w:rFonts w:ascii="Wingdings" w:hAnsi="Wingdings" w:hint="default"/>
      </w:rPr>
    </w:lvl>
  </w:abstractNum>
  <w:abstractNum w:abstractNumId="31" w15:restartNumberingAfterBreak="0">
    <w:nsid w:val="3740B83A"/>
    <w:multiLevelType w:val="hybridMultilevel"/>
    <w:tmpl w:val="25C4149A"/>
    <w:lvl w:ilvl="0" w:tplc="BEE848AA">
      <w:start w:val="1"/>
      <w:numFmt w:val="bullet"/>
      <w:lvlText w:val="o"/>
      <w:lvlJc w:val="left"/>
      <w:pPr>
        <w:ind w:left="1080" w:hanging="360"/>
      </w:pPr>
      <w:rPr>
        <w:rFonts w:ascii="Courier New" w:hAnsi="Courier New" w:hint="default"/>
      </w:rPr>
    </w:lvl>
    <w:lvl w:ilvl="1" w:tplc="36C44BCA">
      <w:start w:val="1"/>
      <w:numFmt w:val="bullet"/>
      <w:lvlText w:val="o"/>
      <w:lvlJc w:val="left"/>
      <w:pPr>
        <w:ind w:left="1800" w:hanging="360"/>
      </w:pPr>
      <w:rPr>
        <w:rFonts w:ascii="Courier New" w:hAnsi="Courier New" w:hint="default"/>
      </w:rPr>
    </w:lvl>
    <w:lvl w:ilvl="2" w:tplc="0AB8BA9E">
      <w:start w:val="1"/>
      <w:numFmt w:val="bullet"/>
      <w:lvlText w:val=""/>
      <w:lvlJc w:val="left"/>
      <w:pPr>
        <w:ind w:left="2520" w:hanging="360"/>
      </w:pPr>
      <w:rPr>
        <w:rFonts w:ascii="Wingdings" w:hAnsi="Wingdings" w:hint="default"/>
      </w:rPr>
    </w:lvl>
    <w:lvl w:ilvl="3" w:tplc="C0309942">
      <w:start w:val="1"/>
      <w:numFmt w:val="bullet"/>
      <w:lvlText w:val=""/>
      <w:lvlJc w:val="left"/>
      <w:pPr>
        <w:ind w:left="3240" w:hanging="360"/>
      </w:pPr>
      <w:rPr>
        <w:rFonts w:ascii="Symbol" w:hAnsi="Symbol" w:hint="default"/>
      </w:rPr>
    </w:lvl>
    <w:lvl w:ilvl="4" w:tplc="1B96AC66">
      <w:start w:val="1"/>
      <w:numFmt w:val="bullet"/>
      <w:lvlText w:val="o"/>
      <w:lvlJc w:val="left"/>
      <w:pPr>
        <w:ind w:left="3960" w:hanging="360"/>
      </w:pPr>
      <w:rPr>
        <w:rFonts w:ascii="Courier New" w:hAnsi="Courier New" w:hint="default"/>
      </w:rPr>
    </w:lvl>
    <w:lvl w:ilvl="5" w:tplc="3EBE4904">
      <w:start w:val="1"/>
      <w:numFmt w:val="bullet"/>
      <w:lvlText w:val=""/>
      <w:lvlJc w:val="left"/>
      <w:pPr>
        <w:ind w:left="4680" w:hanging="360"/>
      </w:pPr>
      <w:rPr>
        <w:rFonts w:ascii="Wingdings" w:hAnsi="Wingdings" w:hint="default"/>
      </w:rPr>
    </w:lvl>
    <w:lvl w:ilvl="6" w:tplc="9DCE70DC">
      <w:start w:val="1"/>
      <w:numFmt w:val="bullet"/>
      <w:lvlText w:val=""/>
      <w:lvlJc w:val="left"/>
      <w:pPr>
        <w:ind w:left="5400" w:hanging="360"/>
      </w:pPr>
      <w:rPr>
        <w:rFonts w:ascii="Symbol" w:hAnsi="Symbol" w:hint="default"/>
      </w:rPr>
    </w:lvl>
    <w:lvl w:ilvl="7" w:tplc="262A77B0">
      <w:start w:val="1"/>
      <w:numFmt w:val="bullet"/>
      <w:lvlText w:val="o"/>
      <w:lvlJc w:val="left"/>
      <w:pPr>
        <w:ind w:left="6120" w:hanging="360"/>
      </w:pPr>
      <w:rPr>
        <w:rFonts w:ascii="Courier New" w:hAnsi="Courier New" w:hint="default"/>
      </w:rPr>
    </w:lvl>
    <w:lvl w:ilvl="8" w:tplc="09CC469C">
      <w:start w:val="1"/>
      <w:numFmt w:val="bullet"/>
      <w:lvlText w:val=""/>
      <w:lvlJc w:val="left"/>
      <w:pPr>
        <w:ind w:left="6840" w:hanging="360"/>
      </w:pPr>
      <w:rPr>
        <w:rFonts w:ascii="Wingdings" w:hAnsi="Wingdings" w:hint="default"/>
      </w:rPr>
    </w:lvl>
  </w:abstractNum>
  <w:abstractNum w:abstractNumId="32" w15:restartNumberingAfterBreak="0">
    <w:nsid w:val="3837CA96"/>
    <w:multiLevelType w:val="hybridMultilevel"/>
    <w:tmpl w:val="05F4C1A8"/>
    <w:lvl w:ilvl="0" w:tplc="FDECE1F6">
      <w:start w:val="1"/>
      <w:numFmt w:val="bullet"/>
      <w:lvlText w:val=""/>
      <w:lvlJc w:val="left"/>
      <w:pPr>
        <w:ind w:left="720" w:hanging="360"/>
      </w:pPr>
      <w:rPr>
        <w:rFonts w:ascii="Symbol" w:hAnsi="Symbol" w:hint="default"/>
      </w:rPr>
    </w:lvl>
    <w:lvl w:ilvl="1" w:tplc="345E79AE">
      <w:start w:val="1"/>
      <w:numFmt w:val="bullet"/>
      <w:lvlText w:val="o"/>
      <w:lvlJc w:val="left"/>
      <w:pPr>
        <w:ind w:left="1440" w:hanging="360"/>
      </w:pPr>
      <w:rPr>
        <w:rFonts w:ascii="Courier New" w:hAnsi="Courier New" w:hint="default"/>
      </w:rPr>
    </w:lvl>
    <w:lvl w:ilvl="2" w:tplc="70E0DEAE">
      <w:start w:val="1"/>
      <w:numFmt w:val="bullet"/>
      <w:lvlText w:val=""/>
      <w:lvlJc w:val="left"/>
      <w:pPr>
        <w:ind w:left="2160" w:hanging="360"/>
      </w:pPr>
      <w:rPr>
        <w:rFonts w:ascii="Wingdings" w:hAnsi="Wingdings" w:hint="default"/>
      </w:rPr>
    </w:lvl>
    <w:lvl w:ilvl="3" w:tplc="7770A560">
      <w:start w:val="1"/>
      <w:numFmt w:val="bullet"/>
      <w:lvlText w:val=""/>
      <w:lvlJc w:val="left"/>
      <w:pPr>
        <w:ind w:left="2880" w:hanging="360"/>
      </w:pPr>
      <w:rPr>
        <w:rFonts w:ascii="Symbol" w:hAnsi="Symbol" w:hint="default"/>
      </w:rPr>
    </w:lvl>
    <w:lvl w:ilvl="4" w:tplc="EFA2CE1A">
      <w:start w:val="1"/>
      <w:numFmt w:val="bullet"/>
      <w:lvlText w:val="o"/>
      <w:lvlJc w:val="left"/>
      <w:pPr>
        <w:ind w:left="3600" w:hanging="360"/>
      </w:pPr>
      <w:rPr>
        <w:rFonts w:ascii="Courier New" w:hAnsi="Courier New" w:hint="default"/>
      </w:rPr>
    </w:lvl>
    <w:lvl w:ilvl="5" w:tplc="77B83988">
      <w:start w:val="1"/>
      <w:numFmt w:val="bullet"/>
      <w:lvlText w:val=""/>
      <w:lvlJc w:val="left"/>
      <w:pPr>
        <w:ind w:left="4320" w:hanging="360"/>
      </w:pPr>
      <w:rPr>
        <w:rFonts w:ascii="Wingdings" w:hAnsi="Wingdings" w:hint="default"/>
      </w:rPr>
    </w:lvl>
    <w:lvl w:ilvl="6" w:tplc="6C406340">
      <w:start w:val="1"/>
      <w:numFmt w:val="bullet"/>
      <w:lvlText w:val=""/>
      <w:lvlJc w:val="left"/>
      <w:pPr>
        <w:ind w:left="5040" w:hanging="360"/>
      </w:pPr>
      <w:rPr>
        <w:rFonts w:ascii="Symbol" w:hAnsi="Symbol" w:hint="default"/>
      </w:rPr>
    </w:lvl>
    <w:lvl w:ilvl="7" w:tplc="07360EDC">
      <w:start w:val="1"/>
      <w:numFmt w:val="bullet"/>
      <w:lvlText w:val="o"/>
      <w:lvlJc w:val="left"/>
      <w:pPr>
        <w:ind w:left="5760" w:hanging="360"/>
      </w:pPr>
      <w:rPr>
        <w:rFonts w:ascii="Courier New" w:hAnsi="Courier New" w:hint="default"/>
      </w:rPr>
    </w:lvl>
    <w:lvl w:ilvl="8" w:tplc="49EE9BD4">
      <w:start w:val="1"/>
      <w:numFmt w:val="bullet"/>
      <w:lvlText w:val=""/>
      <w:lvlJc w:val="left"/>
      <w:pPr>
        <w:ind w:left="6480" w:hanging="360"/>
      </w:pPr>
      <w:rPr>
        <w:rFonts w:ascii="Wingdings" w:hAnsi="Wingdings" w:hint="default"/>
      </w:rPr>
    </w:lvl>
  </w:abstractNum>
  <w:abstractNum w:abstractNumId="33" w15:restartNumberingAfterBreak="0">
    <w:nsid w:val="392198F0"/>
    <w:multiLevelType w:val="hybridMultilevel"/>
    <w:tmpl w:val="71506536"/>
    <w:lvl w:ilvl="0" w:tplc="605ACC14">
      <w:start w:val="1"/>
      <w:numFmt w:val="bullet"/>
      <w:lvlText w:val=""/>
      <w:lvlJc w:val="left"/>
      <w:pPr>
        <w:ind w:left="720" w:hanging="360"/>
      </w:pPr>
      <w:rPr>
        <w:rFonts w:ascii="Symbol" w:hAnsi="Symbol" w:hint="default"/>
      </w:rPr>
    </w:lvl>
    <w:lvl w:ilvl="1" w:tplc="AC54ADCC">
      <w:start w:val="1"/>
      <w:numFmt w:val="bullet"/>
      <w:lvlText w:val="o"/>
      <w:lvlJc w:val="left"/>
      <w:pPr>
        <w:ind w:left="1440" w:hanging="360"/>
      </w:pPr>
      <w:rPr>
        <w:rFonts w:ascii="Courier New" w:hAnsi="Courier New" w:hint="default"/>
      </w:rPr>
    </w:lvl>
    <w:lvl w:ilvl="2" w:tplc="E9F4C0FA">
      <w:start w:val="1"/>
      <w:numFmt w:val="bullet"/>
      <w:lvlText w:val=""/>
      <w:lvlJc w:val="left"/>
      <w:pPr>
        <w:ind w:left="2160" w:hanging="360"/>
      </w:pPr>
      <w:rPr>
        <w:rFonts w:ascii="Wingdings" w:hAnsi="Wingdings" w:hint="default"/>
      </w:rPr>
    </w:lvl>
    <w:lvl w:ilvl="3" w:tplc="BF9EB16E">
      <w:start w:val="1"/>
      <w:numFmt w:val="bullet"/>
      <w:lvlText w:val=""/>
      <w:lvlJc w:val="left"/>
      <w:pPr>
        <w:ind w:left="2880" w:hanging="360"/>
      </w:pPr>
      <w:rPr>
        <w:rFonts w:ascii="Symbol" w:hAnsi="Symbol" w:hint="default"/>
      </w:rPr>
    </w:lvl>
    <w:lvl w:ilvl="4" w:tplc="628E6860">
      <w:start w:val="1"/>
      <w:numFmt w:val="bullet"/>
      <w:lvlText w:val="o"/>
      <w:lvlJc w:val="left"/>
      <w:pPr>
        <w:ind w:left="3600" w:hanging="360"/>
      </w:pPr>
      <w:rPr>
        <w:rFonts w:ascii="Courier New" w:hAnsi="Courier New" w:hint="default"/>
      </w:rPr>
    </w:lvl>
    <w:lvl w:ilvl="5" w:tplc="9A4E416C">
      <w:start w:val="1"/>
      <w:numFmt w:val="bullet"/>
      <w:lvlText w:val=""/>
      <w:lvlJc w:val="left"/>
      <w:pPr>
        <w:ind w:left="4320" w:hanging="360"/>
      </w:pPr>
      <w:rPr>
        <w:rFonts w:ascii="Wingdings" w:hAnsi="Wingdings" w:hint="default"/>
      </w:rPr>
    </w:lvl>
    <w:lvl w:ilvl="6" w:tplc="5A5E2AEE">
      <w:start w:val="1"/>
      <w:numFmt w:val="bullet"/>
      <w:lvlText w:val=""/>
      <w:lvlJc w:val="left"/>
      <w:pPr>
        <w:ind w:left="5040" w:hanging="360"/>
      </w:pPr>
      <w:rPr>
        <w:rFonts w:ascii="Symbol" w:hAnsi="Symbol" w:hint="default"/>
      </w:rPr>
    </w:lvl>
    <w:lvl w:ilvl="7" w:tplc="765E9486">
      <w:start w:val="1"/>
      <w:numFmt w:val="bullet"/>
      <w:lvlText w:val="o"/>
      <w:lvlJc w:val="left"/>
      <w:pPr>
        <w:ind w:left="5760" w:hanging="360"/>
      </w:pPr>
      <w:rPr>
        <w:rFonts w:ascii="Courier New" w:hAnsi="Courier New" w:hint="default"/>
      </w:rPr>
    </w:lvl>
    <w:lvl w:ilvl="8" w:tplc="6C6614BA">
      <w:start w:val="1"/>
      <w:numFmt w:val="bullet"/>
      <w:lvlText w:val=""/>
      <w:lvlJc w:val="left"/>
      <w:pPr>
        <w:ind w:left="6480" w:hanging="360"/>
      </w:pPr>
      <w:rPr>
        <w:rFonts w:ascii="Wingdings" w:hAnsi="Wingdings" w:hint="default"/>
      </w:rPr>
    </w:lvl>
  </w:abstractNum>
  <w:abstractNum w:abstractNumId="34" w15:restartNumberingAfterBreak="0">
    <w:nsid w:val="3A2FBFEF"/>
    <w:multiLevelType w:val="multilevel"/>
    <w:tmpl w:val="0D0CE68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35" w15:restartNumberingAfterBreak="0">
    <w:nsid w:val="3A96C32F"/>
    <w:multiLevelType w:val="hybridMultilevel"/>
    <w:tmpl w:val="E434434E"/>
    <w:lvl w:ilvl="0" w:tplc="7F160B50">
      <w:start w:val="1"/>
      <w:numFmt w:val="bullet"/>
      <w:lvlText w:val=""/>
      <w:lvlJc w:val="left"/>
      <w:pPr>
        <w:ind w:left="720" w:hanging="360"/>
      </w:pPr>
      <w:rPr>
        <w:rFonts w:ascii="Symbol" w:hAnsi="Symbol" w:hint="default"/>
      </w:rPr>
    </w:lvl>
    <w:lvl w:ilvl="1" w:tplc="5A6A2392">
      <w:start w:val="1"/>
      <w:numFmt w:val="bullet"/>
      <w:lvlText w:val="o"/>
      <w:lvlJc w:val="left"/>
      <w:pPr>
        <w:ind w:left="1440" w:hanging="360"/>
      </w:pPr>
      <w:rPr>
        <w:rFonts w:ascii="Courier New" w:hAnsi="Courier New" w:hint="default"/>
      </w:rPr>
    </w:lvl>
    <w:lvl w:ilvl="2" w:tplc="0A442D5E">
      <w:start w:val="1"/>
      <w:numFmt w:val="bullet"/>
      <w:lvlText w:val=""/>
      <w:lvlJc w:val="left"/>
      <w:pPr>
        <w:ind w:left="2160" w:hanging="360"/>
      </w:pPr>
      <w:rPr>
        <w:rFonts w:ascii="Wingdings" w:hAnsi="Wingdings" w:hint="default"/>
      </w:rPr>
    </w:lvl>
    <w:lvl w:ilvl="3" w:tplc="E11C970C">
      <w:start w:val="1"/>
      <w:numFmt w:val="bullet"/>
      <w:lvlText w:val=""/>
      <w:lvlJc w:val="left"/>
      <w:pPr>
        <w:ind w:left="2880" w:hanging="360"/>
      </w:pPr>
      <w:rPr>
        <w:rFonts w:ascii="Symbol" w:hAnsi="Symbol" w:hint="default"/>
      </w:rPr>
    </w:lvl>
    <w:lvl w:ilvl="4" w:tplc="4ECA1FA2">
      <w:start w:val="1"/>
      <w:numFmt w:val="bullet"/>
      <w:lvlText w:val="o"/>
      <w:lvlJc w:val="left"/>
      <w:pPr>
        <w:ind w:left="3600" w:hanging="360"/>
      </w:pPr>
      <w:rPr>
        <w:rFonts w:ascii="Courier New" w:hAnsi="Courier New" w:hint="default"/>
      </w:rPr>
    </w:lvl>
    <w:lvl w:ilvl="5" w:tplc="D840A9DA">
      <w:start w:val="1"/>
      <w:numFmt w:val="bullet"/>
      <w:lvlText w:val=""/>
      <w:lvlJc w:val="left"/>
      <w:pPr>
        <w:ind w:left="4320" w:hanging="360"/>
      </w:pPr>
      <w:rPr>
        <w:rFonts w:ascii="Wingdings" w:hAnsi="Wingdings" w:hint="default"/>
      </w:rPr>
    </w:lvl>
    <w:lvl w:ilvl="6" w:tplc="9384A232">
      <w:start w:val="1"/>
      <w:numFmt w:val="bullet"/>
      <w:lvlText w:val=""/>
      <w:lvlJc w:val="left"/>
      <w:pPr>
        <w:ind w:left="5040" w:hanging="360"/>
      </w:pPr>
      <w:rPr>
        <w:rFonts w:ascii="Symbol" w:hAnsi="Symbol" w:hint="default"/>
      </w:rPr>
    </w:lvl>
    <w:lvl w:ilvl="7" w:tplc="C7C6A44E">
      <w:start w:val="1"/>
      <w:numFmt w:val="bullet"/>
      <w:lvlText w:val="o"/>
      <w:lvlJc w:val="left"/>
      <w:pPr>
        <w:ind w:left="5760" w:hanging="360"/>
      </w:pPr>
      <w:rPr>
        <w:rFonts w:ascii="Courier New" w:hAnsi="Courier New" w:hint="default"/>
      </w:rPr>
    </w:lvl>
    <w:lvl w:ilvl="8" w:tplc="BDCE06F6">
      <w:start w:val="1"/>
      <w:numFmt w:val="bullet"/>
      <w:lvlText w:val=""/>
      <w:lvlJc w:val="left"/>
      <w:pPr>
        <w:ind w:left="6480" w:hanging="360"/>
      </w:pPr>
      <w:rPr>
        <w:rFonts w:ascii="Wingdings" w:hAnsi="Wingdings" w:hint="default"/>
      </w:rPr>
    </w:lvl>
  </w:abstractNum>
  <w:abstractNum w:abstractNumId="36" w15:restartNumberingAfterBreak="0">
    <w:nsid w:val="3BFCB1E6"/>
    <w:multiLevelType w:val="hybridMultilevel"/>
    <w:tmpl w:val="AFDABFD2"/>
    <w:lvl w:ilvl="0" w:tplc="5C0E06DE">
      <w:start w:val="1"/>
      <w:numFmt w:val="lowerLetter"/>
      <w:lvlText w:val="(%1)"/>
      <w:lvlJc w:val="left"/>
      <w:pPr>
        <w:ind w:left="720" w:hanging="360"/>
      </w:pPr>
    </w:lvl>
    <w:lvl w:ilvl="1" w:tplc="CB2016DE">
      <w:start w:val="1"/>
      <w:numFmt w:val="lowerLetter"/>
      <w:lvlText w:val="%2."/>
      <w:lvlJc w:val="left"/>
      <w:pPr>
        <w:ind w:left="1440" w:hanging="360"/>
      </w:pPr>
    </w:lvl>
    <w:lvl w:ilvl="2" w:tplc="BF6044D6">
      <w:start w:val="1"/>
      <w:numFmt w:val="lowerRoman"/>
      <w:lvlText w:val="%3."/>
      <w:lvlJc w:val="right"/>
      <w:pPr>
        <w:ind w:left="2160" w:hanging="180"/>
      </w:pPr>
    </w:lvl>
    <w:lvl w:ilvl="3" w:tplc="16C86FD8">
      <w:start w:val="1"/>
      <w:numFmt w:val="decimal"/>
      <w:lvlText w:val="%4."/>
      <w:lvlJc w:val="left"/>
      <w:pPr>
        <w:ind w:left="2880" w:hanging="360"/>
      </w:pPr>
    </w:lvl>
    <w:lvl w:ilvl="4" w:tplc="340AE80A">
      <w:start w:val="1"/>
      <w:numFmt w:val="lowerLetter"/>
      <w:lvlText w:val="%5."/>
      <w:lvlJc w:val="left"/>
      <w:pPr>
        <w:ind w:left="3600" w:hanging="360"/>
      </w:pPr>
    </w:lvl>
    <w:lvl w:ilvl="5" w:tplc="7EEEF786">
      <w:start w:val="1"/>
      <w:numFmt w:val="lowerRoman"/>
      <w:lvlText w:val="%6."/>
      <w:lvlJc w:val="right"/>
      <w:pPr>
        <w:ind w:left="4320" w:hanging="180"/>
      </w:pPr>
    </w:lvl>
    <w:lvl w:ilvl="6" w:tplc="82FA3802">
      <w:start w:val="1"/>
      <w:numFmt w:val="decimal"/>
      <w:lvlText w:val="%7."/>
      <w:lvlJc w:val="left"/>
      <w:pPr>
        <w:ind w:left="5040" w:hanging="360"/>
      </w:pPr>
    </w:lvl>
    <w:lvl w:ilvl="7" w:tplc="2E5ABF5E">
      <w:start w:val="1"/>
      <w:numFmt w:val="lowerLetter"/>
      <w:lvlText w:val="%8."/>
      <w:lvlJc w:val="left"/>
      <w:pPr>
        <w:ind w:left="5760" w:hanging="360"/>
      </w:pPr>
    </w:lvl>
    <w:lvl w:ilvl="8" w:tplc="095AFE12">
      <w:start w:val="1"/>
      <w:numFmt w:val="lowerRoman"/>
      <w:lvlText w:val="%9."/>
      <w:lvlJc w:val="right"/>
      <w:pPr>
        <w:ind w:left="6480" w:hanging="180"/>
      </w:pPr>
    </w:lvl>
  </w:abstractNum>
  <w:abstractNum w:abstractNumId="37" w15:restartNumberingAfterBreak="0">
    <w:nsid w:val="43E297F3"/>
    <w:multiLevelType w:val="hybridMultilevel"/>
    <w:tmpl w:val="539A9FA4"/>
    <w:lvl w:ilvl="0" w:tplc="CAA81C04">
      <w:start w:val="1"/>
      <w:numFmt w:val="bullet"/>
      <w:lvlText w:val=""/>
      <w:lvlJc w:val="left"/>
      <w:pPr>
        <w:ind w:left="720" w:hanging="360"/>
      </w:pPr>
      <w:rPr>
        <w:rFonts w:ascii="Symbol" w:hAnsi="Symbol" w:hint="default"/>
      </w:rPr>
    </w:lvl>
    <w:lvl w:ilvl="1" w:tplc="3236CB4A">
      <w:start w:val="1"/>
      <w:numFmt w:val="bullet"/>
      <w:lvlText w:val="o"/>
      <w:lvlJc w:val="left"/>
      <w:pPr>
        <w:ind w:left="1440" w:hanging="360"/>
      </w:pPr>
      <w:rPr>
        <w:rFonts w:ascii="Courier New" w:hAnsi="Courier New" w:hint="default"/>
      </w:rPr>
    </w:lvl>
    <w:lvl w:ilvl="2" w:tplc="48F2C9DE">
      <w:start w:val="1"/>
      <w:numFmt w:val="bullet"/>
      <w:lvlText w:val=""/>
      <w:lvlJc w:val="left"/>
      <w:pPr>
        <w:ind w:left="2160" w:hanging="360"/>
      </w:pPr>
      <w:rPr>
        <w:rFonts w:ascii="Wingdings" w:hAnsi="Wingdings" w:hint="default"/>
      </w:rPr>
    </w:lvl>
    <w:lvl w:ilvl="3" w:tplc="FE50E970">
      <w:start w:val="1"/>
      <w:numFmt w:val="bullet"/>
      <w:lvlText w:val=""/>
      <w:lvlJc w:val="left"/>
      <w:pPr>
        <w:ind w:left="2880" w:hanging="360"/>
      </w:pPr>
      <w:rPr>
        <w:rFonts w:ascii="Symbol" w:hAnsi="Symbol" w:hint="default"/>
      </w:rPr>
    </w:lvl>
    <w:lvl w:ilvl="4" w:tplc="1D9E86E0">
      <w:start w:val="1"/>
      <w:numFmt w:val="bullet"/>
      <w:lvlText w:val="o"/>
      <w:lvlJc w:val="left"/>
      <w:pPr>
        <w:ind w:left="3600" w:hanging="360"/>
      </w:pPr>
      <w:rPr>
        <w:rFonts w:ascii="Courier New" w:hAnsi="Courier New" w:hint="default"/>
      </w:rPr>
    </w:lvl>
    <w:lvl w:ilvl="5" w:tplc="C9C40DE0">
      <w:start w:val="1"/>
      <w:numFmt w:val="bullet"/>
      <w:lvlText w:val=""/>
      <w:lvlJc w:val="left"/>
      <w:pPr>
        <w:ind w:left="4320" w:hanging="360"/>
      </w:pPr>
      <w:rPr>
        <w:rFonts w:ascii="Wingdings" w:hAnsi="Wingdings" w:hint="default"/>
      </w:rPr>
    </w:lvl>
    <w:lvl w:ilvl="6" w:tplc="B0624010">
      <w:start w:val="1"/>
      <w:numFmt w:val="bullet"/>
      <w:lvlText w:val=""/>
      <w:lvlJc w:val="left"/>
      <w:pPr>
        <w:ind w:left="5040" w:hanging="360"/>
      </w:pPr>
      <w:rPr>
        <w:rFonts w:ascii="Symbol" w:hAnsi="Symbol" w:hint="default"/>
      </w:rPr>
    </w:lvl>
    <w:lvl w:ilvl="7" w:tplc="057EFA4E">
      <w:start w:val="1"/>
      <w:numFmt w:val="bullet"/>
      <w:lvlText w:val="o"/>
      <w:lvlJc w:val="left"/>
      <w:pPr>
        <w:ind w:left="5760" w:hanging="360"/>
      </w:pPr>
      <w:rPr>
        <w:rFonts w:ascii="Courier New" w:hAnsi="Courier New" w:hint="default"/>
      </w:rPr>
    </w:lvl>
    <w:lvl w:ilvl="8" w:tplc="1FE61DE8">
      <w:start w:val="1"/>
      <w:numFmt w:val="bullet"/>
      <w:lvlText w:val=""/>
      <w:lvlJc w:val="left"/>
      <w:pPr>
        <w:ind w:left="6480" w:hanging="360"/>
      </w:pPr>
      <w:rPr>
        <w:rFonts w:ascii="Wingdings" w:hAnsi="Wingdings" w:hint="default"/>
      </w:rPr>
    </w:lvl>
  </w:abstractNum>
  <w:abstractNum w:abstractNumId="38" w15:restartNumberingAfterBreak="0">
    <w:nsid w:val="4706CF3A"/>
    <w:multiLevelType w:val="hybridMultilevel"/>
    <w:tmpl w:val="9A80ADBA"/>
    <w:lvl w:ilvl="0" w:tplc="59CC6C16">
      <w:start w:val="1"/>
      <w:numFmt w:val="bullet"/>
      <w:lvlText w:val=""/>
      <w:lvlJc w:val="left"/>
      <w:pPr>
        <w:ind w:left="720" w:hanging="360"/>
      </w:pPr>
      <w:rPr>
        <w:rFonts w:ascii="Symbol" w:hAnsi="Symbol" w:hint="default"/>
      </w:rPr>
    </w:lvl>
    <w:lvl w:ilvl="1" w:tplc="1D467214">
      <w:start w:val="1"/>
      <w:numFmt w:val="bullet"/>
      <w:lvlText w:val="o"/>
      <w:lvlJc w:val="left"/>
      <w:pPr>
        <w:ind w:left="1440" w:hanging="360"/>
      </w:pPr>
      <w:rPr>
        <w:rFonts w:ascii="Courier New" w:hAnsi="Courier New" w:hint="default"/>
      </w:rPr>
    </w:lvl>
    <w:lvl w:ilvl="2" w:tplc="CDF49D2C">
      <w:start w:val="1"/>
      <w:numFmt w:val="bullet"/>
      <w:lvlText w:val=""/>
      <w:lvlJc w:val="left"/>
      <w:pPr>
        <w:ind w:left="2160" w:hanging="360"/>
      </w:pPr>
      <w:rPr>
        <w:rFonts w:ascii="Wingdings" w:hAnsi="Wingdings" w:hint="default"/>
      </w:rPr>
    </w:lvl>
    <w:lvl w:ilvl="3" w:tplc="2F6237E2">
      <w:start w:val="1"/>
      <w:numFmt w:val="bullet"/>
      <w:lvlText w:val=""/>
      <w:lvlJc w:val="left"/>
      <w:pPr>
        <w:ind w:left="2880" w:hanging="360"/>
      </w:pPr>
      <w:rPr>
        <w:rFonts w:ascii="Symbol" w:hAnsi="Symbol" w:hint="default"/>
      </w:rPr>
    </w:lvl>
    <w:lvl w:ilvl="4" w:tplc="34FC183E">
      <w:start w:val="1"/>
      <w:numFmt w:val="bullet"/>
      <w:lvlText w:val="o"/>
      <w:lvlJc w:val="left"/>
      <w:pPr>
        <w:ind w:left="3600" w:hanging="360"/>
      </w:pPr>
      <w:rPr>
        <w:rFonts w:ascii="Courier New" w:hAnsi="Courier New" w:hint="default"/>
      </w:rPr>
    </w:lvl>
    <w:lvl w:ilvl="5" w:tplc="6910E226">
      <w:start w:val="1"/>
      <w:numFmt w:val="bullet"/>
      <w:lvlText w:val=""/>
      <w:lvlJc w:val="left"/>
      <w:pPr>
        <w:ind w:left="4320" w:hanging="360"/>
      </w:pPr>
      <w:rPr>
        <w:rFonts w:ascii="Wingdings" w:hAnsi="Wingdings" w:hint="default"/>
      </w:rPr>
    </w:lvl>
    <w:lvl w:ilvl="6" w:tplc="83E0A5D2">
      <w:start w:val="1"/>
      <w:numFmt w:val="bullet"/>
      <w:lvlText w:val=""/>
      <w:lvlJc w:val="left"/>
      <w:pPr>
        <w:ind w:left="5040" w:hanging="360"/>
      </w:pPr>
      <w:rPr>
        <w:rFonts w:ascii="Symbol" w:hAnsi="Symbol" w:hint="default"/>
      </w:rPr>
    </w:lvl>
    <w:lvl w:ilvl="7" w:tplc="F3C8CFE8">
      <w:start w:val="1"/>
      <w:numFmt w:val="bullet"/>
      <w:lvlText w:val="o"/>
      <w:lvlJc w:val="left"/>
      <w:pPr>
        <w:ind w:left="5760" w:hanging="360"/>
      </w:pPr>
      <w:rPr>
        <w:rFonts w:ascii="Courier New" w:hAnsi="Courier New" w:hint="default"/>
      </w:rPr>
    </w:lvl>
    <w:lvl w:ilvl="8" w:tplc="8DEC2778">
      <w:start w:val="1"/>
      <w:numFmt w:val="bullet"/>
      <w:lvlText w:val=""/>
      <w:lvlJc w:val="left"/>
      <w:pPr>
        <w:ind w:left="6480" w:hanging="360"/>
      </w:pPr>
      <w:rPr>
        <w:rFonts w:ascii="Wingdings" w:hAnsi="Wingdings" w:hint="default"/>
      </w:rPr>
    </w:lvl>
  </w:abstractNum>
  <w:abstractNum w:abstractNumId="39" w15:restartNumberingAfterBreak="0">
    <w:nsid w:val="484643A9"/>
    <w:multiLevelType w:val="multilevel"/>
    <w:tmpl w:val="13A63C2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40" w15:restartNumberingAfterBreak="0">
    <w:nsid w:val="48C4E44A"/>
    <w:multiLevelType w:val="hybridMultilevel"/>
    <w:tmpl w:val="186C67E4"/>
    <w:lvl w:ilvl="0" w:tplc="25686734">
      <w:start w:val="1"/>
      <w:numFmt w:val="bullet"/>
      <w:lvlText w:val=""/>
      <w:lvlJc w:val="left"/>
      <w:pPr>
        <w:ind w:left="720" w:hanging="360"/>
      </w:pPr>
      <w:rPr>
        <w:rFonts w:ascii="Symbol" w:hAnsi="Symbol" w:hint="default"/>
      </w:rPr>
    </w:lvl>
    <w:lvl w:ilvl="1" w:tplc="BF56C11A">
      <w:start w:val="1"/>
      <w:numFmt w:val="bullet"/>
      <w:lvlText w:val="o"/>
      <w:lvlJc w:val="left"/>
      <w:pPr>
        <w:ind w:left="1440" w:hanging="360"/>
      </w:pPr>
      <w:rPr>
        <w:rFonts w:ascii="Courier New" w:hAnsi="Courier New" w:hint="default"/>
      </w:rPr>
    </w:lvl>
    <w:lvl w:ilvl="2" w:tplc="909E6EB6">
      <w:start w:val="1"/>
      <w:numFmt w:val="bullet"/>
      <w:lvlText w:val=""/>
      <w:lvlJc w:val="left"/>
      <w:pPr>
        <w:ind w:left="2160" w:hanging="360"/>
      </w:pPr>
      <w:rPr>
        <w:rFonts w:ascii="Wingdings" w:hAnsi="Wingdings" w:hint="default"/>
      </w:rPr>
    </w:lvl>
    <w:lvl w:ilvl="3" w:tplc="B628AA2A">
      <w:start w:val="1"/>
      <w:numFmt w:val="bullet"/>
      <w:lvlText w:val=""/>
      <w:lvlJc w:val="left"/>
      <w:pPr>
        <w:ind w:left="2880" w:hanging="360"/>
      </w:pPr>
      <w:rPr>
        <w:rFonts w:ascii="Symbol" w:hAnsi="Symbol" w:hint="default"/>
      </w:rPr>
    </w:lvl>
    <w:lvl w:ilvl="4" w:tplc="87846182">
      <w:start w:val="1"/>
      <w:numFmt w:val="bullet"/>
      <w:lvlText w:val="o"/>
      <w:lvlJc w:val="left"/>
      <w:pPr>
        <w:ind w:left="3600" w:hanging="360"/>
      </w:pPr>
      <w:rPr>
        <w:rFonts w:ascii="Courier New" w:hAnsi="Courier New" w:hint="default"/>
      </w:rPr>
    </w:lvl>
    <w:lvl w:ilvl="5" w:tplc="514896E6">
      <w:start w:val="1"/>
      <w:numFmt w:val="bullet"/>
      <w:lvlText w:val=""/>
      <w:lvlJc w:val="left"/>
      <w:pPr>
        <w:ind w:left="4320" w:hanging="360"/>
      </w:pPr>
      <w:rPr>
        <w:rFonts w:ascii="Wingdings" w:hAnsi="Wingdings" w:hint="default"/>
      </w:rPr>
    </w:lvl>
    <w:lvl w:ilvl="6" w:tplc="8934F25C">
      <w:start w:val="1"/>
      <w:numFmt w:val="bullet"/>
      <w:lvlText w:val=""/>
      <w:lvlJc w:val="left"/>
      <w:pPr>
        <w:ind w:left="5040" w:hanging="360"/>
      </w:pPr>
      <w:rPr>
        <w:rFonts w:ascii="Symbol" w:hAnsi="Symbol" w:hint="default"/>
      </w:rPr>
    </w:lvl>
    <w:lvl w:ilvl="7" w:tplc="4D02BAEC">
      <w:start w:val="1"/>
      <w:numFmt w:val="bullet"/>
      <w:lvlText w:val="o"/>
      <w:lvlJc w:val="left"/>
      <w:pPr>
        <w:ind w:left="5760" w:hanging="360"/>
      </w:pPr>
      <w:rPr>
        <w:rFonts w:ascii="Courier New" w:hAnsi="Courier New" w:hint="default"/>
      </w:rPr>
    </w:lvl>
    <w:lvl w:ilvl="8" w:tplc="6888AA40">
      <w:start w:val="1"/>
      <w:numFmt w:val="bullet"/>
      <w:lvlText w:val=""/>
      <w:lvlJc w:val="left"/>
      <w:pPr>
        <w:ind w:left="6480" w:hanging="360"/>
      </w:pPr>
      <w:rPr>
        <w:rFonts w:ascii="Wingdings" w:hAnsi="Wingdings" w:hint="default"/>
      </w:rPr>
    </w:lvl>
  </w:abstractNum>
  <w:abstractNum w:abstractNumId="41" w15:restartNumberingAfterBreak="0">
    <w:nsid w:val="4AAC3B40"/>
    <w:multiLevelType w:val="hybridMultilevel"/>
    <w:tmpl w:val="EEBA1AFA"/>
    <w:lvl w:ilvl="0" w:tplc="54D28FDE">
      <w:start w:val="1"/>
      <w:numFmt w:val="bullet"/>
      <w:lvlText w:val=""/>
      <w:lvlJc w:val="left"/>
      <w:pPr>
        <w:ind w:left="720" w:hanging="360"/>
      </w:pPr>
      <w:rPr>
        <w:rFonts w:ascii="Symbol" w:hAnsi="Symbol" w:hint="default"/>
      </w:rPr>
    </w:lvl>
    <w:lvl w:ilvl="1" w:tplc="C38A09CA">
      <w:start w:val="1"/>
      <w:numFmt w:val="bullet"/>
      <w:lvlText w:val="o"/>
      <w:lvlJc w:val="left"/>
      <w:pPr>
        <w:ind w:left="1440" w:hanging="360"/>
      </w:pPr>
      <w:rPr>
        <w:rFonts w:ascii="Courier New" w:hAnsi="Courier New" w:hint="default"/>
      </w:rPr>
    </w:lvl>
    <w:lvl w:ilvl="2" w:tplc="F580BEC4">
      <w:start w:val="1"/>
      <w:numFmt w:val="bullet"/>
      <w:lvlText w:val=""/>
      <w:lvlJc w:val="left"/>
      <w:pPr>
        <w:ind w:left="2160" w:hanging="360"/>
      </w:pPr>
      <w:rPr>
        <w:rFonts w:ascii="Wingdings" w:hAnsi="Wingdings" w:hint="default"/>
      </w:rPr>
    </w:lvl>
    <w:lvl w:ilvl="3" w:tplc="D50EF58C">
      <w:start w:val="1"/>
      <w:numFmt w:val="bullet"/>
      <w:lvlText w:val=""/>
      <w:lvlJc w:val="left"/>
      <w:pPr>
        <w:ind w:left="2880" w:hanging="360"/>
      </w:pPr>
      <w:rPr>
        <w:rFonts w:ascii="Symbol" w:hAnsi="Symbol" w:hint="default"/>
      </w:rPr>
    </w:lvl>
    <w:lvl w:ilvl="4" w:tplc="7E4EDD12">
      <w:start w:val="1"/>
      <w:numFmt w:val="bullet"/>
      <w:lvlText w:val="o"/>
      <w:lvlJc w:val="left"/>
      <w:pPr>
        <w:ind w:left="3600" w:hanging="360"/>
      </w:pPr>
      <w:rPr>
        <w:rFonts w:ascii="Courier New" w:hAnsi="Courier New" w:hint="default"/>
      </w:rPr>
    </w:lvl>
    <w:lvl w:ilvl="5" w:tplc="98A8D2B6">
      <w:start w:val="1"/>
      <w:numFmt w:val="bullet"/>
      <w:lvlText w:val=""/>
      <w:lvlJc w:val="left"/>
      <w:pPr>
        <w:ind w:left="4320" w:hanging="360"/>
      </w:pPr>
      <w:rPr>
        <w:rFonts w:ascii="Wingdings" w:hAnsi="Wingdings" w:hint="default"/>
      </w:rPr>
    </w:lvl>
    <w:lvl w:ilvl="6" w:tplc="4D7E2AE4">
      <w:start w:val="1"/>
      <w:numFmt w:val="bullet"/>
      <w:lvlText w:val=""/>
      <w:lvlJc w:val="left"/>
      <w:pPr>
        <w:ind w:left="5040" w:hanging="360"/>
      </w:pPr>
      <w:rPr>
        <w:rFonts w:ascii="Symbol" w:hAnsi="Symbol" w:hint="default"/>
      </w:rPr>
    </w:lvl>
    <w:lvl w:ilvl="7" w:tplc="CCA2014E">
      <w:start w:val="1"/>
      <w:numFmt w:val="bullet"/>
      <w:lvlText w:val="o"/>
      <w:lvlJc w:val="left"/>
      <w:pPr>
        <w:ind w:left="5760" w:hanging="360"/>
      </w:pPr>
      <w:rPr>
        <w:rFonts w:ascii="Courier New" w:hAnsi="Courier New" w:hint="default"/>
      </w:rPr>
    </w:lvl>
    <w:lvl w:ilvl="8" w:tplc="7F126402">
      <w:start w:val="1"/>
      <w:numFmt w:val="bullet"/>
      <w:lvlText w:val=""/>
      <w:lvlJc w:val="left"/>
      <w:pPr>
        <w:ind w:left="6480" w:hanging="360"/>
      </w:pPr>
      <w:rPr>
        <w:rFonts w:ascii="Wingdings" w:hAnsi="Wingdings" w:hint="default"/>
      </w:rPr>
    </w:lvl>
  </w:abstractNum>
  <w:abstractNum w:abstractNumId="42" w15:restartNumberingAfterBreak="0">
    <w:nsid w:val="4F6D9504"/>
    <w:multiLevelType w:val="hybridMultilevel"/>
    <w:tmpl w:val="9F52A8A0"/>
    <w:lvl w:ilvl="0" w:tplc="8196CB14">
      <w:start w:val="1"/>
      <w:numFmt w:val="bullet"/>
      <w:lvlText w:val=""/>
      <w:lvlJc w:val="left"/>
      <w:pPr>
        <w:ind w:left="720" w:hanging="360"/>
      </w:pPr>
      <w:rPr>
        <w:rFonts w:ascii="Symbol" w:hAnsi="Symbol" w:hint="default"/>
      </w:rPr>
    </w:lvl>
    <w:lvl w:ilvl="1" w:tplc="681A2A9A">
      <w:start w:val="1"/>
      <w:numFmt w:val="bullet"/>
      <w:lvlText w:val="o"/>
      <w:lvlJc w:val="left"/>
      <w:pPr>
        <w:ind w:left="1440" w:hanging="360"/>
      </w:pPr>
      <w:rPr>
        <w:rFonts w:ascii="Courier New" w:hAnsi="Courier New" w:hint="default"/>
      </w:rPr>
    </w:lvl>
    <w:lvl w:ilvl="2" w:tplc="9ED28876">
      <w:start w:val="1"/>
      <w:numFmt w:val="bullet"/>
      <w:lvlText w:val=""/>
      <w:lvlJc w:val="left"/>
      <w:pPr>
        <w:ind w:left="2160" w:hanging="360"/>
      </w:pPr>
      <w:rPr>
        <w:rFonts w:ascii="Wingdings" w:hAnsi="Wingdings" w:hint="default"/>
      </w:rPr>
    </w:lvl>
    <w:lvl w:ilvl="3" w:tplc="B1769114">
      <w:start w:val="1"/>
      <w:numFmt w:val="bullet"/>
      <w:lvlText w:val=""/>
      <w:lvlJc w:val="left"/>
      <w:pPr>
        <w:ind w:left="2880" w:hanging="360"/>
      </w:pPr>
      <w:rPr>
        <w:rFonts w:ascii="Symbol" w:hAnsi="Symbol" w:hint="default"/>
      </w:rPr>
    </w:lvl>
    <w:lvl w:ilvl="4" w:tplc="11F8DBD2">
      <w:start w:val="1"/>
      <w:numFmt w:val="bullet"/>
      <w:lvlText w:val="o"/>
      <w:lvlJc w:val="left"/>
      <w:pPr>
        <w:ind w:left="3600" w:hanging="360"/>
      </w:pPr>
      <w:rPr>
        <w:rFonts w:ascii="Courier New" w:hAnsi="Courier New" w:hint="default"/>
      </w:rPr>
    </w:lvl>
    <w:lvl w:ilvl="5" w:tplc="C212E5EA">
      <w:start w:val="1"/>
      <w:numFmt w:val="bullet"/>
      <w:lvlText w:val=""/>
      <w:lvlJc w:val="left"/>
      <w:pPr>
        <w:ind w:left="4320" w:hanging="360"/>
      </w:pPr>
      <w:rPr>
        <w:rFonts w:ascii="Wingdings" w:hAnsi="Wingdings" w:hint="default"/>
      </w:rPr>
    </w:lvl>
    <w:lvl w:ilvl="6" w:tplc="D4A65E0E">
      <w:start w:val="1"/>
      <w:numFmt w:val="bullet"/>
      <w:lvlText w:val=""/>
      <w:lvlJc w:val="left"/>
      <w:pPr>
        <w:ind w:left="5040" w:hanging="360"/>
      </w:pPr>
      <w:rPr>
        <w:rFonts w:ascii="Symbol" w:hAnsi="Symbol" w:hint="default"/>
      </w:rPr>
    </w:lvl>
    <w:lvl w:ilvl="7" w:tplc="9F7E3C20">
      <w:start w:val="1"/>
      <w:numFmt w:val="bullet"/>
      <w:lvlText w:val="o"/>
      <w:lvlJc w:val="left"/>
      <w:pPr>
        <w:ind w:left="5760" w:hanging="360"/>
      </w:pPr>
      <w:rPr>
        <w:rFonts w:ascii="Courier New" w:hAnsi="Courier New" w:hint="default"/>
      </w:rPr>
    </w:lvl>
    <w:lvl w:ilvl="8" w:tplc="09FC7D5E">
      <w:start w:val="1"/>
      <w:numFmt w:val="bullet"/>
      <w:lvlText w:val=""/>
      <w:lvlJc w:val="left"/>
      <w:pPr>
        <w:ind w:left="6480" w:hanging="360"/>
      </w:pPr>
      <w:rPr>
        <w:rFonts w:ascii="Wingdings" w:hAnsi="Wingdings" w:hint="default"/>
      </w:rPr>
    </w:lvl>
  </w:abstractNum>
  <w:abstractNum w:abstractNumId="43" w15:restartNumberingAfterBreak="0">
    <w:nsid w:val="4FD93187"/>
    <w:multiLevelType w:val="hybridMultilevel"/>
    <w:tmpl w:val="7466DCE0"/>
    <w:lvl w:ilvl="0" w:tplc="1A383E2C">
      <w:start w:val="1"/>
      <w:numFmt w:val="bullet"/>
      <w:lvlText w:val=""/>
      <w:lvlJc w:val="left"/>
      <w:pPr>
        <w:ind w:left="720" w:hanging="360"/>
      </w:pPr>
      <w:rPr>
        <w:rFonts w:ascii="Symbol" w:hAnsi="Symbol" w:hint="default"/>
      </w:rPr>
    </w:lvl>
    <w:lvl w:ilvl="1" w:tplc="7EA4FE8E">
      <w:start w:val="1"/>
      <w:numFmt w:val="bullet"/>
      <w:lvlText w:val="o"/>
      <w:lvlJc w:val="left"/>
      <w:pPr>
        <w:ind w:left="1440" w:hanging="360"/>
      </w:pPr>
      <w:rPr>
        <w:rFonts w:ascii="Courier New" w:hAnsi="Courier New" w:hint="default"/>
      </w:rPr>
    </w:lvl>
    <w:lvl w:ilvl="2" w:tplc="10303CA2">
      <w:start w:val="1"/>
      <w:numFmt w:val="bullet"/>
      <w:lvlText w:val=""/>
      <w:lvlJc w:val="left"/>
      <w:pPr>
        <w:ind w:left="2160" w:hanging="360"/>
      </w:pPr>
      <w:rPr>
        <w:rFonts w:ascii="Wingdings" w:hAnsi="Wingdings" w:hint="default"/>
      </w:rPr>
    </w:lvl>
    <w:lvl w:ilvl="3" w:tplc="7CE4D424">
      <w:start w:val="1"/>
      <w:numFmt w:val="bullet"/>
      <w:lvlText w:val=""/>
      <w:lvlJc w:val="left"/>
      <w:pPr>
        <w:ind w:left="2880" w:hanging="360"/>
      </w:pPr>
      <w:rPr>
        <w:rFonts w:ascii="Symbol" w:hAnsi="Symbol" w:hint="default"/>
      </w:rPr>
    </w:lvl>
    <w:lvl w:ilvl="4" w:tplc="255EE14E">
      <w:start w:val="1"/>
      <w:numFmt w:val="bullet"/>
      <w:lvlText w:val="o"/>
      <w:lvlJc w:val="left"/>
      <w:pPr>
        <w:ind w:left="3600" w:hanging="360"/>
      </w:pPr>
      <w:rPr>
        <w:rFonts w:ascii="Courier New" w:hAnsi="Courier New" w:hint="default"/>
      </w:rPr>
    </w:lvl>
    <w:lvl w:ilvl="5" w:tplc="283E4E32">
      <w:start w:val="1"/>
      <w:numFmt w:val="bullet"/>
      <w:lvlText w:val=""/>
      <w:lvlJc w:val="left"/>
      <w:pPr>
        <w:ind w:left="4320" w:hanging="360"/>
      </w:pPr>
      <w:rPr>
        <w:rFonts w:ascii="Wingdings" w:hAnsi="Wingdings" w:hint="default"/>
      </w:rPr>
    </w:lvl>
    <w:lvl w:ilvl="6" w:tplc="688079AC">
      <w:start w:val="1"/>
      <w:numFmt w:val="bullet"/>
      <w:lvlText w:val=""/>
      <w:lvlJc w:val="left"/>
      <w:pPr>
        <w:ind w:left="5040" w:hanging="360"/>
      </w:pPr>
      <w:rPr>
        <w:rFonts w:ascii="Symbol" w:hAnsi="Symbol" w:hint="default"/>
      </w:rPr>
    </w:lvl>
    <w:lvl w:ilvl="7" w:tplc="42066B66">
      <w:start w:val="1"/>
      <w:numFmt w:val="bullet"/>
      <w:lvlText w:val="o"/>
      <w:lvlJc w:val="left"/>
      <w:pPr>
        <w:ind w:left="5760" w:hanging="360"/>
      </w:pPr>
      <w:rPr>
        <w:rFonts w:ascii="Courier New" w:hAnsi="Courier New" w:hint="default"/>
      </w:rPr>
    </w:lvl>
    <w:lvl w:ilvl="8" w:tplc="95CC1A7A">
      <w:start w:val="1"/>
      <w:numFmt w:val="bullet"/>
      <w:lvlText w:val=""/>
      <w:lvlJc w:val="left"/>
      <w:pPr>
        <w:ind w:left="6480" w:hanging="360"/>
      </w:pPr>
      <w:rPr>
        <w:rFonts w:ascii="Wingdings" w:hAnsi="Wingdings" w:hint="default"/>
      </w:rPr>
    </w:lvl>
  </w:abstractNum>
  <w:abstractNum w:abstractNumId="44" w15:restartNumberingAfterBreak="0">
    <w:nsid w:val="50645796"/>
    <w:multiLevelType w:val="hybridMultilevel"/>
    <w:tmpl w:val="AF888EF0"/>
    <w:lvl w:ilvl="0" w:tplc="22FA4390">
      <w:start w:val="1"/>
      <w:numFmt w:val="bullet"/>
      <w:lvlText w:val=""/>
      <w:lvlJc w:val="left"/>
      <w:pPr>
        <w:ind w:left="720" w:hanging="360"/>
      </w:pPr>
      <w:rPr>
        <w:rFonts w:ascii="Symbol" w:hAnsi="Symbol" w:hint="default"/>
      </w:rPr>
    </w:lvl>
    <w:lvl w:ilvl="1" w:tplc="65281884">
      <w:start w:val="1"/>
      <w:numFmt w:val="bullet"/>
      <w:lvlText w:val="o"/>
      <w:lvlJc w:val="left"/>
      <w:pPr>
        <w:ind w:left="1440" w:hanging="360"/>
      </w:pPr>
      <w:rPr>
        <w:rFonts w:ascii="Courier New" w:hAnsi="Courier New" w:hint="default"/>
      </w:rPr>
    </w:lvl>
    <w:lvl w:ilvl="2" w:tplc="EEA6FA46">
      <w:start w:val="1"/>
      <w:numFmt w:val="bullet"/>
      <w:lvlText w:val=""/>
      <w:lvlJc w:val="left"/>
      <w:pPr>
        <w:ind w:left="2160" w:hanging="360"/>
      </w:pPr>
      <w:rPr>
        <w:rFonts w:ascii="Wingdings" w:hAnsi="Wingdings" w:hint="default"/>
      </w:rPr>
    </w:lvl>
    <w:lvl w:ilvl="3" w:tplc="DE3AE8E6">
      <w:start w:val="1"/>
      <w:numFmt w:val="bullet"/>
      <w:lvlText w:val=""/>
      <w:lvlJc w:val="left"/>
      <w:pPr>
        <w:ind w:left="2880" w:hanging="360"/>
      </w:pPr>
      <w:rPr>
        <w:rFonts w:ascii="Symbol" w:hAnsi="Symbol" w:hint="default"/>
      </w:rPr>
    </w:lvl>
    <w:lvl w:ilvl="4" w:tplc="481CE472">
      <w:start w:val="1"/>
      <w:numFmt w:val="bullet"/>
      <w:lvlText w:val="o"/>
      <w:lvlJc w:val="left"/>
      <w:pPr>
        <w:ind w:left="3600" w:hanging="360"/>
      </w:pPr>
      <w:rPr>
        <w:rFonts w:ascii="Courier New" w:hAnsi="Courier New" w:hint="default"/>
      </w:rPr>
    </w:lvl>
    <w:lvl w:ilvl="5" w:tplc="8466AA60">
      <w:start w:val="1"/>
      <w:numFmt w:val="bullet"/>
      <w:lvlText w:val=""/>
      <w:lvlJc w:val="left"/>
      <w:pPr>
        <w:ind w:left="4320" w:hanging="360"/>
      </w:pPr>
      <w:rPr>
        <w:rFonts w:ascii="Wingdings" w:hAnsi="Wingdings" w:hint="default"/>
      </w:rPr>
    </w:lvl>
    <w:lvl w:ilvl="6" w:tplc="CB984226">
      <w:start w:val="1"/>
      <w:numFmt w:val="bullet"/>
      <w:lvlText w:val=""/>
      <w:lvlJc w:val="left"/>
      <w:pPr>
        <w:ind w:left="5040" w:hanging="360"/>
      </w:pPr>
      <w:rPr>
        <w:rFonts w:ascii="Symbol" w:hAnsi="Symbol" w:hint="default"/>
      </w:rPr>
    </w:lvl>
    <w:lvl w:ilvl="7" w:tplc="2EFE159C">
      <w:start w:val="1"/>
      <w:numFmt w:val="bullet"/>
      <w:lvlText w:val="o"/>
      <w:lvlJc w:val="left"/>
      <w:pPr>
        <w:ind w:left="5760" w:hanging="360"/>
      </w:pPr>
      <w:rPr>
        <w:rFonts w:ascii="Courier New" w:hAnsi="Courier New" w:hint="default"/>
      </w:rPr>
    </w:lvl>
    <w:lvl w:ilvl="8" w:tplc="865ACAAE">
      <w:start w:val="1"/>
      <w:numFmt w:val="bullet"/>
      <w:lvlText w:val=""/>
      <w:lvlJc w:val="left"/>
      <w:pPr>
        <w:ind w:left="6480" w:hanging="360"/>
      </w:pPr>
      <w:rPr>
        <w:rFonts w:ascii="Wingdings" w:hAnsi="Wingdings" w:hint="default"/>
      </w:rPr>
    </w:lvl>
  </w:abstractNum>
  <w:abstractNum w:abstractNumId="45" w15:restartNumberingAfterBreak="0">
    <w:nsid w:val="51317E45"/>
    <w:multiLevelType w:val="hybridMultilevel"/>
    <w:tmpl w:val="7C7ABDB0"/>
    <w:lvl w:ilvl="0" w:tplc="915C184A">
      <w:start w:val="1"/>
      <w:numFmt w:val="bullet"/>
      <w:lvlText w:val="o"/>
      <w:lvlJc w:val="left"/>
      <w:pPr>
        <w:ind w:left="1080" w:hanging="360"/>
      </w:pPr>
      <w:rPr>
        <w:rFonts w:ascii="Courier New" w:hAnsi="Courier New" w:hint="default"/>
      </w:rPr>
    </w:lvl>
    <w:lvl w:ilvl="1" w:tplc="0EA64A68">
      <w:start w:val="1"/>
      <w:numFmt w:val="bullet"/>
      <w:lvlText w:val="o"/>
      <w:lvlJc w:val="left"/>
      <w:pPr>
        <w:ind w:left="1800" w:hanging="360"/>
      </w:pPr>
      <w:rPr>
        <w:rFonts w:ascii="Courier New" w:hAnsi="Courier New" w:hint="default"/>
      </w:rPr>
    </w:lvl>
    <w:lvl w:ilvl="2" w:tplc="CB2AA0CC">
      <w:start w:val="1"/>
      <w:numFmt w:val="bullet"/>
      <w:lvlText w:val=""/>
      <w:lvlJc w:val="left"/>
      <w:pPr>
        <w:ind w:left="2520" w:hanging="360"/>
      </w:pPr>
      <w:rPr>
        <w:rFonts w:ascii="Wingdings" w:hAnsi="Wingdings" w:hint="default"/>
      </w:rPr>
    </w:lvl>
    <w:lvl w:ilvl="3" w:tplc="1B12EA14">
      <w:start w:val="1"/>
      <w:numFmt w:val="bullet"/>
      <w:lvlText w:val=""/>
      <w:lvlJc w:val="left"/>
      <w:pPr>
        <w:ind w:left="3240" w:hanging="360"/>
      </w:pPr>
      <w:rPr>
        <w:rFonts w:ascii="Symbol" w:hAnsi="Symbol" w:hint="default"/>
      </w:rPr>
    </w:lvl>
    <w:lvl w:ilvl="4" w:tplc="972860BC">
      <w:start w:val="1"/>
      <w:numFmt w:val="bullet"/>
      <w:lvlText w:val="o"/>
      <w:lvlJc w:val="left"/>
      <w:pPr>
        <w:ind w:left="3960" w:hanging="360"/>
      </w:pPr>
      <w:rPr>
        <w:rFonts w:ascii="Courier New" w:hAnsi="Courier New" w:hint="default"/>
      </w:rPr>
    </w:lvl>
    <w:lvl w:ilvl="5" w:tplc="978EC34C">
      <w:start w:val="1"/>
      <w:numFmt w:val="bullet"/>
      <w:lvlText w:val=""/>
      <w:lvlJc w:val="left"/>
      <w:pPr>
        <w:ind w:left="4680" w:hanging="360"/>
      </w:pPr>
      <w:rPr>
        <w:rFonts w:ascii="Wingdings" w:hAnsi="Wingdings" w:hint="default"/>
      </w:rPr>
    </w:lvl>
    <w:lvl w:ilvl="6" w:tplc="F63C128E">
      <w:start w:val="1"/>
      <w:numFmt w:val="bullet"/>
      <w:lvlText w:val=""/>
      <w:lvlJc w:val="left"/>
      <w:pPr>
        <w:ind w:left="5400" w:hanging="360"/>
      </w:pPr>
      <w:rPr>
        <w:rFonts w:ascii="Symbol" w:hAnsi="Symbol" w:hint="default"/>
      </w:rPr>
    </w:lvl>
    <w:lvl w:ilvl="7" w:tplc="232009AA">
      <w:start w:val="1"/>
      <w:numFmt w:val="bullet"/>
      <w:lvlText w:val="o"/>
      <w:lvlJc w:val="left"/>
      <w:pPr>
        <w:ind w:left="6120" w:hanging="360"/>
      </w:pPr>
      <w:rPr>
        <w:rFonts w:ascii="Courier New" w:hAnsi="Courier New" w:hint="default"/>
      </w:rPr>
    </w:lvl>
    <w:lvl w:ilvl="8" w:tplc="0F72EAE0">
      <w:start w:val="1"/>
      <w:numFmt w:val="bullet"/>
      <w:lvlText w:val=""/>
      <w:lvlJc w:val="left"/>
      <w:pPr>
        <w:ind w:left="6840" w:hanging="360"/>
      </w:pPr>
      <w:rPr>
        <w:rFonts w:ascii="Wingdings" w:hAnsi="Wingdings" w:hint="default"/>
      </w:rPr>
    </w:lvl>
  </w:abstractNum>
  <w:abstractNum w:abstractNumId="46" w15:restartNumberingAfterBreak="0">
    <w:nsid w:val="53D69607"/>
    <w:multiLevelType w:val="hybridMultilevel"/>
    <w:tmpl w:val="47B8D36E"/>
    <w:lvl w:ilvl="0" w:tplc="AD46DB94">
      <w:start w:val="1"/>
      <w:numFmt w:val="bullet"/>
      <w:lvlText w:val=""/>
      <w:lvlJc w:val="left"/>
      <w:pPr>
        <w:ind w:left="720" w:hanging="360"/>
      </w:pPr>
      <w:rPr>
        <w:rFonts w:ascii="Symbol" w:hAnsi="Symbol" w:hint="default"/>
      </w:rPr>
    </w:lvl>
    <w:lvl w:ilvl="1" w:tplc="75C0A6E2">
      <w:start w:val="1"/>
      <w:numFmt w:val="bullet"/>
      <w:lvlText w:val="o"/>
      <w:lvlJc w:val="left"/>
      <w:pPr>
        <w:ind w:left="1440" w:hanging="360"/>
      </w:pPr>
      <w:rPr>
        <w:rFonts w:ascii="Courier New" w:hAnsi="Courier New" w:hint="default"/>
      </w:rPr>
    </w:lvl>
    <w:lvl w:ilvl="2" w:tplc="BDB42158">
      <w:start w:val="1"/>
      <w:numFmt w:val="bullet"/>
      <w:lvlText w:val=""/>
      <w:lvlJc w:val="left"/>
      <w:pPr>
        <w:ind w:left="2160" w:hanging="360"/>
      </w:pPr>
      <w:rPr>
        <w:rFonts w:ascii="Wingdings" w:hAnsi="Wingdings" w:hint="default"/>
      </w:rPr>
    </w:lvl>
    <w:lvl w:ilvl="3" w:tplc="AF2813F4">
      <w:start w:val="1"/>
      <w:numFmt w:val="bullet"/>
      <w:lvlText w:val=""/>
      <w:lvlJc w:val="left"/>
      <w:pPr>
        <w:ind w:left="2880" w:hanging="360"/>
      </w:pPr>
      <w:rPr>
        <w:rFonts w:ascii="Symbol" w:hAnsi="Symbol" w:hint="default"/>
      </w:rPr>
    </w:lvl>
    <w:lvl w:ilvl="4" w:tplc="FE7C74BE">
      <w:start w:val="1"/>
      <w:numFmt w:val="bullet"/>
      <w:lvlText w:val="o"/>
      <w:lvlJc w:val="left"/>
      <w:pPr>
        <w:ind w:left="3600" w:hanging="360"/>
      </w:pPr>
      <w:rPr>
        <w:rFonts w:ascii="Courier New" w:hAnsi="Courier New" w:hint="default"/>
      </w:rPr>
    </w:lvl>
    <w:lvl w:ilvl="5" w:tplc="0012F15C">
      <w:start w:val="1"/>
      <w:numFmt w:val="bullet"/>
      <w:lvlText w:val=""/>
      <w:lvlJc w:val="left"/>
      <w:pPr>
        <w:ind w:left="4320" w:hanging="360"/>
      </w:pPr>
      <w:rPr>
        <w:rFonts w:ascii="Wingdings" w:hAnsi="Wingdings" w:hint="default"/>
      </w:rPr>
    </w:lvl>
    <w:lvl w:ilvl="6" w:tplc="13F89262">
      <w:start w:val="1"/>
      <w:numFmt w:val="bullet"/>
      <w:lvlText w:val=""/>
      <w:lvlJc w:val="left"/>
      <w:pPr>
        <w:ind w:left="5040" w:hanging="360"/>
      </w:pPr>
      <w:rPr>
        <w:rFonts w:ascii="Symbol" w:hAnsi="Symbol" w:hint="default"/>
      </w:rPr>
    </w:lvl>
    <w:lvl w:ilvl="7" w:tplc="477AA25C">
      <w:start w:val="1"/>
      <w:numFmt w:val="bullet"/>
      <w:lvlText w:val="o"/>
      <w:lvlJc w:val="left"/>
      <w:pPr>
        <w:ind w:left="5760" w:hanging="360"/>
      </w:pPr>
      <w:rPr>
        <w:rFonts w:ascii="Courier New" w:hAnsi="Courier New" w:hint="default"/>
      </w:rPr>
    </w:lvl>
    <w:lvl w:ilvl="8" w:tplc="34065462">
      <w:start w:val="1"/>
      <w:numFmt w:val="bullet"/>
      <w:lvlText w:val=""/>
      <w:lvlJc w:val="left"/>
      <w:pPr>
        <w:ind w:left="6480" w:hanging="360"/>
      </w:pPr>
      <w:rPr>
        <w:rFonts w:ascii="Wingdings" w:hAnsi="Wingdings" w:hint="default"/>
      </w:rPr>
    </w:lvl>
  </w:abstractNum>
  <w:abstractNum w:abstractNumId="47" w15:restartNumberingAfterBreak="0">
    <w:nsid w:val="595F4537"/>
    <w:multiLevelType w:val="hybridMultilevel"/>
    <w:tmpl w:val="A182A3AC"/>
    <w:lvl w:ilvl="0" w:tplc="740450AC">
      <w:start w:val="1"/>
      <w:numFmt w:val="bullet"/>
      <w:lvlText w:val=""/>
      <w:lvlJc w:val="left"/>
      <w:pPr>
        <w:ind w:left="720" w:hanging="360"/>
      </w:pPr>
      <w:rPr>
        <w:rFonts w:ascii="Symbol" w:hAnsi="Symbol" w:hint="default"/>
      </w:rPr>
    </w:lvl>
    <w:lvl w:ilvl="1" w:tplc="282EF77E">
      <w:start w:val="1"/>
      <w:numFmt w:val="bullet"/>
      <w:lvlText w:val="o"/>
      <w:lvlJc w:val="left"/>
      <w:pPr>
        <w:ind w:left="1440" w:hanging="360"/>
      </w:pPr>
      <w:rPr>
        <w:rFonts w:ascii="Courier New" w:hAnsi="Courier New" w:hint="default"/>
      </w:rPr>
    </w:lvl>
    <w:lvl w:ilvl="2" w:tplc="3BC6AC4E">
      <w:start w:val="1"/>
      <w:numFmt w:val="bullet"/>
      <w:lvlText w:val=""/>
      <w:lvlJc w:val="left"/>
      <w:pPr>
        <w:ind w:left="2160" w:hanging="360"/>
      </w:pPr>
      <w:rPr>
        <w:rFonts w:ascii="Wingdings" w:hAnsi="Wingdings" w:hint="default"/>
      </w:rPr>
    </w:lvl>
    <w:lvl w:ilvl="3" w:tplc="C1FA361E">
      <w:start w:val="1"/>
      <w:numFmt w:val="bullet"/>
      <w:lvlText w:val=""/>
      <w:lvlJc w:val="left"/>
      <w:pPr>
        <w:ind w:left="2880" w:hanging="360"/>
      </w:pPr>
      <w:rPr>
        <w:rFonts w:ascii="Symbol" w:hAnsi="Symbol" w:hint="default"/>
      </w:rPr>
    </w:lvl>
    <w:lvl w:ilvl="4" w:tplc="6E66D03C">
      <w:start w:val="1"/>
      <w:numFmt w:val="bullet"/>
      <w:lvlText w:val="o"/>
      <w:lvlJc w:val="left"/>
      <w:pPr>
        <w:ind w:left="3600" w:hanging="360"/>
      </w:pPr>
      <w:rPr>
        <w:rFonts w:ascii="Courier New" w:hAnsi="Courier New" w:hint="default"/>
      </w:rPr>
    </w:lvl>
    <w:lvl w:ilvl="5" w:tplc="40705E14">
      <w:start w:val="1"/>
      <w:numFmt w:val="bullet"/>
      <w:lvlText w:val=""/>
      <w:lvlJc w:val="left"/>
      <w:pPr>
        <w:ind w:left="4320" w:hanging="360"/>
      </w:pPr>
      <w:rPr>
        <w:rFonts w:ascii="Wingdings" w:hAnsi="Wingdings" w:hint="default"/>
      </w:rPr>
    </w:lvl>
    <w:lvl w:ilvl="6" w:tplc="9080F274">
      <w:start w:val="1"/>
      <w:numFmt w:val="bullet"/>
      <w:lvlText w:val=""/>
      <w:lvlJc w:val="left"/>
      <w:pPr>
        <w:ind w:left="5040" w:hanging="360"/>
      </w:pPr>
      <w:rPr>
        <w:rFonts w:ascii="Symbol" w:hAnsi="Symbol" w:hint="default"/>
      </w:rPr>
    </w:lvl>
    <w:lvl w:ilvl="7" w:tplc="E9FAB784">
      <w:start w:val="1"/>
      <w:numFmt w:val="bullet"/>
      <w:lvlText w:val="o"/>
      <w:lvlJc w:val="left"/>
      <w:pPr>
        <w:ind w:left="5760" w:hanging="360"/>
      </w:pPr>
      <w:rPr>
        <w:rFonts w:ascii="Courier New" w:hAnsi="Courier New" w:hint="default"/>
      </w:rPr>
    </w:lvl>
    <w:lvl w:ilvl="8" w:tplc="C0E6EC86">
      <w:start w:val="1"/>
      <w:numFmt w:val="bullet"/>
      <w:lvlText w:val=""/>
      <w:lvlJc w:val="left"/>
      <w:pPr>
        <w:ind w:left="6480" w:hanging="360"/>
      </w:pPr>
      <w:rPr>
        <w:rFonts w:ascii="Wingdings" w:hAnsi="Wingdings" w:hint="default"/>
      </w:rPr>
    </w:lvl>
  </w:abstractNum>
  <w:abstractNum w:abstractNumId="48" w15:restartNumberingAfterBreak="0">
    <w:nsid w:val="5C28EF6D"/>
    <w:multiLevelType w:val="hybridMultilevel"/>
    <w:tmpl w:val="76E8225C"/>
    <w:lvl w:ilvl="0" w:tplc="A20C51F6">
      <w:start w:val="1"/>
      <w:numFmt w:val="bullet"/>
      <w:lvlText w:val=""/>
      <w:lvlJc w:val="left"/>
      <w:pPr>
        <w:ind w:left="720" w:hanging="360"/>
      </w:pPr>
      <w:rPr>
        <w:rFonts w:ascii="Symbol" w:hAnsi="Symbol" w:hint="default"/>
      </w:rPr>
    </w:lvl>
    <w:lvl w:ilvl="1" w:tplc="DAFEE076">
      <w:start w:val="1"/>
      <w:numFmt w:val="bullet"/>
      <w:lvlText w:val="o"/>
      <w:lvlJc w:val="left"/>
      <w:pPr>
        <w:ind w:left="1440" w:hanging="360"/>
      </w:pPr>
      <w:rPr>
        <w:rFonts w:ascii="Courier New" w:hAnsi="Courier New" w:hint="default"/>
      </w:rPr>
    </w:lvl>
    <w:lvl w:ilvl="2" w:tplc="BB007388">
      <w:start w:val="1"/>
      <w:numFmt w:val="bullet"/>
      <w:lvlText w:val=""/>
      <w:lvlJc w:val="left"/>
      <w:pPr>
        <w:ind w:left="2160" w:hanging="360"/>
      </w:pPr>
      <w:rPr>
        <w:rFonts w:ascii="Wingdings" w:hAnsi="Wingdings" w:hint="default"/>
      </w:rPr>
    </w:lvl>
    <w:lvl w:ilvl="3" w:tplc="85C096BA">
      <w:start w:val="1"/>
      <w:numFmt w:val="bullet"/>
      <w:lvlText w:val=""/>
      <w:lvlJc w:val="left"/>
      <w:pPr>
        <w:ind w:left="2880" w:hanging="360"/>
      </w:pPr>
      <w:rPr>
        <w:rFonts w:ascii="Symbol" w:hAnsi="Symbol" w:hint="default"/>
      </w:rPr>
    </w:lvl>
    <w:lvl w:ilvl="4" w:tplc="FF2E2BB8">
      <w:start w:val="1"/>
      <w:numFmt w:val="bullet"/>
      <w:lvlText w:val="o"/>
      <w:lvlJc w:val="left"/>
      <w:pPr>
        <w:ind w:left="3600" w:hanging="360"/>
      </w:pPr>
      <w:rPr>
        <w:rFonts w:ascii="Courier New" w:hAnsi="Courier New" w:hint="default"/>
      </w:rPr>
    </w:lvl>
    <w:lvl w:ilvl="5" w:tplc="9580E844">
      <w:start w:val="1"/>
      <w:numFmt w:val="bullet"/>
      <w:lvlText w:val=""/>
      <w:lvlJc w:val="left"/>
      <w:pPr>
        <w:ind w:left="4320" w:hanging="360"/>
      </w:pPr>
      <w:rPr>
        <w:rFonts w:ascii="Wingdings" w:hAnsi="Wingdings" w:hint="default"/>
      </w:rPr>
    </w:lvl>
    <w:lvl w:ilvl="6" w:tplc="2AAC59F0">
      <w:start w:val="1"/>
      <w:numFmt w:val="bullet"/>
      <w:lvlText w:val=""/>
      <w:lvlJc w:val="left"/>
      <w:pPr>
        <w:ind w:left="5040" w:hanging="360"/>
      </w:pPr>
      <w:rPr>
        <w:rFonts w:ascii="Symbol" w:hAnsi="Symbol" w:hint="default"/>
      </w:rPr>
    </w:lvl>
    <w:lvl w:ilvl="7" w:tplc="AFB43FA8">
      <w:start w:val="1"/>
      <w:numFmt w:val="bullet"/>
      <w:lvlText w:val="o"/>
      <w:lvlJc w:val="left"/>
      <w:pPr>
        <w:ind w:left="5760" w:hanging="360"/>
      </w:pPr>
      <w:rPr>
        <w:rFonts w:ascii="Courier New" w:hAnsi="Courier New" w:hint="default"/>
      </w:rPr>
    </w:lvl>
    <w:lvl w:ilvl="8" w:tplc="8FE2699C">
      <w:start w:val="1"/>
      <w:numFmt w:val="bullet"/>
      <w:lvlText w:val=""/>
      <w:lvlJc w:val="left"/>
      <w:pPr>
        <w:ind w:left="6480" w:hanging="360"/>
      </w:pPr>
      <w:rPr>
        <w:rFonts w:ascii="Wingdings" w:hAnsi="Wingdings" w:hint="default"/>
      </w:rPr>
    </w:lvl>
  </w:abstractNum>
  <w:abstractNum w:abstractNumId="49" w15:restartNumberingAfterBreak="0">
    <w:nsid w:val="5FFFD7DA"/>
    <w:multiLevelType w:val="hybridMultilevel"/>
    <w:tmpl w:val="A3E8927C"/>
    <w:lvl w:ilvl="0" w:tplc="4D10C65A">
      <w:start w:val="1"/>
      <w:numFmt w:val="bullet"/>
      <w:lvlText w:val=""/>
      <w:lvlJc w:val="left"/>
      <w:pPr>
        <w:ind w:left="720" w:hanging="360"/>
      </w:pPr>
      <w:rPr>
        <w:rFonts w:ascii="Symbol" w:hAnsi="Symbol" w:hint="default"/>
      </w:rPr>
    </w:lvl>
    <w:lvl w:ilvl="1" w:tplc="0FEC4B16">
      <w:start w:val="1"/>
      <w:numFmt w:val="bullet"/>
      <w:lvlText w:val="o"/>
      <w:lvlJc w:val="left"/>
      <w:pPr>
        <w:ind w:left="1440" w:hanging="360"/>
      </w:pPr>
      <w:rPr>
        <w:rFonts w:ascii="Courier New" w:hAnsi="Courier New" w:hint="default"/>
      </w:rPr>
    </w:lvl>
    <w:lvl w:ilvl="2" w:tplc="E8FEDE8E">
      <w:start w:val="1"/>
      <w:numFmt w:val="bullet"/>
      <w:lvlText w:val=""/>
      <w:lvlJc w:val="left"/>
      <w:pPr>
        <w:ind w:left="2160" w:hanging="360"/>
      </w:pPr>
      <w:rPr>
        <w:rFonts w:ascii="Wingdings" w:hAnsi="Wingdings" w:hint="default"/>
      </w:rPr>
    </w:lvl>
    <w:lvl w:ilvl="3" w:tplc="68D05350">
      <w:start w:val="1"/>
      <w:numFmt w:val="bullet"/>
      <w:lvlText w:val=""/>
      <w:lvlJc w:val="left"/>
      <w:pPr>
        <w:ind w:left="2880" w:hanging="360"/>
      </w:pPr>
      <w:rPr>
        <w:rFonts w:ascii="Symbol" w:hAnsi="Symbol" w:hint="default"/>
      </w:rPr>
    </w:lvl>
    <w:lvl w:ilvl="4" w:tplc="85DCE67E">
      <w:start w:val="1"/>
      <w:numFmt w:val="bullet"/>
      <w:lvlText w:val="o"/>
      <w:lvlJc w:val="left"/>
      <w:pPr>
        <w:ind w:left="3600" w:hanging="360"/>
      </w:pPr>
      <w:rPr>
        <w:rFonts w:ascii="Courier New" w:hAnsi="Courier New" w:hint="default"/>
      </w:rPr>
    </w:lvl>
    <w:lvl w:ilvl="5" w:tplc="12B05FF2">
      <w:start w:val="1"/>
      <w:numFmt w:val="bullet"/>
      <w:lvlText w:val=""/>
      <w:lvlJc w:val="left"/>
      <w:pPr>
        <w:ind w:left="4320" w:hanging="360"/>
      </w:pPr>
      <w:rPr>
        <w:rFonts w:ascii="Wingdings" w:hAnsi="Wingdings" w:hint="default"/>
      </w:rPr>
    </w:lvl>
    <w:lvl w:ilvl="6" w:tplc="4118B3E8">
      <w:start w:val="1"/>
      <w:numFmt w:val="bullet"/>
      <w:lvlText w:val=""/>
      <w:lvlJc w:val="left"/>
      <w:pPr>
        <w:ind w:left="5040" w:hanging="360"/>
      </w:pPr>
      <w:rPr>
        <w:rFonts w:ascii="Symbol" w:hAnsi="Symbol" w:hint="default"/>
      </w:rPr>
    </w:lvl>
    <w:lvl w:ilvl="7" w:tplc="3E3858DE">
      <w:start w:val="1"/>
      <w:numFmt w:val="bullet"/>
      <w:lvlText w:val="o"/>
      <w:lvlJc w:val="left"/>
      <w:pPr>
        <w:ind w:left="5760" w:hanging="360"/>
      </w:pPr>
      <w:rPr>
        <w:rFonts w:ascii="Courier New" w:hAnsi="Courier New" w:hint="default"/>
      </w:rPr>
    </w:lvl>
    <w:lvl w:ilvl="8" w:tplc="B742DCB0">
      <w:start w:val="1"/>
      <w:numFmt w:val="bullet"/>
      <w:lvlText w:val=""/>
      <w:lvlJc w:val="left"/>
      <w:pPr>
        <w:ind w:left="6480" w:hanging="360"/>
      </w:pPr>
      <w:rPr>
        <w:rFonts w:ascii="Wingdings" w:hAnsi="Wingdings" w:hint="default"/>
      </w:rPr>
    </w:lvl>
  </w:abstractNum>
  <w:abstractNum w:abstractNumId="50" w15:restartNumberingAfterBreak="0">
    <w:nsid w:val="6190C239"/>
    <w:multiLevelType w:val="hybridMultilevel"/>
    <w:tmpl w:val="5E205E0C"/>
    <w:lvl w:ilvl="0" w:tplc="5E847E4C">
      <w:start w:val="1"/>
      <w:numFmt w:val="bullet"/>
      <w:lvlText w:val=""/>
      <w:lvlJc w:val="left"/>
      <w:pPr>
        <w:ind w:left="720" w:hanging="360"/>
      </w:pPr>
      <w:rPr>
        <w:rFonts w:ascii="Symbol" w:hAnsi="Symbol" w:hint="default"/>
      </w:rPr>
    </w:lvl>
    <w:lvl w:ilvl="1" w:tplc="B98EFF00">
      <w:start w:val="1"/>
      <w:numFmt w:val="bullet"/>
      <w:lvlText w:val="o"/>
      <w:lvlJc w:val="left"/>
      <w:pPr>
        <w:ind w:left="1440" w:hanging="360"/>
      </w:pPr>
      <w:rPr>
        <w:rFonts w:ascii="Courier New" w:hAnsi="Courier New" w:hint="default"/>
      </w:rPr>
    </w:lvl>
    <w:lvl w:ilvl="2" w:tplc="48567810">
      <w:start w:val="1"/>
      <w:numFmt w:val="bullet"/>
      <w:lvlText w:val=""/>
      <w:lvlJc w:val="left"/>
      <w:pPr>
        <w:ind w:left="2160" w:hanging="360"/>
      </w:pPr>
      <w:rPr>
        <w:rFonts w:ascii="Wingdings" w:hAnsi="Wingdings" w:hint="default"/>
      </w:rPr>
    </w:lvl>
    <w:lvl w:ilvl="3" w:tplc="79CAB70A">
      <w:start w:val="1"/>
      <w:numFmt w:val="bullet"/>
      <w:lvlText w:val=""/>
      <w:lvlJc w:val="left"/>
      <w:pPr>
        <w:ind w:left="2880" w:hanging="360"/>
      </w:pPr>
      <w:rPr>
        <w:rFonts w:ascii="Symbol" w:hAnsi="Symbol" w:hint="default"/>
      </w:rPr>
    </w:lvl>
    <w:lvl w:ilvl="4" w:tplc="85020DA0">
      <w:start w:val="1"/>
      <w:numFmt w:val="bullet"/>
      <w:lvlText w:val="o"/>
      <w:lvlJc w:val="left"/>
      <w:pPr>
        <w:ind w:left="3600" w:hanging="360"/>
      </w:pPr>
      <w:rPr>
        <w:rFonts w:ascii="Courier New" w:hAnsi="Courier New" w:hint="default"/>
      </w:rPr>
    </w:lvl>
    <w:lvl w:ilvl="5" w:tplc="F2E61C84">
      <w:start w:val="1"/>
      <w:numFmt w:val="bullet"/>
      <w:lvlText w:val=""/>
      <w:lvlJc w:val="left"/>
      <w:pPr>
        <w:ind w:left="4320" w:hanging="360"/>
      </w:pPr>
      <w:rPr>
        <w:rFonts w:ascii="Wingdings" w:hAnsi="Wingdings" w:hint="default"/>
      </w:rPr>
    </w:lvl>
    <w:lvl w:ilvl="6" w:tplc="610C93D2">
      <w:start w:val="1"/>
      <w:numFmt w:val="bullet"/>
      <w:lvlText w:val=""/>
      <w:lvlJc w:val="left"/>
      <w:pPr>
        <w:ind w:left="5040" w:hanging="360"/>
      </w:pPr>
      <w:rPr>
        <w:rFonts w:ascii="Symbol" w:hAnsi="Symbol" w:hint="default"/>
      </w:rPr>
    </w:lvl>
    <w:lvl w:ilvl="7" w:tplc="5D0C0B04">
      <w:start w:val="1"/>
      <w:numFmt w:val="bullet"/>
      <w:lvlText w:val="o"/>
      <w:lvlJc w:val="left"/>
      <w:pPr>
        <w:ind w:left="5760" w:hanging="360"/>
      </w:pPr>
      <w:rPr>
        <w:rFonts w:ascii="Courier New" w:hAnsi="Courier New" w:hint="default"/>
      </w:rPr>
    </w:lvl>
    <w:lvl w:ilvl="8" w:tplc="FCE45DF8">
      <w:start w:val="1"/>
      <w:numFmt w:val="bullet"/>
      <w:lvlText w:val=""/>
      <w:lvlJc w:val="left"/>
      <w:pPr>
        <w:ind w:left="6480" w:hanging="360"/>
      </w:pPr>
      <w:rPr>
        <w:rFonts w:ascii="Wingdings" w:hAnsi="Wingdings" w:hint="default"/>
      </w:rPr>
    </w:lvl>
  </w:abstractNum>
  <w:abstractNum w:abstractNumId="51" w15:restartNumberingAfterBreak="0">
    <w:nsid w:val="62A5897C"/>
    <w:multiLevelType w:val="hybridMultilevel"/>
    <w:tmpl w:val="82709A48"/>
    <w:lvl w:ilvl="0" w:tplc="6BC4A8C4">
      <w:start w:val="1"/>
      <w:numFmt w:val="bullet"/>
      <w:lvlText w:val=""/>
      <w:lvlJc w:val="left"/>
      <w:pPr>
        <w:ind w:left="720" w:hanging="360"/>
      </w:pPr>
      <w:rPr>
        <w:rFonts w:ascii="Symbol" w:hAnsi="Symbol" w:hint="default"/>
      </w:rPr>
    </w:lvl>
    <w:lvl w:ilvl="1" w:tplc="F5B6087E">
      <w:start w:val="1"/>
      <w:numFmt w:val="bullet"/>
      <w:lvlText w:val="o"/>
      <w:lvlJc w:val="left"/>
      <w:pPr>
        <w:ind w:left="1440" w:hanging="360"/>
      </w:pPr>
      <w:rPr>
        <w:rFonts w:ascii="Courier New" w:hAnsi="Courier New" w:hint="default"/>
      </w:rPr>
    </w:lvl>
    <w:lvl w:ilvl="2" w:tplc="4BF67F32">
      <w:start w:val="1"/>
      <w:numFmt w:val="bullet"/>
      <w:lvlText w:val=""/>
      <w:lvlJc w:val="left"/>
      <w:pPr>
        <w:ind w:left="2160" w:hanging="360"/>
      </w:pPr>
      <w:rPr>
        <w:rFonts w:ascii="Wingdings" w:hAnsi="Wingdings" w:hint="default"/>
      </w:rPr>
    </w:lvl>
    <w:lvl w:ilvl="3" w:tplc="083C33EA">
      <w:start w:val="1"/>
      <w:numFmt w:val="bullet"/>
      <w:lvlText w:val=""/>
      <w:lvlJc w:val="left"/>
      <w:pPr>
        <w:ind w:left="2880" w:hanging="360"/>
      </w:pPr>
      <w:rPr>
        <w:rFonts w:ascii="Symbol" w:hAnsi="Symbol" w:hint="default"/>
      </w:rPr>
    </w:lvl>
    <w:lvl w:ilvl="4" w:tplc="0A408FFA">
      <w:start w:val="1"/>
      <w:numFmt w:val="bullet"/>
      <w:lvlText w:val="o"/>
      <w:lvlJc w:val="left"/>
      <w:pPr>
        <w:ind w:left="3600" w:hanging="360"/>
      </w:pPr>
      <w:rPr>
        <w:rFonts w:ascii="Courier New" w:hAnsi="Courier New" w:hint="default"/>
      </w:rPr>
    </w:lvl>
    <w:lvl w:ilvl="5" w:tplc="F970E460">
      <w:start w:val="1"/>
      <w:numFmt w:val="bullet"/>
      <w:lvlText w:val=""/>
      <w:lvlJc w:val="left"/>
      <w:pPr>
        <w:ind w:left="4320" w:hanging="360"/>
      </w:pPr>
      <w:rPr>
        <w:rFonts w:ascii="Wingdings" w:hAnsi="Wingdings" w:hint="default"/>
      </w:rPr>
    </w:lvl>
    <w:lvl w:ilvl="6" w:tplc="D6841F6A">
      <w:start w:val="1"/>
      <w:numFmt w:val="bullet"/>
      <w:lvlText w:val=""/>
      <w:lvlJc w:val="left"/>
      <w:pPr>
        <w:ind w:left="5040" w:hanging="360"/>
      </w:pPr>
      <w:rPr>
        <w:rFonts w:ascii="Symbol" w:hAnsi="Symbol" w:hint="default"/>
      </w:rPr>
    </w:lvl>
    <w:lvl w:ilvl="7" w:tplc="7ADA6924">
      <w:start w:val="1"/>
      <w:numFmt w:val="bullet"/>
      <w:lvlText w:val="o"/>
      <w:lvlJc w:val="left"/>
      <w:pPr>
        <w:ind w:left="5760" w:hanging="360"/>
      </w:pPr>
      <w:rPr>
        <w:rFonts w:ascii="Courier New" w:hAnsi="Courier New" w:hint="default"/>
      </w:rPr>
    </w:lvl>
    <w:lvl w:ilvl="8" w:tplc="F1C2271C">
      <w:start w:val="1"/>
      <w:numFmt w:val="bullet"/>
      <w:lvlText w:val=""/>
      <w:lvlJc w:val="left"/>
      <w:pPr>
        <w:ind w:left="6480" w:hanging="360"/>
      </w:pPr>
      <w:rPr>
        <w:rFonts w:ascii="Wingdings" w:hAnsi="Wingdings" w:hint="default"/>
      </w:rPr>
    </w:lvl>
  </w:abstractNum>
  <w:abstractNum w:abstractNumId="52" w15:restartNumberingAfterBreak="0">
    <w:nsid w:val="637943A0"/>
    <w:multiLevelType w:val="hybridMultilevel"/>
    <w:tmpl w:val="DBEECC82"/>
    <w:lvl w:ilvl="0" w:tplc="0DEA4C5C">
      <w:start w:val="1"/>
      <w:numFmt w:val="bullet"/>
      <w:lvlText w:val=""/>
      <w:lvlJc w:val="left"/>
      <w:pPr>
        <w:ind w:left="720" w:hanging="360"/>
      </w:pPr>
      <w:rPr>
        <w:rFonts w:ascii="Symbol" w:hAnsi="Symbol" w:hint="default"/>
      </w:rPr>
    </w:lvl>
    <w:lvl w:ilvl="1" w:tplc="C91CB9D6">
      <w:start w:val="1"/>
      <w:numFmt w:val="bullet"/>
      <w:lvlText w:val="o"/>
      <w:lvlJc w:val="left"/>
      <w:pPr>
        <w:ind w:left="1440" w:hanging="360"/>
      </w:pPr>
      <w:rPr>
        <w:rFonts w:ascii="Symbol" w:hAnsi="Symbol" w:hint="default"/>
      </w:rPr>
    </w:lvl>
    <w:lvl w:ilvl="2" w:tplc="C652C0CE">
      <w:start w:val="1"/>
      <w:numFmt w:val="bullet"/>
      <w:lvlText w:val=""/>
      <w:lvlJc w:val="left"/>
      <w:pPr>
        <w:ind w:left="2160" w:hanging="360"/>
      </w:pPr>
      <w:rPr>
        <w:rFonts w:ascii="Wingdings" w:hAnsi="Wingdings" w:hint="default"/>
      </w:rPr>
    </w:lvl>
    <w:lvl w:ilvl="3" w:tplc="0F5E06FE">
      <w:start w:val="1"/>
      <w:numFmt w:val="bullet"/>
      <w:lvlText w:val=""/>
      <w:lvlJc w:val="left"/>
      <w:pPr>
        <w:ind w:left="2880" w:hanging="360"/>
      </w:pPr>
      <w:rPr>
        <w:rFonts w:ascii="Symbol" w:hAnsi="Symbol" w:hint="default"/>
      </w:rPr>
    </w:lvl>
    <w:lvl w:ilvl="4" w:tplc="76AC3098">
      <w:start w:val="1"/>
      <w:numFmt w:val="bullet"/>
      <w:lvlText w:val="o"/>
      <w:lvlJc w:val="left"/>
      <w:pPr>
        <w:ind w:left="3600" w:hanging="360"/>
      </w:pPr>
      <w:rPr>
        <w:rFonts w:ascii="Courier New" w:hAnsi="Courier New" w:hint="default"/>
      </w:rPr>
    </w:lvl>
    <w:lvl w:ilvl="5" w:tplc="A5BC9F10">
      <w:start w:val="1"/>
      <w:numFmt w:val="bullet"/>
      <w:lvlText w:val=""/>
      <w:lvlJc w:val="left"/>
      <w:pPr>
        <w:ind w:left="4320" w:hanging="360"/>
      </w:pPr>
      <w:rPr>
        <w:rFonts w:ascii="Wingdings" w:hAnsi="Wingdings" w:hint="default"/>
      </w:rPr>
    </w:lvl>
    <w:lvl w:ilvl="6" w:tplc="985698CC">
      <w:start w:val="1"/>
      <w:numFmt w:val="bullet"/>
      <w:lvlText w:val=""/>
      <w:lvlJc w:val="left"/>
      <w:pPr>
        <w:ind w:left="5040" w:hanging="360"/>
      </w:pPr>
      <w:rPr>
        <w:rFonts w:ascii="Symbol" w:hAnsi="Symbol" w:hint="default"/>
      </w:rPr>
    </w:lvl>
    <w:lvl w:ilvl="7" w:tplc="48508E00">
      <w:start w:val="1"/>
      <w:numFmt w:val="bullet"/>
      <w:lvlText w:val="o"/>
      <w:lvlJc w:val="left"/>
      <w:pPr>
        <w:ind w:left="5760" w:hanging="360"/>
      </w:pPr>
      <w:rPr>
        <w:rFonts w:ascii="Courier New" w:hAnsi="Courier New" w:hint="default"/>
      </w:rPr>
    </w:lvl>
    <w:lvl w:ilvl="8" w:tplc="197855B8">
      <w:start w:val="1"/>
      <w:numFmt w:val="bullet"/>
      <w:lvlText w:val=""/>
      <w:lvlJc w:val="left"/>
      <w:pPr>
        <w:ind w:left="6480" w:hanging="360"/>
      </w:pPr>
      <w:rPr>
        <w:rFonts w:ascii="Wingdings" w:hAnsi="Wingdings" w:hint="default"/>
      </w:rPr>
    </w:lvl>
  </w:abstractNum>
  <w:abstractNum w:abstractNumId="53" w15:restartNumberingAfterBreak="0">
    <w:nsid w:val="69C8F84B"/>
    <w:multiLevelType w:val="hybridMultilevel"/>
    <w:tmpl w:val="2D36F89C"/>
    <w:lvl w:ilvl="0" w:tplc="0D3E5E6E">
      <w:start w:val="1"/>
      <w:numFmt w:val="bullet"/>
      <w:lvlText w:val=""/>
      <w:lvlJc w:val="left"/>
      <w:pPr>
        <w:ind w:left="720" w:hanging="360"/>
      </w:pPr>
      <w:rPr>
        <w:rFonts w:ascii="Symbol" w:hAnsi="Symbol" w:hint="default"/>
      </w:rPr>
    </w:lvl>
    <w:lvl w:ilvl="1" w:tplc="2898DC90">
      <w:start w:val="1"/>
      <w:numFmt w:val="bullet"/>
      <w:lvlText w:val="o"/>
      <w:lvlJc w:val="left"/>
      <w:pPr>
        <w:ind w:left="1440" w:hanging="360"/>
      </w:pPr>
      <w:rPr>
        <w:rFonts w:ascii="Courier New" w:hAnsi="Courier New" w:hint="default"/>
      </w:rPr>
    </w:lvl>
    <w:lvl w:ilvl="2" w:tplc="13AAC300">
      <w:start w:val="1"/>
      <w:numFmt w:val="bullet"/>
      <w:lvlText w:val=""/>
      <w:lvlJc w:val="left"/>
      <w:pPr>
        <w:ind w:left="2160" w:hanging="360"/>
      </w:pPr>
      <w:rPr>
        <w:rFonts w:ascii="Wingdings" w:hAnsi="Wingdings" w:hint="default"/>
      </w:rPr>
    </w:lvl>
    <w:lvl w:ilvl="3" w:tplc="5AF277D2">
      <w:start w:val="1"/>
      <w:numFmt w:val="bullet"/>
      <w:lvlText w:val=""/>
      <w:lvlJc w:val="left"/>
      <w:pPr>
        <w:ind w:left="2880" w:hanging="360"/>
      </w:pPr>
      <w:rPr>
        <w:rFonts w:ascii="Symbol" w:hAnsi="Symbol" w:hint="default"/>
      </w:rPr>
    </w:lvl>
    <w:lvl w:ilvl="4" w:tplc="2042F722">
      <w:start w:val="1"/>
      <w:numFmt w:val="bullet"/>
      <w:lvlText w:val="o"/>
      <w:lvlJc w:val="left"/>
      <w:pPr>
        <w:ind w:left="3600" w:hanging="360"/>
      </w:pPr>
      <w:rPr>
        <w:rFonts w:ascii="Courier New" w:hAnsi="Courier New" w:hint="default"/>
      </w:rPr>
    </w:lvl>
    <w:lvl w:ilvl="5" w:tplc="9EFCB3B2">
      <w:start w:val="1"/>
      <w:numFmt w:val="bullet"/>
      <w:lvlText w:val=""/>
      <w:lvlJc w:val="left"/>
      <w:pPr>
        <w:ind w:left="4320" w:hanging="360"/>
      </w:pPr>
      <w:rPr>
        <w:rFonts w:ascii="Wingdings" w:hAnsi="Wingdings" w:hint="default"/>
      </w:rPr>
    </w:lvl>
    <w:lvl w:ilvl="6" w:tplc="4D40E286">
      <w:start w:val="1"/>
      <w:numFmt w:val="bullet"/>
      <w:lvlText w:val=""/>
      <w:lvlJc w:val="left"/>
      <w:pPr>
        <w:ind w:left="5040" w:hanging="360"/>
      </w:pPr>
      <w:rPr>
        <w:rFonts w:ascii="Symbol" w:hAnsi="Symbol" w:hint="default"/>
      </w:rPr>
    </w:lvl>
    <w:lvl w:ilvl="7" w:tplc="B3C62DD2">
      <w:start w:val="1"/>
      <w:numFmt w:val="bullet"/>
      <w:lvlText w:val="o"/>
      <w:lvlJc w:val="left"/>
      <w:pPr>
        <w:ind w:left="5760" w:hanging="360"/>
      </w:pPr>
      <w:rPr>
        <w:rFonts w:ascii="Courier New" w:hAnsi="Courier New" w:hint="default"/>
      </w:rPr>
    </w:lvl>
    <w:lvl w:ilvl="8" w:tplc="5FBE7DCE">
      <w:start w:val="1"/>
      <w:numFmt w:val="bullet"/>
      <w:lvlText w:val=""/>
      <w:lvlJc w:val="left"/>
      <w:pPr>
        <w:ind w:left="6480" w:hanging="360"/>
      </w:pPr>
      <w:rPr>
        <w:rFonts w:ascii="Wingdings" w:hAnsi="Wingdings" w:hint="default"/>
      </w:rPr>
    </w:lvl>
  </w:abstractNum>
  <w:abstractNum w:abstractNumId="54" w15:restartNumberingAfterBreak="0">
    <w:nsid w:val="6AA7D711"/>
    <w:multiLevelType w:val="hybridMultilevel"/>
    <w:tmpl w:val="3D787070"/>
    <w:lvl w:ilvl="0" w:tplc="EA66F088">
      <w:start w:val="1"/>
      <w:numFmt w:val="bullet"/>
      <w:lvlText w:val=""/>
      <w:lvlJc w:val="left"/>
      <w:pPr>
        <w:ind w:left="720" w:hanging="360"/>
      </w:pPr>
      <w:rPr>
        <w:rFonts w:ascii="Symbol" w:hAnsi="Symbol" w:hint="default"/>
      </w:rPr>
    </w:lvl>
    <w:lvl w:ilvl="1" w:tplc="3B964CA6">
      <w:start w:val="1"/>
      <w:numFmt w:val="bullet"/>
      <w:lvlText w:val="o"/>
      <w:lvlJc w:val="left"/>
      <w:pPr>
        <w:ind w:left="1440" w:hanging="360"/>
      </w:pPr>
      <w:rPr>
        <w:rFonts w:ascii="Courier New" w:hAnsi="Courier New" w:hint="default"/>
      </w:rPr>
    </w:lvl>
    <w:lvl w:ilvl="2" w:tplc="13284B4E">
      <w:start w:val="1"/>
      <w:numFmt w:val="bullet"/>
      <w:lvlText w:val=""/>
      <w:lvlJc w:val="left"/>
      <w:pPr>
        <w:ind w:left="2160" w:hanging="360"/>
      </w:pPr>
      <w:rPr>
        <w:rFonts w:ascii="Wingdings" w:hAnsi="Wingdings" w:hint="default"/>
      </w:rPr>
    </w:lvl>
    <w:lvl w:ilvl="3" w:tplc="4726DF7A">
      <w:start w:val="1"/>
      <w:numFmt w:val="bullet"/>
      <w:lvlText w:val=""/>
      <w:lvlJc w:val="left"/>
      <w:pPr>
        <w:ind w:left="2880" w:hanging="360"/>
      </w:pPr>
      <w:rPr>
        <w:rFonts w:ascii="Symbol" w:hAnsi="Symbol" w:hint="default"/>
      </w:rPr>
    </w:lvl>
    <w:lvl w:ilvl="4" w:tplc="E654AA5E">
      <w:start w:val="1"/>
      <w:numFmt w:val="bullet"/>
      <w:lvlText w:val="o"/>
      <w:lvlJc w:val="left"/>
      <w:pPr>
        <w:ind w:left="3600" w:hanging="360"/>
      </w:pPr>
      <w:rPr>
        <w:rFonts w:ascii="Courier New" w:hAnsi="Courier New" w:hint="default"/>
      </w:rPr>
    </w:lvl>
    <w:lvl w:ilvl="5" w:tplc="5A10A9C6">
      <w:start w:val="1"/>
      <w:numFmt w:val="bullet"/>
      <w:lvlText w:val=""/>
      <w:lvlJc w:val="left"/>
      <w:pPr>
        <w:ind w:left="4320" w:hanging="360"/>
      </w:pPr>
      <w:rPr>
        <w:rFonts w:ascii="Wingdings" w:hAnsi="Wingdings" w:hint="default"/>
      </w:rPr>
    </w:lvl>
    <w:lvl w:ilvl="6" w:tplc="A5FC654E">
      <w:start w:val="1"/>
      <w:numFmt w:val="bullet"/>
      <w:lvlText w:val=""/>
      <w:lvlJc w:val="left"/>
      <w:pPr>
        <w:ind w:left="5040" w:hanging="360"/>
      </w:pPr>
      <w:rPr>
        <w:rFonts w:ascii="Symbol" w:hAnsi="Symbol" w:hint="default"/>
      </w:rPr>
    </w:lvl>
    <w:lvl w:ilvl="7" w:tplc="C5F61C82">
      <w:start w:val="1"/>
      <w:numFmt w:val="bullet"/>
      <w:lvlText w:val="o"/>
      <w:lvlJc w:val="left"/>
      <w:pPr>
        <w:ind w:left="5760" w:hanging="360"/>
      </w:pPr>
      <w:rPr>
        <w:rFonts w:ascii="Courier New" w:hAnsi="Courier New" w:hint="default"/>
      </w:rPr>
    </w:lvl>
    <w:lvl w:ilvl="8" w:tplc="1F5462DC">
      <w:start w:val="1"/>
      <w:numFmt w:val="bullet"/>
      <w:lvlText w:val=""/>
      <w:lvlJc w:val="left"/>
      <w:pPr>
        <w:ind w:left="6480" w:hanging="360"/>
      </w:pPr>
      <w:rPr>
        <w:rFonts w:ascii="Wingdings" w:hAnsi="Wingdings" w:hint="default"/>
      </w:rPr>
    </w:lvl>
  </w:abstractNum>
  <w:abstractNum w:abstractNumId="55" w15:restartNumberingAfterBreak="0">
    <w:nsid w:val="70D4B3E7"/>
    <w:multiLevelType w:val="hybridMultilevel"/>
    <w:tmpl w:val="D60C379C"/>
    <w:lvl w:ilvl="0" w:tplc="C9D69584">
      <w:start w:val="1"/>
      <w:numFmt w:val="bullet"/>
      <w:lvlText w:val=""/>
      <w:lvlJc w:val="left"/>
      <w:pPr>
        <w:ind w:left="720" w:hanging="360"/>
      </w:pPr>
      <w:rPr>
        <w:rFonts w:ascii="Symbol" w:hAnsi="Symbol" w:hint="default"/>
      </w:rPr>
    </w:lvl>
    <w:lvl w:ilvl="1" w:tplc="9106002E">
      <w:start w:val="1"/>
      <w:numFmt w:val="bullet"/>
      <w:lvlText w:val="o"/>
      <w:lvlJc w:val="left"/>
      <w:pPr>
        <w:ind w:left="1440" w:hanging="360"/>
      </w:pPr>
      <w:rPr>
        <w:rFonts w:ascii="Courier New" w:hAnsi="Courier New" w:hint="default"/>
      </w:rPr>
    </w:lvl>
    <w:lvl w:ilvl="2" w:tplc="45A2C412">
      <w:start w:val="1"/>
      <w:numFmt w:val="bullet"/>
      <w:lvlText w:val=""/>
      <w:lvlJc w:val="left"/>
      <w:pPr>
        <w:ind w:left="2160" w:hanging="360"/>
      </w:pPr>
      <w:rPr>
        <w:rFonts w:ascii="Wingdings" w:hAnsi="Wingdings" w:hint="default"/>
      </w:rPr>
    </w:lvl>
    <w:lvl w:ilvl="3" w:tplc="66AE7674">
      <w:start w:val="1"/>
      <w:numFmt w:val="bullet"/>
      <w:lvlText w:val=""/>
      <w:lvlJc w:val="left"/>
      <w:pPr>
        <w:ind w:left="2880" w:hanging="360"/>
      </w:pPr>
      <w:rPr>
        <w:rFonts w:ascii="Symbol" w:hAnsi="Symbol" w:hint="default"/>
      </w:rPr>
    </w:lvl>
    <w:lvl w:ilvl="4" w:tplc="E1FE895C">
      <w:start w:val="1"/>
      <w:numFmt w:val="bullet"/>
      <w:lvlText w:val="o"/>
      <w:lvlJc w:val="left"/>
      <w:pPr>
        <w:ind w:left="3600" w:hanging="360"/>
      </w:pPr>
      <w:rPr>
        <w:rFonts w:ascii="Courier New" w:hAnsi="Courier New" w:hint="default"/>
      </w:rPr>
    </w:lvl>
    <w:lvl w:ilvl="5" w:tplc="1E62107E">
      <w:start w:val="1"/>
      <w:numFmt w:val="bullet"/>
      <w:lvlText w:val=""/>
      <w:lvlJc w:val="left"/>
      <w:pPr>
        <w:ind w:left="4320" w:hanging="360"/>
      </w:pPr>
      <w:rPr>
        <w:rFonts w:ascii="Wingdings" w:hAnsi="Wingdings" w:hint="default"/>
      </w:rPr>
    </w:lvl>
    <w:lvl w:ilvl="6" w:tplc="2E3E5E38">
      <w:start w:val="1"/>
      <w:numFmt w:val="bullet"/>
      <w:lvlText w:val=""/>
      <w:lvlJc w:val="left"/>
      <w:pPr>
        <w:ind w:left="5040" w:hanging="360"/>
      </w:pPr>
      <w:rPr>
        <w:rFonts w:ascii="Symbol" w:hAnsi="Symbol" w:hint="default"/>
      </w:rPr>
    </w:lvl>
    <w:lvl w:ilvl="7" w:tplc="F4C8566A">
      <w:start w:val="1"/>
      <w:numFmt w:val="bullet"/>
      <w:lvlText w:val="o"/>
      <w:lvlJc w:val="left"/>
      <w:pPr>
        <w:ind w:left="5760" w:hanging="360"/>
      </w:pPr>
      <w:rPr>
        <w:rFonts w:ascii="Courier New" w:hAnsi="Courier New" w:hint="default"/>
      </w:rPr>
    </w:lvl>
    <w:lvl w:ilvl="8" w:tplc="A024FD32">
      <w:start w:val="1"/>
      <w:numFmt w:val="bullet"/>
      <w:lvlText w:val=""/>
      <w:lvlJc w:val="left"/>
      <w:pPr>
        <w:ind w:left="6480" w:hanging="360"/>
      </w:pPr>
      <w:rPr>
        <w:rFonts w:ascii="Wingdings" w:hAnsi="Wingdings" w:hint="default"/>
      </w:rPr>
    </w:lvl>
  </w:abstractNum>
  <w:abstractNum w:abstractNumId="56" w15:restartNumberingAfterBreak="0">
    <w:nsid w:val="70EFA6D2"/>
    <w:multiLevelType w:val="hybridMultilevel"/>
    <w:tmpl w:val="A47A7E48"/>
    <w:lvl w:ilvl="0" w:tplc="17B60280">
      <w:start w:val="1"/>
      <w:numFmt w:val="bullet"/>
      <w:lvlText w:val=""/>
      <w:lvlJc w:val="left"/>
      <w:pPr>
        <w:ind w:left="720" w:hanging="360"/>
      </w:pPr>
      <w:rPr>
        <w:rFonts w:ascii="Symbol" w:hAnsi="Symbol" w:hint="default"/>
      </w:rPr>
    </w:lvl>
    <w:lvl w:ilvl="1" w:tplc="3E36FB0C">
      <w:start w:val="1"/>
      <w:numFmt w:val="bullet"/>
      <w:lvlText w:val="o"/>
      <w:lvlJc w:val="left"/>
      <w:pPr>
        <w:ind w:left="1440" w:hanging="360"/>
      </w:pPr>
      <w:rPr>
        <w:rFonts w:ascii="Courier New" w:hAnsi="Courier New" w:hint="default"/>
      </w:rPr>
    </w:lvl>
    <w:lvl w:ilvl="2" w:tplc="85EC55C8">
      <w:start w:val="1"/>
      <w:numFmt w:val="bullet"/>
      <w:lvlText w:val=""/>
      <w:lvlJc w:val="left"/>
      <w:pPr>
        <w:ind w:left="2160" w:hanging="360"/>
      </w:pPr>
      <w:rPr>
        <w:rFonts w:ascii="Wingdings" w:hAnsi="Wingdings" w:hint="default"/>
      </w:rPr>
    </w:lvl>
    <w:lvl w:ilvl="3" w:tplc="67E89870">
      <w:start w:val="1"/>
      <w:numFmt w:val="bullet"/>
      <w:lvlText w:val=""/>
      <w:lvlJc w:val="left"/>
      <w:pPr>
        <w:ind w:left="2880" w:hanging="360"/>
      </w:pPr>
      <w:rPr>
        <w:rFonts w:ascii="Symbol" w:hAnsi="Symbol" w:hint="default"/>
      </w:rPr>
    </w:lvl>
    <w:lvl w:ilvl="4" w:tplc="A4CE097E">
      <w:start w:val="1"/>
      <w:numFmt w:val="bullet"/>
      <w:lvlText w:val="o"/>
      <w:lvlJc w:val="left"/>
      <w:pPr>
        <w:ind w:left="3600" w:hanging="360"/>
      </w:pPr>
      <w:rPr>
        <w:rFonts w:ascii="Courier New" w:hAnsi="Courier New" w:hint="default"/>
      </w:rPr>
    </w:lvl>
    <w:lvl w:ilvl="5" w:tplc="6486F448">
      <w:start w:val="1"/>
      <w:numFmt w:val="bullet"/>
      <w:lvlText w:val=""/>
      <w:lvlJc w:val="left"/>
      <w:pPr>
        <w:ind w:left="4320" w:hanging="360"/>
      </w:pPr>
      <w:rPr>
        <w:rFonts w:ascii="Wingdings" w:hAnsi="Wingdings" w:hint="default"/>
      </w:rPr>
    </w:lvl>
    <w:lvl w:ilvl="6" w:tplc="2F808600">
      <w:start w:val="1"/>
      <w:numFmt w:val="bullet"/>
      <w:lvlText w:val=""/>
      <w:lvlJc w:val="left"/>
      <w:pPr>
        <w:ind w:left="5040" w:hanging="360"/>
      </w:pPr>
      <w:rPr>
        <w:rFonts w:ascii="Symbol" w:hAnsi="Symbol" w:hint="default"/>
      </w:rPr>
    </w:lvl>
    <w:lvl w:ilvl="7" w:tplc="5720D77A">
      <w:start w:val="1"/>
      <w:numFmt w:val="bullet"/>
      <w:lvlText w:val="o"/>
      <w:lvlJc w:val="left"/>
      <w:pPr>
        <w:ind w:left="5760" w:hanging="360"/>
      </w:pPr>
      <w:rPr>
        <w:rFonts w:ascii="Courier New" w:hAnsi="Courier New" w:hint="default"/>
      </w:rPr>
    </w:lvl>
    <w:lvl w:ilvl="8" w:tplc="265CF0A0">
      <w:start w:val="1"/>
      <w:numFmt w:val="bullet"/>
      <w:lvlText w:val=""/>
      <w:lvlJc w:val="left"/>
      <w:pPr>
        <w:ind w:left="6480" w:hanging="360"/>
      </w:pPr>
      <w:rPr>
        <w:rFonts w:ascii="Wingdings" w:hAnsi="Wingdings" w:hint="default"/>
      </w:rPr>
    </w:lvl>
  </w:abstractNum>
  <w:abstractNum w:abstractNumId="57" w15:restartNumberingAfterBreak="0">
    <w:nsid w:val="71BBA5BC"/>
    <w:multiLevelType w:val="hybridMultilevel"/>
    <w:tmpl w:val="F2E4BF62"/>
    <w:lvl w:ilvl="0" w:tplc="C6E60250">
      <w:start w:val="1"/>
      <w:numFmt w:val="bullet"/>
      <w:lvlText w:val=""/>
      <w:lvlJc w:val="left"/>
      <w:pPr>
        <w:ind w:left="720" w:hanging="360"/>
      </w:pPr>
      <w:rPr>
        <w:rFonts w:ascii="Symbol" w:hAnsi="Symbol" w:hint="default"/>
      </w:rPr>
    </w:lvl>
    <w:lvl w:ilvl="1" w:tplc="F1167470">
      <w:start w:val="1"/>
      <w:numFmt w:val="bullet"/>
      <w:lvlText w:val="o"/>
      <w:lvlJc w:val="left"/>
      <w:pPr>
        <w:ind w:left="1440" w:hanging="360"/>
      </w:pPr>
      <w:rPr>
        <w:rFonts w:ascii="Courier New" w:hAnsi="Courier New" w:hint="default"/>
      </w:rPr>
    </w:lvl>
    <w:lvl w:ilvl="2" w:tplc="8CEA5F46">
      <w:start w:val="1"/>
      <w:numFmt w:val="bullet"/>
      <w:lvlText w:val=""/>
      <w:lvlJc w:val="left"/>
      <w:pPr>
        <w:ind w:left="2160" w:hanging="360"/>
      </w:pPr>
      <w:rPr>
        <w:rFonts w:ascii="Wingdings" w:hAnsi="Wingdings" w:hint="default"/>
      </w:rPr>
    </w:lvl>
    <w:lvl w:ilvl="3" w:tplc="9D4025EC">
      <w:start w:val="1"/>
      <w:numFmt w:val="bullet"/>
      <w:lvlText w:val=""/>
      <w:lvlJc w:val="left"/>
      <w:pPr>
        <w:ind w:left="2880" w:hanging="360"/>
      </w:pPr>
      <w:rPr>
        <w:rFonts w:ascii="Symbol" w:hAnsi="Symbol" w:hint="default"/>
      </w:rPr>
    </w:lvl>
    <w:lvl w:ilvl="4" w:tplc="1324A126">
      <w:start w:val="1"/>
      <w:numFmt w:val="bullet"/>
      <w:lvlText w:val="o"/>
      <w:lvlJc w:val="left"/>
      <w:pPr>
        <w:ind w:left="3600" w:hanging="360"/>
      </w:pPr>
      <w:rPr>
        <w:rFonts w:ascii="Courier New" w:hAnsi="Courier New" w:hint="default"/>
      </w:rPr>
    </w:lvl>
    <w:lvl w:ilvl="5" w:tplc="BABAF174">
      <w:start w:val="1"/>
      <w:numFmt w:val="bullet"/>
      <w:lvlText w:val=""/>
      <w:lvlJc w:val="left"/>
      <w:pPr>
        <w:ind w:left="4320" w:hanging="360"/>
      </w:pPr>
      <w:rPr>
        <w:rFonts w:ascii="Wingdings" w:hAnsi="Wingdings" w:hint="default"/>
      </w:rPr>
    </w:lvl>
    <w:lvl w:ilvl="6" w:tplc="7D0A7BCA">
      <w:start w:val="1"/>
      <w:numFmt w:val="bullet"/>
      <w:lvlText w:val=""/>
      <w:lvlJc w:val="left"/>
      <w:pPr>
        <w:ind w:left="5040" w:hanging="360"/>
      </w:pPr>
      <w:rPr>
        <w:rFonts w:ascii="Symbol" w:hAnsi="Symbol" w:hint="default"/>
      </w:rPr>
    </w:lvl>
    <w:lvl w:ilvl="7" w:tplc="66AADEC0">
      <w:start w:val="1"/>
      <w:numFmt w:val="bullet"/>
      <w:lvlText w:val="o"/>
      <w:lvlJc w:val="left"/>
      <w:pPr>
        <w:ind w:left="5760" w:hanging="360"/>
      </w:pPr>
      <w:rPr>
        <w:rFonts w:ascii="Courier New" w:hAnsi="Courier New" w:hint="default"/>
      </w:rPr>
    </w:lvl>
    <w:lvl w:ilvl="8" w:tplc="20E42C40">
      <w:start w:val="1"/>
      <w:numFmt w:val="bullet"/>
      <w:lvlText w:val=""/>
      <w:lvlJc w:val="left"/>
      <w:pPr>
        <w:ind w:left="6480" w:hanging="360"/>
      </w:pPr>
      <w:rPr>
        <w:rFonts w:ascii="Wingdings" w:hAnsi="Wingdings" w:hint="default"/>
      </w:rPr>
    </w:lvl>
  </w:abstractNum>
  <w:abstractNum w:abstractNumId="58" w15:restartNumberingAfterBreak="0">
    <w:nsid w:val="72C910FB"/>
    <w:multiLevelType w:val="hybridMultilevel"/>
    <w:tmpl w:val="AEFA5334"/>
    <w:lvl w:ilvl="0" w:tplc="60BEEBAC">
      <w:start w:val="1"/>
      <w:numFmt w:val="bullet"/>
      <w:lvlText w:val=""/>
      <w:lvlJc w:val="left"/>
      <w:pPr>
        <w:ind w:left="720" w:hanging="360"/>
      </w:pPr>
      <w:rPr>
        <w:rFonts w:ascii="Symbol" w:hAnsi="Symbol" w:hint="default"/>
      </w:rPr>
    </w:lvl>
    <w:lvl w:ilvl="1" w:tplc="ED687046">
      <w:start w:val="1"/>
      <w:numFmt w:val="bullet"/>
      <w:lvlText w:val="o"/>
      <w:lvlJc w:val="left"/>
      <w:pPr>
        <w:ind w:left="1440" w:hanging="360"/>
      </w:pPr>
      <w:rPr>
        <w:rFonts w:ascii="Courier New" w:hAnsi="Courier New" w:hint="default"/>
      </w:rPr>
    </w:lvl>
    <w:lvl w:ilvl="2" w:tplc="8BCC80A8">
      <w:start w:val="1"/>
      <w:numFmt w:val="bullet"/>
      <w:lvlText w:val=""/>
      <w:lvlJc w:val="left"/>
      <w:pPr>
        <w:ind w:left="2160" w:hanging="360"/>
      </w:pPr>
      <w:rPr>
        <w:rFonts w:ascii="Wingdings" w:hAnsi="Wingdings" w:hint="default"/>
      </w:rPr>
    </w:lvl>
    <w:lvl w:ilvl="3" w:tplc="46267D8E">
      <w:start w:val="1"/>
      <w:numFmt w:val="bullet"/>
      <w:lvlText w:val=""/>
      <w:lvlJc w:val="left"/>
      <w:pPr>
        <w:ind w:left="2880" w:hanging="360"/>
      </w:pPr>
      <w:rPr>
        <w:rFonts w:ascii="Symbol" w:hAnsi="Symbol" w:hint="default"/>
      </w:rPr>
    </w:lvl>
    <w:lvl w:ilvl="4" w:tplc="300CA530">
      <w:start w:val="1"/>
      <w:numFmt w:val="bullet"/>
      <w:lvlText w:val="o"/>
      <w:lvlJc w:val="left"/>
      <w:pPr>
        <w:ind w:left="3600" w:hanging="360"/>
      </w:pPr>
      <w:rPr>
        <w:rFonts w:ascii="Courier New" w:hAnsi="Courier New" w:hint="default"/>
      </w:rPr>
    </w:lvl>
    <w:lvl w:ilvl="5" w:tplc="D53E6B52">
      <w:start w:val="1"/>
      <w:numFmt w:val="bullet"/>
      <w:lvlText w:val=""/>
      <w:lvlJc w:val="left"/>
      <w:pPr>
        <w:ind w:left="4320" w:hanging="360"/>
      </w:pPr>
      <w:rPr>
        <w:rFonts w:ascii="Wingdings" w:hAnsi="Wingdings" w:hint="default"/>
      </w:rPr>
    </w:lvl>
    <w:lvl w:ilvl="6" w:tplc="B942C506">
      <w:start w:val="1"/>
      <w:numFmt w:val="bullet"/>
      <w:lvlText w:val=""/>
      <w:lvlJc w:val="left"/>
      <w:pPr>
        <w:ind w:left="5040" w:hanging="360"/>
      </w:pPr>
      <w:rPr>
        <w:rFonts w:ascii="Symbol" w:hAnsi="Symbol" w:hint="default"/>
      </w:rPr>
    </w:lvl>
    <w:lvl w:ilvl="7" w:tplc="03566618">
      <w:start w:val="1"/>
      <w:numFmt w:val="bullet"/>
      <w:lvlText w:val="o"/>
      <w:lvlJc w:val="left"/>
      <w:pPr>
        <w:ind w:left="5760" w:hanging="360"/>
      </w:pPr>
      <w:rPr>
        <w:rFonts w:ascii="Courier New" w:hAnsi="Courier New" w:hint="default"/>
      </w:rPr>
    </w:lvl>
    <w:lvl w:ilvl="8" w:tplc="2E8AEAEA">
      <w:start w:val="1"/>
      <w:numFmt w:val="bullet"/>
      <w:lvlText w:val=""/>
      <w:lvlJc w:val="left"/>
      <w:pPr>
        <w:ind w:left="6480" w:hanging="360"/>
      </w:pPr>
      <w:rPr>
        <w:rFonts w:ascii="Wingdings" w:hAnsi="Wingdings" w:hint="default"/>
      </w:rPr>
    </w:lvl>
  </w:abstractNum>
  <w:abstractNum w:abstractNumId="59" w15:restartNumberingAfterBreak="0">
    <w:nsid w:val="75E804E3"/>
    <w:multiLevelType w:val="hybridMultilevel"/>
    <w:tmpl w:val="7076F3C8"/>
    <w:lvl w:ilvl="0" w:tplc="E4B471CC">
      <w:start w:val="1"/>
      <w:numFmt w:val="bullet"/>
      <w:lvlText w:val=""/>
      <w:lvlJc w:val="left"/>
      <w:pPr>
        <w:ind w:left="720" w:hanging="360"/>
      </w:pPr>
      <w:rPr>
        <w:rFonts w:ascii="Symbol" w:hAnsi="Symbol" w:hint="default"/>
      </w:rPr>
    </w:lvl>
    <w:lvl w:ilvl="1" w:tplc="1A06B3A8">
      <w:start w:val="1"/>
      <w:numFmt w:val="bullet"/>
      <w:lvlText w:val="o"/>
      <w:lvlJc w:val="left"/>
      <w:pPr>
        <w:ind w:left="1440" w:hanging="360"/>
      </w:pPr>
      <w:rPr>
        <w:rFonts w:ascii="Courier New" w:hAnsi="Courier New" w:hint="default"/>
      </w:rPr>
    </w:lvl>
    <w:lvl w:ilvl="2" w:tplc="D9C4F588">
      <w:start w:val="1"/>
      <w:numFmt w:val="bullet"/>
      <w:lvlText w:val=""/>
      <w:lvlJc w:val="left"/>
      <w:pPr>
        <w:ind w:left="2160" w:hanging="360"/>
      </w:pPr>
      <w:rPr>
        <w:rFonts w:ascii="Wingdings" w:hAnsi="Wingdings" w:hint="default"/>
      </w:rPr>
    </w:lvl>
    <w:lvl w:ilvl="3" w:tplc="1D849CC8">
      <w:start w:val="1"/>
      <w:numFmt w:val="bullet"/>
      <w:lvlText w:val=""/>
      <w:lvlJc w:val="left"/>
      <w:pPr>
        <w:ind w:left="2880" w:hanging="360"/>
      </w:pPr>
      <w:rPr>
        <w:rFonts w:ascii="Symbol" w:hAnsi="Symbol" w:hint="default"/>
      </w:rPr>
    </w:lvl>
    <w:lvl w:ilvl="4" w:tplc="18722882">
      <w:start w:val="1"/>
      <w:numFmt w:val="bullet"/>
      <w:lvlText w:val="o"/>
      <w:lvlJc w:val="left"/>
      <w:pPr>
        <w:ind w:left="3600" w:hanging="360"/>
      </w:pPr>
      <w:rPr>
        <w:rFonts w:ascii="Courier New" w:hAnsi="Courier New" w:hint="default"/>
      </w:rPr>
    </w:lvl>
    <w:lvl w:ilvl="5" w:tplc="486A7534">
      <w:start w:val="1"/>
      <w:numFmt w:val="bullet"/>
      <w:lvlText w:val=""/>
      <w:lvlJc w:val="left"/>
      <w:pPr>
        <w:ind w:left="4320" w:hanging="360"/>
      </w:pPr>
      <w:rPr>
        <w:rFonts w:ascii="Wingdings" w:hAnsi="Wingdings" w:hint="default"/>
      </w:rPr>
    </w:lvl>
    <w:lvl w:ilvl="6" w:tplc="DACE90EC">
      <w:start w:val="1"/>
      <w:numFmt w:val="bullet"/>
      <w:lvlText w:val=""/>
      <w:lvlJc w:val="left"/>
      <w:pPr>
        <w:ind w:left="5040" w:hanging="360"/>
      </w:pPr>
      <w:rPr>
        <w:rFonts w:ascii="Symbol" w:hAnsi="Symbol" w:hint="default"/>
      </w:rPr>
    </w:lvl>
    <w:lvl w:ilvl="7" w:tplc="40904BBE">
      <w:start w:val="1"/>
      <w:numFmt w:val="bullet"/>
      <w:lvlText w:val="o"/>
      <w:lvlJc w:val="left"/>
      <w:pPr>
        <w:ind w:left="5760" w:hanging="360"/>
      </w:pPr>
      <w:rPr>
        <w:rFonts w:ascii="Courier New" w:hAnsi="Courier New" w:hint="default"/>
      </w:rPr>
    </w:lvl>
    <w:lvl w:ilvl="8" w:tplc="0582CA5C">
      <w:start w:val="1"/>
      <w:numFmt w:val="bullet"/>
      <w:lvlText w:val=""/>
      <w:lvlJc w:val="left"/>
      <w:pPr>
        <w:ind w:left="6480" w:hanging="360"/>
      </w:pPr>
      <w:rPr>
        <w:rFonts w:ascii="Wingdings" w:hAnsi="Wingdings" w:hint="default"/>
      </w:rPr>
    </w:lvl>
  </w:abstractNum>
  <w:abstractNum w:abstractNumId="60" w15:restartNumberingAfterBreak="0">
    <w:nsid w:val="77143DA3"/>
    <w:multiLevelType w:val="hybridMultilevel"/>
    <w:tmpl w:val="9EF4A1B4"/>
    <w:lvl w:ilvl="0" w:tplc="03B0C22A">
      <w:start w:val="1"/>
      <w:numFmt w:val="bullet"/>
      <w:lvlText w:val=""/>
      <w:lvlJc w:val="left"/>
      <w:pPr>
        <w:ind w:left="720" w:hanging="360"/>
      </w:pPr>
      <w:rPr>
        <w:rFonts w:ascii="Symbol" w:hAnsi="Symbol" w:hint="default"/>
      </w:rPr>
    </w:lvl>
    <w:lvl w:ilvl="1" w:tplc="68F88C5E">
      <w:start w:val="1"/>
      <w:numFmt w:val="bullet"/>
      <w:lvlText w:val="o"/>
      <w:lvlJc w:val="left"/>
      <w:pPr>
        <w:ind w:left="1440" w:hanging="360"/>
      </w:pPr>
      <w:rPr>
        <w:rFonts w:ascii="Courier New" w:hAnsi="Courier New" w:hint="default"/>
      </w:rPr>
    </w:lvl>
    <w:lvl w:ilvl="2" w:tplc="570CC1C2">
      <w:start w:val="1"/>
      <w:numFmt w:val="bullet"/>
      <w:lvlText w:val=""/>
      <w:lvlJc w:val="left"/>
      <w:pPr>
        <w:ind w:left="2160" w:hanging="360"/>
      </w:pPr>
      <w:rPr>
        <w:rFonts w:ascii="Wingdings" w:hAnsi="Wingdings" w:hint="default"/>
      </w:rPr>
    </w:lvl>
    <w:lvl w:ilvl="3" w:tplc="A594CD9A">
      <w:start w:val="1"/>
      <w:numFmt w:val="bullet"/>
      <w:lvlText w:val=""/>
      <w:lvlJc w:val="left"/>
      <w:pPr>
        <w:ind w:left="2880" w:hanging="360"/>
      </w:pPr>
      <w:rPr>
        <w:rFonts w:ascii="Symbol" w:hAnsi="Symbol" w:hint="default"/>
      </w:rPr>
    </w:lvl>
    <w:lvl w:ilvl="4" w:tplc="13143B80">
      <w:start w:val="1"/>
      <w:numFmt w:val="bullet"/>
      <w:lvlText w:val="o"/>
      <w:lvlJc w:val="left"/>
      <w:pPr>
        <w:ind w:left="3600" w:hanging="360"/>
      </w:pPr>
      <w:rPr>
        <w:rFonts w:ascii="Courier New" w:hAnsi="Courier New" w:hint="default"/>
      </w:rPr>
    </w:lvl>
    <w:lvl w:ilvl="5" w:tplc="256AB444">
      <w:start w:val="1"/>
      <w:numFmt w:val="bullet"/>
      <w:lvlText w:val=""/>
      <w:lvlJc w:val="left"/>
      <w:pPr>
        <w:ind w:left="4320" w:hanging="360"/>
      </w:pPr>
      <w:rPr>
        <w:rFonts w:ascii="Wingdings" w:hAnsi="Wingdings" w:hint="default"/>
      </w:rPr>
    </w:lvl>
    <w:lvl w:ilvl="6" w:tplc="19D8D1DE">
      <w:start w:val="1"/>
      <w:numFmt w:val="bullet"/>
      <w:lvlText w:val=""/>
      <w:lvlJc w:val="left"/>
      <w:pPr>
        <w:ind w:left="5040" w:hanging="360"/>
      </w:pPr>
      <w:rPr>
        <w:rFonts w:ascii="Symbol" w:hAnsi="Symbol" w:hint="default"/>
      </w:rPr>
    </w:lvl>
    <w:lvl w:ilvl="7" w:tplc="DF8CAF66">
      <w:start w:val="1"/>
      <w:numFmt w:val="bullet"/>
      <w:lvlText w:val="o"/>
      <w:lvlJc w:val="left"/>
      <w:pPr>
        <w:ind w:left="5760" w:hanging="360"/>
      </w:pPr>
      <w:rPr>
        <w:rFonts w:ascii="Courier New" w:hAnsi="Courier New" w:hint="default"/>
      </w:rPr>
    </w:lvl>
    <w:lvl w:ilvl="8" w:tplc="5908DE08">
      <w:start w:val="1"/>
      <w:numFmt w:val="bullet"/>
      <w:lvlText w:val=""/>
      <w:lvlJc w:val="left"/>
      <w:pPr>
        <w:ind w:left="6480" w:hanging="360"/>
      </w:pPr>
      <w:rPr>
        <w:rFonts w:ascii="Wingdings" w:hAnsi="Wingdings" w:hint="default"/>
      </w:rPr>
    </w:lvl>
  </w:abstractNum>
  <w:abstractNum w:abstractNumId="61" w15:restartNumberingAfterBreak="0">
    <w:nsid w:val="79381EF1"/>
    <w:multiLevelType w:val="hybridMultilevel"/>
    <w:tmpl w:val="6C5A3796"/>
    <w:lvl w:ilvl="0" w:tplc="D0DE6E8C">
      <w:start w:val="1"/>
      <w:numFmt w:val="bullet"/>
      <w:lvlText w:val=""/>
      <w:lvlJc w:val="left"/>
      <w:pPr>
        <w:ind w:left="720" w:hanging="360"/>
      </w:pPr>
      <w:rPr>
        <w:rFonts w:ascii="Symbol" w:hAnsi="Symbol" w:hint="default"/>
      </w:rPr>
    </w:lvl>
    <w:lvl w:ilvl="1" w:tplc="91EA2B2A">
      <w:start w:val="1"/>
      <w:numFmt w:val="bullet"/>
      <w:lvlText w:val="o"/>
      <w:lvlJc w:val="left"/>
      <w:pPr>
        <w:ind w:left="1440" w:hanging="360"/>
      </w:pPr>
      <w:rPr>
        <w:rFonts w:ascii="Courier New" w:hAnsi="Courier New" w:hint="default"/>
      </w:rPr>
    </w:lvl>
    <w:lvl w:ilvl="2" w:tplc="6CF449C4">
      <w:start w:val="1"/>
      <w:numFmt w:val="bullet"/>
      <w:lvlText w:val=""/>
      <w:lvlJc w:val="left"/>
      <w:pPr>
        <w:ind w:left="2160" w:hanging="360"/>
      </w:pPr>
      <w:rPr>
        <w:rFonts w:ascii="Wingdings" w:hAnsi="Wingdings" w:hint="default"/>
      </w:rPr>
    </w:lvl>
    <w:lvl w:ilvl="3" w:tplc="48E00F74">
      <w:start w:val="1"/>
      <w:numFmt w:val="bullet"/>
      <w:lvlText w:val=""/>
      <w:lvlJc w:val="left"/>
      <w:pPr>
        <w:ind w:left="2880" w:hanging="360"/>
      </w:pPr>
      <w:rPr>
        <w:rFonts w:ascii="Symbol" w:hAnsi="Symbol" w:hint="default"/>
      </w:rPr>
    </w:lvl>
    <w:lvl w:ilvl="4" w:tplc="1D4E88F4">
      <w:start w:val="1"/>
      <w:numFmt w:val="bullet"/>
      <w:lvlText w:val="o"/>
      <w:lvlJc w:val="left"/>
      <w:pPr>
        <w:ind w:left="3600" w:hanging="360"/>
      </w:pPr>
      <w:rPr>
        <w:rFonts w:ascii="Courier New" w:hAnsi="Courier New" w:hint="default"/>
      </w:rPr>
    </w:lvl>
    <w:lvl w:ilvl="5" w:tplc="91862ACC">
      <w:start w:val="1"/>
      <w:numFmt w:val="bullet"/>
      <w:lvlText w:val=""/>
      <w:lvlJc w:val="left"/>
      <w:pPr>
        <w:ind w:left="4320" w:hanging="360"/>
      </w:pPr>
      <w:rPr>
        <w:rFonts w:ascii="Wingdings" w:hAnsi="Wingdings" w:hint="default"/>
      </w:rPr>
    </w:lvl>
    <w:lvl w:ilvl="6" w:tplc="2F1007DC">
      <w:start w:val="1"/>
      <w:numFmt w:val="bullet"/>
      <w:lvlText w:val=""/>
      <w:lvlJc w:val="left"/>
      <w:pPr>
        <w:ind w:left="5040" w:hanging="360"/>
      </w:pPr>
      <w:rPr>
        <w:rFonts w:ascii="Symbol" w:hAnsi="Symbol" w:hint="default"/>
      </w:rPr>
    </w:lvl>
    <w:lvl w:ilvl="7" w:tplc="D3422FA0">
      <w:start w:val="1"/>
      <w:numFmt w:val="bullet"/>
      <w:lvlText w:val="o"/>
      <w:lvlJc w:val="left"/>
      <w:pPr>
        <w:ind w:left="5760" w:hanging="360"/>
      </w:pPr>
      <w:rPr>
        <w:rFonts w:ascii="Courier New" w:hAnsi="Courier New" w:hint="default"/>
      </w:rPr>
    </w:lvl>
    <w:lvl w:ilvl="8" w:tplc="55286268">
      <w:start w:val="1"/>
      <w:numFmt w:val="bullet"/>
      <w:lvlText w:val=""/>
      <w:lvlJc w:val="left"/>
      <w:pPr>
        <w:ind w:left="6480" w:hanging="360"/>
      </w:pPr>
      <w:rPr>
        <w:rFonts w:ascii="Wingdings" w:hAnsi="Wingdings" w:hint="default"/>
      </w:rPr>
    </w:lvl>
  </w:abstractNum>
  <w:abstractNum w:abstractNumId="62" w15:restartNumberingAfterBreak="0">
    <w:nsid w:val="7B4DC98D"/>
    <w:multiLevelType w:val="hybridMultilevel"/>
    <w:tmpl w:val="B6E868D4"/>
    <w:lvl w:ilvl="0" w:tplc="FF725C5E">
      <w:start w:val="1"/>
      <w:numFmt w:val="bullet"/>
      <w:lvlText w:val="o"/>
      <w:lvlJc w:val="left"/>
      <w:pPr>
        <w:ind w:left="1080" w:hanging="360"/>
      </w:pPr>
      <w:rPr>
        <w:rFonts w:ascii="Courier New" w:hAnsi="Courier New" w:hint="default"/>
      </w:rPr>
    </w:lvl>
    <w:lvl w:ilvl="1" w:tplc="D576A4C6">
      <w:start w:val="1"/>
      <w:numFmt w:val="bullet"/>
      <w:lvlText w:val="o"/>
      <w:lvlJc w:val="left"/>
      <w:pPr>
        <w:ind w:left="1800" w:hanging="360"/>
      </w:pPr>
      <w:rPr>
        <w:rFonts w:ascii="Courier New" w:hAnsi="Courier New" w:hint="default"/>
      </w:rPr>
    </w:lvl>
    <w:lvl w:ilvl="2" w:tplc="C17C61EA">
      <w:start w:val="1"/>
      <w:numFmt w:val="bullet"/>
      <w:lvlText w:val=""/>
      <w:lvlJc w:val="left"/>
      <w:pPr>
        <w:ind w:left="2520" w:hanging="360"/>
      </w:pPr>
      <w:rPr>
        <w:rFonts w:ascii="Wingdings" w:hAnsi="Wingdings" w:hint="default"/>
      </w:rPr>
    </w:lvl>
    <w:lvl w:ilvl="3" w:tplc="CDD2718C">
      <w:start w:val="1"/>
      <w:numFmt w:val="bullet"/>
      <w:lvlText w:val=""/>
      <w:lvlJc w:val="left"/>
      <w:pPr>
        <w:ind w:left="3240" w:hanging="360"/>
      </w:pPr>
      <w:rPr>
        <w:rFonts w:ascii="Symbol" w:hAnsi="Symbol" w:hint="default"/>
      </w:rPr>
    </w:lvl>
    <w:lvl w:ilvl="4" w:tplc="72083FDC">
      <w:start w:val="1"/>
      <w:numFmt w:val="bullet"/>
      <w:lvlText w:val="o"/>
      <w:lvlJc w:val="left"/>
      <w:pPr>
        <w:ind w:left="3960" w:hanging="360"/>
      </w:pPr>
      <w:rPr>
        <w:rFonts w:ascii="Courier New" w:hAnsi="Courier New" w:hint="default"/>
      </w:rPr>
    </w:lvl>
    <w:lvl w:ilvl="5" w:tplc="434C4258">
      <w:start w:val="1"/>
      <w:numFmt w:val="bullet"/>
      <w:lvlText w:val=""/>
      <w:lvlJc w:val="left"/>
      <w:pPr>
        <w:ind w:left="4680" w:hanging="360"/>
      </w:pPr>
      <w:rPr>
        <w:rFonts w:ascii="Wingdings" w:hAnsi="Wingdings" w:hint="default"/>
      </w:rPr>
    </w:lvl>
    <w:lvl w:ilvl="6" w:tplc="AC84F442">
      <w:start w:val="1"/>
      <w:numFmt w:val="bullet"/>
      <w:lvlText w:val=""/>
      <w:lvlJc w:val="left"/>
      <w:pPr>
        <w:ind w:left="5400" w:hanging="360"/>
      </w:pPr>
      <w:rPr>
        <w:rFonts w:ascii="Symbol" w:hAnsi="Symbol" w:hint="default"/>
      </w:rPr>
    </w:lvl>
    <w:lvl w:ilvl="7" w:tplc="444C9692">
      <w:start w:val="1"/>
      <w:numFmt w:val="bullet"/>
      <w:lvlText w:val="o"/>
      <w:lvlJc w:val="left"/>
      <w:pPr>
        <w:ind w:left="6120" w:hanging="360"/>
      </w:pPr>
      <w:rPr>
        <w:rFonts w:ascii="Courier New" w:hAnsi="Courier New" w:hint="default"/>
      </w:rPr>
    </w:lvl>
    <w:lvl w:ilvl="8" w:tplc="D83AD00A">
      <w:start w:val="1"/>
      <w:numFmt w:val="bullet"/>
      <w:lvlText w:val=""/>
      <w:lvlJc w:val="left"/>
      <w:pPr>
        <w:ind w:left="6840" w:hanging="360"/>
      </w:pPr>
      <w:rPr>
        <w:rFonts w:ascii="Wingdings" w:hAnsi="Wingdings" w:hint="default"/>
      </w:rPr>
    </w:lvl>
  </w:abstractNum>
  <w:abstractNum w:abstractNumId="63" w15:restartNumberingAfterBreak="0">
    <w:nsid w:val="7F628DC4"/>
    <w:multiLevelType w:val="hybridMultilevel"/>
    <w:tmpl w:val="036201E8"/>
    <w:lvl w:ilvl="0" w:tplc="747404D0">
      <w:start w:val="1"/>
      <w:numFmt w:val="bullet"/>
      <w:lvlText w:val=""/>
      <w:lvlJc w:val="left"/>
      <w:pPr>
        <w:ind w:left="720" w:hanging="360"/>
      </w:pPr>
      <w:rPr>
        <w:rFonts w:ascii="Symbol" w:hAnsi="Symbol" w:hint="default"/>
      </w:rPr>
    </w:lvl>
    <w:lvl w:ilvl="1" w:tplc="107A5B72">
      <w:start w:val="1"/>
      <w:numFmt w:val="bullet"/>
      <w:lvlText w:val="o"/>
      <w:lvlJc w:val="left"/>
      <w:pPr>
        <w:ind w:left="1440" w:hanging="360"/>
      </w:pPr>
      <w:rPr>
        <w:rFonts w:ascii="Courier New" w:hAnsi="Courier New" w:hint="default"/>
      </w:rPr>
    </w:lvl>
    <w:lvl w:ilvl="2" w:tplc="9FB8D1E2">
      <w:start w:val="1"/>
      <w:numFmt w:val="bullet"/>
      <w:lvlText w:val=""/>
      <w:lvlJc w:val="left"/>
      <w:pPr>
        <w:ind w:left="2160" w:hanging="360"/>
      </w:pPr>
      <w:rPr>
        <w:rFonts w:ascii="Wingdings" w:hAnsi="Wingdings" w:hint="default"/>
      </w:rPr>
    </w:lvl>
    <w:lvl w:ilvl="3" w:tplc="52CE03BE">
      <w:start w:val="1"/>
      <w:numFmt w:val="bullet"/>
      <w:lvlText w:val=""/>
      <w:lvlJc w:val="left"/>
      <w:pPr>
        <w:ind w:left="2880" w:hanging="360"/>
      </w:pPr>
      <w:rPr>
        <w:rFonts w:ascii="Symbol" w:hAnsi="Symbol" w:hint="default"/>
      </w:rPr>
    </w:lvl>
    <w:lvl w:ilvl="4" w:tplc="E3F2663C">
      <w:start w:val="1"/>
      <w:numFmt w:val="bullet"/>
      <w:lvlText w:val="o"/>
      <w:lvlJc w:val="left"/>
      <w:pPr>
        <w:ind w:left="3600" w:hanging="360"/>
      </w:pPr>
      <w:rPr>
        <w:rFonts w:ascii="Courier New" w:hAnsi="Courier New" w:hint="default"/>
      </w:rPr>
    </w:lvl>
    <w:lvl w:ilvl="5" w:tplc="A00202DE">
      <w:start w:val="1"/>
      <w:numFmt w:val="bullet"/>
      <w:lvlText w:val=""/>
      <w:lvlJc w:val="left"/>
      <w:pPr>
        <w:ind w:left="4320" w:hanging="360"/>
      </w:pPr>
      <w:rPr>
        <w:rFonts w:ascii="Wingdings" w:hAnsi="Wingdings" w:hint="default"/>
      </w:rPr>
    </w:lvl>
    <w:lvl w:ilvl="6" w:tplc="76F04B9C">
      <w:start w:val="1"/>
      <w:numFmt w:val="bullet"/>
      <w:lvlText w:val=""/>
      <w:lvlJc w:val="left"/>
      <w:pPr>
        <w:ind w:left="5040" w:hanging="360"/>
      </w:pPr>
      <w:rPr>
        <w:rFonts w:ascii="Symbol" w:hAnsi="Symbol" w:hint="default"/>
      </w:rPr>
    </w:lvl>
    <w:lvl w:ilvl="7" w:tplc="25105062">
      <w:start w:val="1"/>
      <w:numFmt w:val="bullet"/>
      <w:lvlText w:val="o"/>
      <w:lvlJc w:val="left"/>
      <w:pPr>
        <w:ind w:left="5760" w:hanging="360"/>
      </w:pPr>
      <w:rPr>
        <w:rFonts w:ascii="Courier New" w:hAnsi="Courier New" w:hint="default"/>
      </w:rPr>
    </w:lvl>
    <w:lvl w:ilvl="8" w:tplc="4998E484">
      <w:start w:val="1"/>
      <w:numFmt w:val="bullet"/>
      <w:lvlText w:val=""/>
      <w:lvlJc w:val="left"/>
      <w:pPr>
        <w:ind w:left="6480" w:hanging="360"/>
      </w:pPr>
      <w:rPr>
        <w:rFonts w:ascii="Wingdings" w:hAnsi="Wingdings" w:hint="default"/>
      </w:rPr>
    </w:lvl>
  </w:abstractNum>
  <w:num w:numId="1" w16cid:durableId="1983151909">
    <w:abstractNumId w:val="61"/>
  </w:num>
  <w:num w:numId="2" w16cid:durableId="544754178">
    <w:abstractNumId w:val="5"/>
  </w:num>
  <w:num w:numId="3" w16cid:durableId="1685981597">
    <w:abstractNumId w:val="4"/>
  </w:num>
  <w:num w:numId="4" w16cid:durableId="844785200">
    <w:abstractNumId w:val="48"/>
  </w:num>
  <w:num w:numId="5" w16cid:durableId="242221788">
    <w:abstractNumId w:val="42"/>
  </w:num>
  <w:num w:numId="6" w16cid:durableId="1802532084">
    <w:abstractNumId w:val="19"/>
  </w:num>
  <w:num w:numId="7" w16cid:durableId="1764838450">
    <w:abstractNumId w:val="53"/>
  </w:num>
  <w:num w:numId="8" w16cid:durableId="447628872">
    <w:abstractNumId w:val="28"/>
  </w:num>
  <w:num w:numId="9" w16cid:durableId="348413086">
    <w:abstractNumId w:val="63"/>
  </w:num>
  <w:num w:numId="10" w16cid:durableId="439884935">
    <w:abstractNumId w:val="2"/>
  </w:num>
  <w:num w:numId="11" w16cid:durableId="1301107542">
    <w:abstractNumId w:val="44"/>
  </w:num>
  <w:num w:numId="12" w16cid:durableId="1426879124">
    <w:abstractNumId w:val="55"/>
  </w:num>
  <w:num w:numId="13" w16cid:durableId="1217937316">
    <w:abstractNumId w:val="60"/>
  </w:num>
  <w:num w:numId="14" w16cid:durableId="674646690">
    <w:abstractNumId w:val="36"/>
  </w:num>
  <w:num w:numId="15" w16cid:durableId="790435674">
    <w:abstractNumId w:val="7"/>
  </w:num>
  <w:num w:numId="16" w16cid:durableId="72044301">
    <w:abstractNumId w:val="18"/>
  </w:num>
  <w:num w:numId="17" w16cid:durableId="1561867047">
    <w:abstractNumId w:val="15"/>
  </w:num>
  <w:num w:numId="18" w16cid:durableId="909269705">
    <w:abstractNumId w:val="17"/>
  </w:num>
  <w:num w:numId="19" w16cid:durableId="54742899">
    <w:abstractNumId w:val="6"/>
  </w:num>
  <w:num w:numId="20" w16cid:durableId="2113352056">
    <w:abstractNumId w:val="57"/>
  </w:num>
  <w:num w:numId="21" w16cid:durableId="459998149">
    <w:abstractNumId w:val="23"/>
  </w:num>
  <w:num w:numId="22" w16cid:durableId="1681002500">
    <w:abstractNumId w:val="38"/>
  </w:num>
  <w:num w:numId="23" w16cid:durableId="1612276595">
    <w:abstractNumId w:val="32"/>
  </w:num>
  <w:num w:numId="24" w16cid:durableId="677774563">
    <w:abstractNumId w:val="50"/>
  </w:num>
  <w:num w:numId="25" w16cid:durableId="1351836905">
    <w:abstractNumId w:val="27"/>
  </w:num>
  <w:num w:numId="26" w16cid:durableId="1526866412">
    <w:abstractNumId w:val="21"/>
  </w:num>
  <w:num w:numId="27" w16cid:durableId="794983265">
    <w:abstractNumId w:val="30"/>
  </w:num>
  <w:num w:numId="28" w16cid:durableId="797332302">
    <w:abstractNumId w:val="49"/>
  </w:num>
  <w:num w:numId="29" w16cid:durableId="1713772760">
    <w:abstractNumId w:val="14"/>
  </w:num>
  <w:num w:numId="30" w16cid:durableId="344357812">
    <w:abstractNumId w:val="12"/>
  </w:num>
  <w:num w:numId="31" w16cid:durableId="1926719173">
    <w:abstractNumId w:val="31"/>
  </w:num>
  <w:num w:numId="32" w16cid:durableId="2084177601">
    <w:abstractNumId w:val="25"/>
  </w:num>
  <w:num w:numId="33" w16cid:durableId="1859270877">
    <w:abstractNumId w:val="62"/>
  </w:num>
  <w:num w:numId="34" w16cid:durableId="1310398778">
    <w:abstractNumId w:val="0"/>
  </w:num>
  <w:num w:numId="35" w16cid:durableId="796336545">
    <w:abstractNumId w:val="16"/>
  </w:num>
  <w:num w:numId="36" w16cid:durableId="496962256">
    <w:abstractNumId w:val="47"/>
  </w:num>
  <w:num w:numId="37" w16cid:durableId="395515446">
    <w:abstractNumId w:val="43"/>
  </w:num>
  <w:num w:numId="38" w16cid:durableId="1936983363">
    <w:abstractNumId w:val="26"/>
  </w:num>
  <w:num w:numId="39" w16cid:durableId="313724319">
    <w:abstractNumId w:val="11"/>
  </w:num>
  <w:num w:numId="40" w16cid:durableId="1611350529">
    <w:abstractNumId w:val="46"/>
  </w:num>
  <w:num w:numId="41" w16cid:durableId="627200903">
    <w:abstractNumId w:val="10"/>
  </w:num>
  <w:num w:numId="42" w16cid:durableId="663706732">
    <w:abstractNumId w:val="29"/>
  </w:num>
  <w:num w:numId="43" w16cid:durableId="327486650">
    <w:abstractNumId w:val="35"/>
  </w:num>
  <w:num w:numId="44" w16cid:durableId="1408771637">
    <w:abstractNumId w:val="58"/>
  </w:num>
  <w:num w:numId="45" w16cid:durableId="1793548961">
    <w:abstractNumId w:val="59"/>
  </w:num>
  <w:num w:numId="46" w16cid:durableId="885147298">
    <w:abstractNumId w:val="51"/>
  </w:num>
  <w:num w:numId="47" w16cid:durableId="61490720">
    <w:abstractNumId w:val="20"/>
  </w:num>
  <w:num w:numId="48" w16cid:durableId="865172751">
    <w:abstractNumId w:val="40"/>
  </w:num>
  <w:num w:numId="49" w16cid:durableId="1606958752">
    <w:abstractNumId w:val="22"/>
  </w:num>
  <w:num w:numId="50" w16cid:durableId="1712487620">
    <w:abstractNumId w:val="56"/>
  </w:num>
  <w:num w:numId="51" w16cid:durableId="1249074536">
    <w:abstractNumId w:val="37"/>
  </w:num>
  <w:num w:numId="52" w16cid:durableId="74472578">
    <w:abstractNumId w:val="8"/>
  </w:num>
  <w:num w:numId="53" w16cid:durableId="1025711995">
    <w:abstractNumId w:val="41"/>
  </w:num>
  <w:num w:numId="54" w16cid:durableId="3285180">
    <w:abstractNumId w:val="3"/>
  </w:num>
  <w:num w:numId="55" w16cid:durableId="1729499466">
    <w:abstractNumId w:val="34"/>
  </w:num>
  <w:num w:numId="56" w16cid:durableId="1841118984">
    <w:abstractNumId w:val="13"/>
  </w:num>
  <w:num w:numId="57" w16cid:durableId="948659003">
    <w:abstractNumId w:val="52"/>
  </w:num>
  <w:num w:numId="58" w16cid:durableId="1575310096">
    <w:abstractNumId w:val="39"/>
  </w:num>
  <w:num w:numId="59" w16cid:durableId="15011858">
    <w:abstractNumId w:val="24"/>
  </w:num>
  <w:num w:numId="60" w16cid:durableId="888226043">
    <w:abstractNumId w:val="45"/>
  </w:num>
  <w:num w:numId="61" w16cid:durableId="693727427">
    <w:abstractNumId w:val="33"/>
  </w:num>
  <w:num w:numId="62" w16cid:durableId="871190323">
    <w:abstractNumId w:val="54"/>
  </w:num>
  <w:num w:numId="63" w16cid:durableId="862479020">
    <w:abstractNumId w:val="9"/>
  </w:num>
  <w:num w:numId="64" w16cid:durableId="36926029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2"/>
  <w:hideSpellingErrors/>
  <w:hideGrammaticalError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F7009"/>
    <w:rsid w:val="00043D6B"/>
    <w:rsid w:val="000859A9"/>
    <w:rsid w:val="0009655C"/>
    <w:rsid w:val="00108FF4"/>
    <w:rsid w:val="00146095"/>
    <w:rsid w:val="0016090D"/>
    <w:rsid w:val="00187093"/>
    <w:rsid w:val="00194665"/>
    <w:rsid w:val="001E1FC3"/>
    <w:rsid w:val="001FC547"/>
    <w:rsid w:val="00215911"/>
    <w:rsid w:val="00246015"/>
    <w:rsid w:val="0026FF21"/>
    <w:rsid w:val="002B3407"/>
    <w:rsid w:val="00349615"/>
    <w:rsid w:val="00357AFE"/>
    <w:rsid w:val="0037324A"/>
    <w:rsid w:val="0037B9B4"/>
    <w:rsid w:val="0038118E"/>
    <w:rsid w:val="003CE938"/>
    <w:rsid w:val="003F1620"/>
    <w:rsid w:val="0040E6F2"/>
    <w:rsid w:val="00441327"/>
    <w:rsid w:val="004ED295"/>
    <w:rsid w:val="00671249"/>
    <w:rsid w:val="006949ED"/>
    <w:rsid w:val="0078A55A"/>
    <w:rsid w:val="007F7009"/>
    <w:rsid w:val="00888BBE"/>
    <w:rsid w:val="0089483A"/>
    <w:rsid w:val="0089936D"/>
    <w:rsid w:val="008B741D"/>
    <w:rsid w:val="008BA192"/>
    <w:rsid w:val="008EE05D"/>
    <w:rsid w:val="00926A52"/>
    <w:rsid w:val="00956CA5"/>
    <w:rsid w:val="00962554"/>
    <w:rsid w:val="009E2122"/>
    <w:rsid w:val="009FA277"/>
    <w:rsid w:val="00A16F48"/>
    <w:rsid w:val="00A54882"/>
    <w:rsid w:val="00A95EE1"/>
    <w:rsid w:val="00AA140C"/>
    <w:rsid w:val="00AAE6F9"/>
    <w:rsid w:val="00AC2FC0"/>
    <w:rsid w:val="00AD566B"/>
    <w:rsid w:val="00B0DA01"/>
    <w:rsid w:val="00B2C694"/>
    <w:rsid w:val="00B37AFD"/>
    <w:rsid w:val="00B57B37"/>
    <w:rsid w:val="00B629A1"/>
    <w:rsid w:val="00BA5EFA"/>
    <w:rsid w:val="00BA7BFD"/>
    <w:rsid w:val="00BEA515"/>
    <w:rsid w:val="00C9B944"/>
    <w:rsid w:val="00D386EE"/>
    <w:rsid w:val="00D41B4A"/>
    <w:rsid w:val="00D4AEA3"/>
    <w:rsid w:val="00D7C5FA"/>
    <w:rsid w:val="00DA5547"/>
    <w:rsid w:val="00DB1DBA"/>
    <w:rsid w:val="00DC3505"/>
    <w:rsid w:val="00E0019E"/>
    <w:rsid w:val="00E3B2EF"/>
    <w:rsid w:val="00E5154F"/>
    <w:rsid w:val="00E6A128"/>
    <w:rsid w:val="00E9F2FC"/>
    <w:rsid w:val="00EDEEA6"/>
    <w:rsid w:val="00EFB7FE"/>
    <w:rsid w:val="00F06419"/>
    <w:rsid w:val="00F21047"/>
    <w:rsid w:val="00F9224D"/>
    <w:rsid w:val="010083F0"/>
    <w:rsid w:val="010B511B"/>
    <w:rsid w:val="010C86CD"/>
    <w:rsid w:val="010CFE8F"/>
    <w:rsid w:val="01138EC5"/>
    <w:rsid w:val="01169C56"/>
    <w:rsid w:val="011CB43E"/>
    <w:rsid w:val="011EF61D"/>
    <w:rsid w:val="011F820D"/>
    <w:rsid w:val="012776DE"/>
    <w:rsid w:val="013599CC"/>
    <w:rsid w:val="0144450E"/>
    <w:rsid w:val="015BAF67"/>
    <w:rsid w:val="01691101"/>
    <w:rsid w:val="016FF7E5"/>
    <w:rsid w:val="0176981A"/>
    <w:rsid w:val="0177F6F2"/>
    <w:rsid w:val="0178D50E"/>
    <w:rsid w:val="017AC905"/>
    <w:rsid w:val="0183EF89"/>
    <w:rsid w:val="0186B117"/>
    <w:rsid w:val="018D0F00"/>
    <w:rsid w:val="019767F1"/>
    <w:rsid w:val="01ABD982"/>
    <w:rsid w:val="01AD6B6D"/>
    <w:rsid w:val="01BC3C4D"/>
    <w:rsid w:val="01C25B33"/>
    <w:rsid w:val="01C26BC6"/>
    <w:rsid w:val="01C47F55"/>
    <w:rsid w:val="01C8C461"/>
    <w:rsid w:val="01CD2790"/>
    <w:rsid w:val="01CDE5B3"/>
    <w:rsid w:val="01D0B7D9"/>
    <w:rsid w:val="01D41C45"/>
    <w:rsid w:val="01D769A1"/>
    <w:rsid w:val="01DF45A3"/>
    <w:rsid w:val="01E0F307"/>
    <w:rsid w:val="01EB3F01"/>
    <w:rsid w:val="01EF5654"/>
    <w:rsid w:val="01FDF741"/>
    <w:rsid w:val="0203D7BA"/>
    <w:rsid w:val="0203E8F4"/>
    <w:rsid w:val="02046670"/>
    <w:rsid w:val="020746A2"/>
    <w:rsid w:val="02114564"/>
    <w:rsid w:val="0211BB94"/>
    <w:rsid w:val="0211D899"/>
    <w:rsid w:val="02155D4A"/>
    <w:rsid w:val="0215C294"/>
    <w:rsid w:val="02161949"/>
    <w:rsid w:val="0217B674"/>
    <w:rsid w:val="0219A9B0"/>
    <w:rsid w:val="021EABF5"/>
    <w:rsid w:val="0228D2AD"/>
    <w:rsid w:val="022F46F9"/>
    <w:rsid w:val="0239C437"/>
    <w:rsid w:val="023F1B15"/>
    <w:rsid w:val="024165A1"/>
    <w:rsid w:val="0242354E"/>
    <w:rsid w:val="02508276"/>
    <w:rsid w:val="0256DC2E"/>
    <w:rsid w:val="02647C0F"/>
    <w:rsid w:val="02660849"/>
    <w:rsid w:val="02871834"/>
    <w:rsid w:val="0287DCD9"/>
    <w:rsid w:val="0293F4EF"/>
    <w:rsid w:val="0294F6EB"/>
    <w:rsid w:val="02A5C0B4"/>
    <w:rsid w:val="02B033F1"/>
    <w:rsid w:val="02B594F8"/>
    <w:rsid w:val="02B8BA81"/>
    <w:rsid w:val="02BC8FCA"/>
    <w:rsid w:val="02C146F5"/>
    <w:rsid w:val="02C7F5D6"/>
    <w:rsid w:val="02CDE782"/>
    <w:rsid w:val="02D328C1"/>
    <w:rsid w:val="02D44A8E"/>
    <w:rsid w:val="02DE7CFC"/>
    <w:rsid w:val="02EED1CC"/>
    <w:rsid w:val="02EF747A"/>
    <w:rsid w:val="02FFDCE1"/>
    <w:rsid w:val="0306D661"/>
    <w:rsid w:val="03096281"/>
    <w:rsid w:val="0313D7B6"/>
    <w:rsid w:val="03194A62"/>
    <w:rsid w:val="031BBAAB"/>
    <w:rsid w:val="032412A7"/>
    <w:rsid w:val="032E46F6"/>
    <w:rsid w:val="032F5629"/>
    <w:rsid w:val="033A1E45"/>
    <w:rsid w:val="03428131"/>
    <w:rsid w:val="034DEBF2"/>
    <w:rsid w:val="03500A48"/>
    <w:rsid w:val="035416F7"/>
    <w:rsid w:val="035BAE9D"/>
    <w:rsid w:val="035BD239"/>
    <w:rsid w:val="035C373C"/>
    <w:rsid w:val="036E6E8C"/>
    <w:rsid w:val="03746F50"/>
    <w:rsid w:val="037CA361"/>
    <w:rsid w:val="03817899"/>
    <w:rsid w:val="0385FCA2"/>
    <w:rsid w:val="03869E2C"/>
    <w:rsid w:val="038F6AFC"/>
    <w:rsid w:val="038FA95B"/>
    <w:rsid w:val="0399DFC0"/>
    <w:rsid w:val="039AF83A"/>
    <w:rsid w:val="039E57C6"/>
    <w:rsid w:val="03B59AAA"/>
    <w:rsid w:val="03BB9FBE"/>
    <w:rsid w:val="03C93A65"/>
    <w:rsid w:val="03D04880"/>
    <w:rsid w:val="03D11285"/>
    <w:rsid w:val="03D21B6C"/>
    <w:rsid w:val="03D4A05B"/>
    <w:rsid w:val="03D73B85"/>
    <w:rsid w:val="03D7B793"/>
    <w:rsid w:val="03E4D02C"/>
    <w:rsid w:val="03E4D7C0"/>
    <w:rsid w:val="03E56159"/>
    <w:rsid w:val="03F05929"/>
    <w:rsid w:val="03FA347C"/>
    <w:rsid w:val="04047921"/>
    <w:rsid w:val="0406E916"/>
    <w:rsid w:val="0410AEC1"/>
    <w:rsid w:val="041751D4"/>
    <w:rsid w:val="0417B5EF"/>
    <w:rsid w:val="0418AF6E"/>
    <w:rsid w:val="041BF010"/>
    <w:rsid w:val="041DDAFE"/>
    <w:rsid w:val="041F4442"/>
    <w:rsid w:val="0426C2DB"/>
    <w:rsid w:val="04290A39"/>
    <w:rsid w:val="042E4020"/>
    <w:rsid w:val="0436DDE3"/>
    <w:rsid w:val="0442C3AB"/>
    <w:rsid w:val="0460A7E1"/>
    <w:rsid w:val="04667A49"/>
    <w:rsid w:val="04717D26"/>
    <w:rsid w:val="0475025C"/>
    <w:rsid w:val="047D5CF7"/>
    <w:rsid w:val="04940A2F"/>
    <w:rsid w:val="04971AB2"/>
    <w:rsid w:val="0497717C"/>
    <w:rsid w:val="049ED57D"/>
    <w:rsid w:val="04AA6E10"/>
    <w:rsid w:val="04AFDC72"/>
    <w:rsid w:val="04BD88F5"/>
    <w:rsid w:val="04C05014"/>
    <w:rsid w:val="04C50E8C"/>
    <w:rsid w:val="04CB3BD1"/>
    <w:rsid w:val="04D8DCE0"/>
    <w:rsid w:val="04D92A69"/>
    <w:rsid w:val="04E1C9B5"/>
    <w:rsid w:val="04F4211E"/>
    <w:rsid w:val="04F4D073"/>
    <w:rsid w:val="04F55F3B"/>
    <w:rsid w:val="04F8FE54"/>
    <w:rsid w:val="04FB342E"/>
    <w:rsid w:val="04FF3C95"/>
    <w:rsid w:val="0503C211"/>
    <w:rsid w:val="0506A790"/>
    <w:rsid w:val="05076533"/>
    <w:rsid w:val="050DEA92"/>
    <w:rsid w:val="051AE8BD"/>
    <w:rsid w:val="0520DED1"/>
    <w:rsid w:val="05240FE1"/>
    <w:rsid w:val="052884E4"/>
    <w:rsid w:val="053D6450"/>
    <w:rsid w:val="054BAE45"/>
    <w:rsid w:val="054D5602"/>
    <w:rsid w:val="054F05E6"/>
    <w:rsid w:val="055AFD61"/>
    <w:rsid w:val="055BD426"/>
    <w:rsid w:val="05654E49"/>
    <w:rsid w:val="05665C59"/>
    <w:rsid w:val="05766D16"/>
    <w:rsid w:val="057E5954"/>
    <w:rsid w:val="05833A3D"/>
    <w:rsid w:val="05857A29"/>
    <w:rsid w:val="05895609"/>
    <w:rsid w:val="05986A73"/>
    <w:rsid w:val="05A1B6BD"/>
    <w:rsid w:val="05B32B80"/>
    <w:rsid w:val="05B6BD16"/>
    <w:rsid w:val="05B9F0D6"/>
    <w:rsid w:val="05BAF1D9"/>
    <w:rsid w:val="05BBB8AD"/>
    <w:rsid w:val="05BFA133"/>
    <w:rsid w:val="05D31833"/>
    <w:rsid w:val="05D485D9"/>
    <w:rsid w:val="05DD3090"/>
    <w:rsid w:val="05E31216"/>
    <w:rsid w:val="05E8BA73"/>
    <w:rsid w:val="05ECF866"/>
    <w:rsid w:val="05F6C3E9"/>
    <w:rsid w:val="05F7DF81"/>
    <w:rsid w:val="05F7FD89"/>
    <w:rsid w:val="05FEABE1"/>
    <w:rsid w:val="0609CFDD"/>
    <w:rsid w:val="0611E3BB"/>
    <w:rsid w:val="06197AB4"/>
    <w:rsid w:val="0628A475"/>
    <w:rsid w:val="062DF2B4"/>
    <w:rsid w:val="062EEBEA"/>
    <w:rsid w:val="063028DB"/>
    <w:rsid w:val="0630873A"/>
    <w:rsid w:val="06341186"/>
    <w:rsid w:val="0644E559"/>
    <w:rsid w:val="0649DEBF"/>
    <w:rsid w:val="0650C015"/>
    <w:rsid w:val="0653AFA0"/>
    <w:rsid w:val="06558418"/>
    <w:rsid w:val="065BA7AF"/>
    <w:rsid w:val="06672BBE"/>
    <w:rsid w:val="066EAD11"/>
    <w:rsid w:val="06702F5F"/>
    <w:rsid w:val="067562D4"/>
    <w:rsid w:val="06769189"/>
    <w:rsid w:val="067F72CC"/>
    <w:rsid w:val="0681307F"/>
    <w:rsid w:val="0685724F"/>
    <w:rsid w:val="0688212F"/>
    <w:rsid w:val="068A7C44"/>
    <w:rsid w:val="069E745B"/>
    <w:rsid w:val="06A1E8FC"/>
    <w:rsid w:val="06A77027"/>
    <w:rsid w:val="06AAD6FF"/>
    <w:rsid w:val="06BF31DD"/>
    <w:rsid w:val="06C35C21"/>
    <w:rsid w:val="06C5DA23"/>
    <w:rsid w:val="06C82998"/>
    <w:rsid w:val="06CA1CD1"/>
    <w:rsid w:val="06CB464B"/>
    <w:rsid w:val="06CC03CB"/>
    <w:rsid w:val="06D8B45A"/>
    <w:rsid w:val="06E15E9E"/>
    <w:rsid w:val="06E2AB8C"/>
    <w:rsid w:val="06E5BF2B"/>
    <w:rsid w:val="06EC25B3"/>
    <w:rsid w:val="06EE8E01"/>
    <w:rsid w:val="06F44468"/>
    <w:rsid w:val="06F44800"/>
    <w:rsid w:val="06F81FD9"/>
    <w:rsid w:val="0701275D"/>
    <w:rsid w:val="0709D02F"/>
    <w:rsid w:val="070FE2F2"/>
    <w:rsid w:val="071E0CEB"/>
    <w:rsid w:val="071E4035"/>
    <w:rsid w:val="072BD194"/>
    <w:rsid w:val="07313746"/>
    <w:rsid w:val="0732AB73"/>
    <w:rsid w:val="07352E9D"/>
    <w:rsid w:val="074C0253"/>
    <w:rsid w:val="074DD5C7"/>
    <w:rsid w:val="075415DB"/>
    <w:rsid w:val="07556E46"/>
    <w:rsid w:val="075BBAB8"/>
    <w:rsid w:val="07620F22"/>
    <w:rsid w:val="0769D68D"/>
    <w:rsid w:val="076ADEAD"/>
    <w:rsid w:val="076E7816"/>
    <w:rsid w:val="076FBC17"/>
    <w:rsid w:val="0777FA45"/>
    <w:rsid w:val="077B27C6"/>
    <w:rsid w:val="077E66A5"/>
    <w:rsid w:val="07823383"/>
    <w:rsid w:val="078CFE7C"/>
    <w:rsid w:val="078EB38C"/>
    <w:rsid w:val="07929CD9"/>
    <w:rsid w:val="079342E5"/>
    <w:rsid w:val="0794A9C0"/>
    <w:rsid w:val="0799F309"/>
    <w:rsid w:val="079DE352"/>
    <w:rsid w:val="07AB618F"/>
    <w:rsid w:val="07B47BA8"/>
    <w:rsid w:val="07B7F127"/>
    <w:rsid w:val="07C933EE"/>
    <w:rsid w:val="07C98E54"/>
    <w:rsid w:val="07CC77D2"/>
    <w:rsid w:val="07D0D2E7"/>
    <w:rsid w:val="07D2D217"/>
    <w:rsid w:val="07D4B6D0"/>
    <w:rsid w:val="07D6B1D6"/>
    <w:rsid w:val="07D6CFF4"/>
    <w:rsid w:val="07E71BD6"/>
    <w:rsid w:val="07EA8E5B"/>
    <w:rsid w:val="07EDC2F9"/>
    <w:rsid w:val="07F40FAA"/>
    <w:rsid w:val="08019090"/>
    <w:rsid w:val="0806468D"/>
    <w:rsid w:val="08076471"/>
    <w:rsid w:val="08127315"/>
    <w:rsid w:val="081BF742"/>
    <w:rsid w:val="081E410B"/>
    <w:rsid w:val="08231613"/>
    <w:rsid w:val="0825C6D2"/>
    <w:rsid w:val="083758D7"/>
    <w:rsid w:val="083AC070"/>
    <w:rsid w:val="084EB23F"/>
    <w:rsid w:val="08519280"/>
    <w:rsid w:val="0855B4F5"/>
    <w:rsid w:val="0857B489"/>
    <w:rsid w:val="085D2E9F"/>
    <w:rsid w:val="086282EF"/>
    <w:rsid w:val="08638E40"/>
    <w:rsid w:val="086509DE"/>
    <w:rsid w:val="087061C1"/>
    <w:rsid w:val="087AAD05"/>
    <w:rsid w:val="08813478"/>
    <w:rsid w:val="088D4DB8"/>
    <w:rsid w:val="088E05BD"/>
    <w:rsid w:val="08925430"/>
    <w:rsid w:val="0894E1EB"/>
    <w:rsid w:val="089599F7"/>
    <w:rsid w:val="08973FE4"/>
    <w:rsid w:val="089815A9"/>
    <w:rsid w:val="089B70A0"/>
    <w:rsid w:val="089F86F0"/>
    <w:rsid w:val="08A33D03"/>
    <w:rsid w:val="08AD99DA"/>
    <w:rsid w:val="08C09590"/>
    <w:rsid w:val="08C6FD21"/>
    <w:rsid w:val="08CEA971"/>
    <w:rsid w:val="08D50A6D"/>
    <w:rsid w:val="08D6085D"/>
    <w:rsid w:val="08DC7607"/>
    <w:rsid w:val="08EB140E"/>
    <w:rsid w:val="08F078FF"/>
    <w:rsid w:val="08F11A0B"/>
    <w:rsid w:val="08F14486"/>
    <w:rsid w:val="08F6BB7F"/>
    <w:rsid w:val="08FD313F"/>
    <w:rsid w:val="08FE7034"/>
    <w:rsid w:val="0906865F"/>
    <w:rsid w:val="0909BCE8"/>
    <w:rsid w:val="090C9974"/>
    <w:rsid w:val="0910B0ED"/>
    <w:rsid w:val="091348BC"/>
    <w:rsid w:val="092C0039"/>
    <w:rsid w:val="092E55F9"/>
    <w:rsid w:val="093D2B39"/>
    <w:rsid w:val="093E4337"/>
    <w:rsid w:val="094909FF"/>
    <w:rsid w:val="094E8503"/>
    <w:rsid w:val="09672E72"/>
    <w:rsid w:val="09780E5D"/>
    <w:rsid w:val="097DF34E"/>
    <w:rsid w:val="097FD1A4"/>
    <w:rsid w:val="0989D873"/>
    <w:rsid w:val="099B7310"/>
    <w:rsid w:val="099E6F22"/>
    <w:rsid w:val="099EE04C"/>
    <w:rsid w:val="09A87781"/>
    <w:rsid w:val="09B8E4F3"/>
    <w:rsid w:val="09BC1EB3"/>
    <w:rsid w:val="09BF0984"/>
    <w:rsid w:val="09C8B275"/>
    <w:rsid w:val="09DD3579"/>
    <w:rsid w:val="09DFBBFF"/>
    <w:rsid w:val="09E2DF85"/>
    <w:rsid w:val="09E60E5D"/>
    <w:rsid w:val="09ED6473"/>
    <w:rsid w:val="09F47542"/>
    <w:rsid w:val="09F7A5F8"/>
    <w:rsid w:val="09FC92E4"/>
    <w:rsid w:val="09FF29EB"/>
    <w:rsid w:val="0A0602ED"/>
    <w:rsid w:val="0A16E870"/>
    <w:rsid w:val="0A1C5B2C"/>
    <w:rsid w:val="0A1E1156"/>
    <w:rsid w:val="0A2D5B6B"/>
    <w:rsid w:val="0A336F43"/>
    <w:rsid w:val="0A480564"/>
    <w:rsid w:val="0A49605B"/>
    <w:rsid w:val="0A4D562A"/>
    <w:rsid w:val="0A4E86C9"/>
    <w:rsid w:val="0A522277"/>
    <w:rsid w:val="0A5233B2"/>
    <w:rsid w:val="0A551F50"/>
    <w:rsid w:val="0A561E98"/>
    <w:rsid w:val="0A5E408C"/>
    <w:rsid w:val="0A5EBBEA"/>
    <w:rsid w:val="0A601C54"/>
    <w:rsid w:val="0A62D07C"/>
    <w:rsid w:val="0A72B5CE"/>
    <w:rsid w:val="0A7735B9"/>
    <w:rsid w:val="0A7DCE8F"/>
    <w:rsid w:val="0A8898CB"/>
    <w:rsid w:val="0A88A157"/>
    <w:rsid w:val="0A8B1005"/>
    <w:rsid w:val="0A9F7C12"/>
    <w:rsid w:val="0AB6DC9D"/>
    <w:rsid w:val="0ABA46DA"/>
    <w:rsid w:val="0ABABAE1"/>
    <w:rsid w:val="0AC3C95C"/>
    <w:rsid w:val="0ACBC6E8"/>
    <w:rsid w:val="0ACE5CC3"/>
    <w:rsid w:val="0AD66823"/>
    <w:rsid w:val="0AE2785E"/>
    <w:rsid w:val="0AE8B62E"/>
    <w:rsid w:val="0AEBFAD6"/>
    <w:rsid w:val="0AEFE3D4"/>
    <w:rsid w:val="0AF322CE"/>
    <w:rsid w:val="0AFA6341"/>
    <w:rsid w:val="0B0F71E4"/>
    <w:rsid w:val="0B11BF0D"/>
    <w:rsid w:val="0B1E71BF"/>
    <w:rsid w:val="0B2A2A03"/>
    <w:rsid w:val="0B2A889F"/>
    <w:rsid w:val="0B2C7A56"/>
    <w:rsid w:val="0B334C7D"/>
    <w:rsid w:val="0B45C713"/>
    <w:rsid w:val="0B4B949D"/>
    <w:rsid w:val="0B4CE13C"/>
    <w:rsid w:val="0B66110F"/>
    <w:rsid w:val="0B6B09FA"/>
    <w:rsid w:val="0B6B77DE"/>
    <w:rsid w:val="0B95DC30"/>
    <w:rsid w:val="0BA57B48"/>
    <w:rsid w:val="0BAC54EA"/>
    <w:rsid w:val="0BACFD30"/>
    <w:rsid w:val="0BB67157"/>
    <w:rsid w:val="0BC174CA"/>
    <w:rsid w:val="0BC9A173"/>
    <w:rsid w:val="0BCE8C80"/>
    <w:rsid w:val="0BD94852"/>
    <w:rsid w:val="0BE2D5FA"/>
    <w:rsid w:val="0BE31B21"/>
    <w:rsid w:val="0BE3DFB1"/>
    <w:rsid w:val="0BE8E4D6"/>
    <w:rsid w:val="0BF3BE5F"/>
    <w:rsid w:val="0BF614A9"/>
    <w:rsid w:val="0BFD9180"/>
    <w:rsid w:val="0BFFDF66"/>
    <w:rsid w:val="0C03C90E"/>
    <w:rsid w:val="0C084DF8"/>
    <w:rsid w:val="0C08CB3C"/>
    <w:rsid w:val="0C0E1640"/>
    <w:rsid w:val="0C111673"/>
    <w:rsid w:val="0C322708"/>
    <w:rsid w:val="0C3533B6"/>
    <w:rsid w:val="0C3A74A9"/>
    <w:rsid w:val="0C3B5A88"/>
    <w:rsid w:val="0C3EDD87"/>
    <w:rsid w:val="0C454DA0"/>
    <w:rsid w:val="0C52FBE3"/>
    <w:rsid w:val="0C57346D"/>
    <w:rsid w:val="0C61F233"/>
    <w:rsid w:val="0C68C66C"/>
    <w:rsid w:val="0C6E072F"/>
    <w:rsid w:val="0C6FE846"/>
    <w:rsid w:val="0C783F8D"/>
    <w:rsid w:val="0C79D53E"/>
    <w:rsid w:val="0C7BE347"/>
    <w:rsid w:val="0C88E492"/>
    <w:rsid w:val="0C8DF6E1"/>
    <w:rsid w:val="0C8EC46B"/>
    <w:rsid w:val="0C91419E"/>
    <w:rsid w:val="0C94A91F"/>
    <w:rsid w:val="0CA29B62"/>
    <w:rsid w:val="0CA5B2E8"/>
    <w:rsid w:val="0CC50401"/>
    <w:rsid w:val="0CC86C93"/>
    <w:rsid w:val="0CDE8B1E"/>
    <w:rsid w:val="0CECEE93"/>
    <w:rsid w:val="0CEF159C"/>
    <w:rsid w:val="0CF05F48"/>
    <w:rsid w:val="0D0048ED"/>
    <w:rsid w:val="0D04853C"/>
    <w:rsid w:val="0D0CF58E"/>
    <w:rsid w:val="0D1215B6"/>
    <w:rsid w:val="0D161B1F"/>
    <w:rsid w:val="0D1FCE15"/>
    <w:rsid w:val="0D20DF3D"/>
    <w:rsid w:val="0D22FE23"/>
    <w:rsid w:val="0D2DD2BB"/>
    <w:rsid w:val="0D2F6692"/>
    <w:rsid w:val="0D325599"/>
    <w:rsid w:val="0D34E75E"/>
    <w:rsid w:val="0D39114B"/>
    <w:rsid w:val="0D3BA536"/>
    <w:rsid w:val="0D3DD7BC"/>
    <w:rsid w:val="0D4440D6"/>
    <w:rsid w:val="0D4D03CE"/>
    <w:rsid w:val="0D53D5FD"/>
    <w:rsid w:val="0D560DC0"/>
    <w:rsid w:val="0D5648D6"/>
    <w:rsid w:val="0D601937"/>
    <w:rsid w:val="0D639603"/>
    <w:rsid w:val="0D693E00"/>
    <w:rsid w:val="0D6B2757"/>
    <w:rsid w:val="0D6E0963"/>
    <w:rsid w:val="0D70E6F2"/>
    <w:rsid w:val="0D732F6A"/>
    <w:rsid w:val="0D743299"/>
    <w:rsid w:val="0D7642B6"/>
    <w:rsid w:val="0D78C898"/>
    <w:rsid w:val="0D7EC8FC"/>
    <w:rsid w:val="0D7EF752"/>
    <w:rsid w:val="0D889311"/>
    <w:rsid w:val="0D8B6BBA"/>
    <w:rsid w:val="0D942ADB"/>
    <w:rsid w:val="0D9840D3"/>
    <w:rsid w:val="0DA3742C"/>
    <w:rsid w:val="0DB03D8D"/>
    <w:rsid w:val="0DC98331"/>
    <w:rsid w:val="0DD7DAEB"/>
    <w:rsid w:val="0DD81956"/>
    <w:rsid w:val="0DE03708"/>
    <w:rsid w:val="0DE07AEC"/>
    <w:rsid w:val="0DE27176"/>
    <w:rsid w:val="0DE4ADAB"/>
    <w:rsid w:val="0DF14881"/>
    <w:rsid w:val="0DF6FD0D"/>
    <w:rsid w:val="0E016345"/>
    <w:rsid w:val="0E02A0EE"/>
    <w:rsid w:val="0E08D4FC"/>
    <w:rsid w:val="0E0E9AD1"/>
    <w:rsid w:val="0E132A10"/>
    <w:rsid w:val="0E181F85"/>
    <w:rsid w:val="0E189A52"/>
    <w:rsid w:val="0E23122F"/>
    <w:rsid w:val="0E2A6501"/>
    <w:rsid w:val="0E32494A"/>
    <w:rsid w:val="0E3B4587"/>
    <w:rsid w:val="0E3E8DD8"/>
    <w:rsid w:val="0E43F451"/>
    <w:rsid w:val="0E4D2F37"/>
    <w:rsid w:val="0E5052A5"/>
    <w:rsid w:val="0E6047F5"/>
    <w:rsid w:val="0E605556"/>
    <w:rsid w:val="0E629095"/>
    <w:rsid w:val="0E62B565"/>
    <w:rsid w:val="0E6B4D66"/>
    <w:rsid w:val="0E6C0640"/>
    <w:rsid w:val="0E712F4A"/>
    <w:rsid w:val="0E718C00"/>
    <w:rsid w:val="0E750012"/>
    <w:rsid w:val="0E7BE2EA"/>
    <w:rsid w:val="0E7BFAAA"/>
    <w:rsid w:val="0E80A677"/>
    <w:rsid w:val="0E811045"/>
    <w:rsid w:val="0E99BA77"/>
    <w:rsid w:val="0EA31F8E"/>
    <w:rsid w:val="0EA3838B"/>
    <w:rsid w:val="0EB5A31E"/>
    <w:rsid w:val="0EBB9149"/>
    <w:rsid w:val="0EBCBFBA"/>
    <w:rsid w:val="0ED6ED7A"/>
    <w:rsid w:val="0ED774AD"/>
    <w:rsid w:val="0EEB10A2"/>
    <w:rsid w:val="0F093FC8"/>
    <w:rsid w:val="0F0AB510"/>
    <w:rsid w:val="0F19857E"/>
    <w:rsid w:val="0F2605C3"/>
    <w:rsid w:val="0F2C13B9"/>
    <w:rsid w:val="0F359FED"/>
    <w:rsid w:val="0F35F2BB"/>
    <w:rsid w:val="0F42B4BA"/>
    <w:rsid w:val="0F50048E"/>
    <w:rsid w:val="0F5132D3"/>
    <w:rsid w:val="0F55F9F0"/>
    <w:rsid w:val="0F576CE8"/>
    <w:rsid w:val="0F5C3CCC"/>
    <w:rsid w:val="0F5DC809"/>
    <w:rsid w:val="0F61C166"/>
    <w:rsid w:val="0F61F34F"/>
    <w:rsid w:val="0F64CE31"/>
    <w:rsid w:val="0F64E9E1"/>
    <w:rsid w:val="0F728E7A"/>
    <w:rsid w:val="0F76833A"/>
    <w:rsid w:val="0F7E8DCD"/>
    <w:rsid w:val="0F8947A7"/>
    <w:rsid w:val="0F91EA43"/>
    <w:rsid w:val="0F92EAED"/>
    <w:rsid w:val="0F95C3DD"/>
    <w:rsid w:val="0F9BA71E"/>
    <w:rsid w:val="0FA03DDB"/>
    <w:rsid w:val="0FA9DDF5"/>
    <w:rsid w:val="0FC5006B"/>
    <w:rsid w:val="0FCA2375"/>
    <w:rsid w:val="0FCB1FA5"/>
    <w:rsid w:val="0FD0F193"/>
    <w:rsid w:val="0FEDE5DC"/>
    <w:rsid w:val="0FFD38F9"/>
    <w:rsid w:val="0FFE7A95"/>
    <w:rsid w:val="100265DE"/>
    <w:rsid w:val="1003449F"/>
    <w:rsid w:val="100E698A"/>
    <w:rsid w:val="101673DF"/>
    <w:rsid w:val="101DD699"/>
    <w:rsid w:val="10203F5D"/>
    <w:rsid w:val="10254EDB"/>
    <w:rsid w:val="102B2844"/>
    <w:rsid w:val="1030CE7D"/>
    <w:rsid w:val="10314590"/>
    <w:rsid w:val="1038D506"/>
    <w:rsid w:val="103D74B6"/>
    <w:rsid w:val="1042CB8D"/>
    <w:rsid w:val="1049BF38"/>
    <w:rsid w:val="10522BA5"/>
    <w:rsid w:val="1059494E"/>
    <w:rsid w:val="10596FF3"/>
    <w:rsid w:val="105A57DE"/>
    <w:rsid w:val="105BD4FD"/>
    <w:rsid w:val="105C18B8"/>
    <w:rsid w:val="105FE13C"/>
    <w:rsid w:val="1061A92C"/>
    <w:rsid w:val="10695B03"/>
    <w:rsid w:val="106CAFB6"/>
    <w:rsid w:val="1091697F"/>
    <w:rsid w:val="10A687D4"/>
    <w:rsid w:val="10B7466C"/>
    <w:rsid w:val="10BE8A04"/>
    <w:rsid w:val="10C13FA2"/>
    <w:rsid w:val="10C6B7A9"/>
    <w:rsid w:val="10C804EB"/>
    <w:rsid w:val="10CA03E1"/>
    <w:rsid w:val="10CE530F"/>
    <w:rsid w:val="10D461C4"/>
    <w:rsid w:val="10DBB460"/>
    <w:rsid w:val="10DC5FDF"/>
    <w:rsid w:val="10DFFA21"/>
    <w:rsid w:val="10E2F1F0"/>
    <w:rsid w:val="10EB37D5"/>
    <w:rsid w:val="10EE4B77"/>
    <w:rsid w:val="10EF96AA"/>
    <w:rsid w:val="10F24576"/>
    <w:rsid w:val="10F5EB6E"/>
    <w:rsid w:val="10FAB24A"/>
    <w:rsid w:val="11022335"/>
    <w:rsid w:val="11032F89"/>
    <w:rsid w:val="11081DEB"/>
    <w:rsid w:val="110F8EDA"/>
    <w:rsid w:val="111169C6"/>
    <w:rsid w:val="111960B3"/>
    <w:rsid w:val="113E759F"/>
    <w:rsid w:val="1140B52F"/>
    <w:rsid w:val="114E7721"/>
    <w:rsid w:val="1155DAF6"/>
    <w:rsid w:val="1158AAA2"/>
    <w:rsid w:val="11595A02"/>
    <w:rsid w:val="115D7767"/>
    <w:rsid w:val="115E709E"/>
    <w:rsid w:val="11625ED6"/>
    <w:rsid w:val="1164B2B6"/>
    <w:rsid w:val="117C5B3E"/>
    <w:rsid w:val="117DDF51"/>
    <w:rsid w:val="117E7EE8"/>
    <w:rsid w:val="1182487F"/>
    <w:rsid w:val="1184AF56"/>
    <w:rsid w:val="118993B4"/>
    <w:rsid w:val="118F1D87"/>
    <w:rsid w:val="1192CA3D"/>
    <w:rsid w:val="119537B3"/>
    <w:rsid w:val="1195556B"/>
    <w:rsid w:val="11957035"/>
    <w:rsid w:val="119EDA75"/>
    <w:rsid w:val="119EF245"/>
    <w:rsid w:val="11A4E1FC"/>
    <w:rsid w:val="11A6EF8F"/>
    <w:rsid w:val="11A74A05"/>
    <w:rsid w:val="11B029BD"/>
    <w:rsid w:val="11B2B6B7"/>
    <w:rsid w:val="11B95B60"/>
    <w:rsid w:val="11BC7A7A"/>
    <w:rsid w:val="11BCF746"/>
    <w:rsid w:val="11BE9A7D"/>
    <w:rsid w:val="11C0863F"/>
    <w:rsid w:val="11C20C62"/>
    <w:rsid w:val="11C437DD"/>
    <w:rsid w:val="11C7FF45"/>
    <w:rsid w:val="11DA6374"/>
    <w:rsid w:val="11DC9D5B"/>
    <w:rsid w:val="11E00048"/>
    <w:rsid w:val="11E0C7F5"/>
    <w:rsid w:val="11E2F990"/>
    <w:rsid w:val="11E420FE"/>
    <w:rsid w:val="11E4BD19"/>
    <w:rsid w:val="11E866F2"/>
    <w:rsid w:val="11EA5CF4"/>
    <w:rsid w:val="11EC3F97"/>
    <w:rsid w:val="11F7DF8A"/>
    <w:rsid w:val="11FBA068"/>
    <w:rsid w:val="11FE34A5"/>
    <w:rsid w:val="1206E7C0"/>
    <w:rsid w:val="1216DEC4"/>
    <w:rsid w:val="121A5CE1"/>
    <w:rsid w:val="1223F0EB"/>
    <w:rsid w:val="12253112"/>
    <w:rsid w:val="12263CAC"/>
    <w:rsid w:val="122D8852"/>
    <w:rsid w:val="122DFC24"/>
    <w:rsid w:val="12308921"/>
    <w:rsid w:val="12308EDE"/>
    <w:rsid w:val="123605E9"/>
    <w:rsid w:val="123B05E9"/>
    <w:rsid w:val="123B5FB5"/>
    <w:rsid w:val="1243FF14"/>
    <w:rsid w:val="12460385"/>
    <w:rsid w:val="12487076"/>
    <w:rsid w:val="124A546E"/>
    <w:rsid w:val="12527987"/>
    <w:rsid w:val="12557C1A"/>
    <w:rsid w:val="1257E367"/>
    <w:rsid w:val="125D54E0"/>
    <w:rsid w:val="1268D806"/>
    <w:rsid w:val="127D9410"/>
    <w:rsid w:val="1286EE9B"/>
    <w:rsid w:val="1289E83B"/>
    <w:rsid w:val="128B75CB"/>
    <w:rsid w:val="128E6CA1"/>
    <w:rsid w:val="129395DC"/>
    <w:rsid w:val="129409C4"/>
    <w:rsid w:val="129C8782"/>
    <w:rsid w:val="12AD030D"/>
    <w:rsid w:val="12B77EA6"/>
    <w:rsid w:val="12BA51A4"/>
    <w:rsid w:val="12BD4D74"/>
    <w:rsid w:val="12C1E727"/>
    <w:rsid w:val="12C938ED"/>
    <w:rsid w:val="12E2C8E3"/>
    <w:rsid w:val="12E38066"/>
    <w:rsid w:val="12E70A11"/>
    <w:rsid w:val="12E91E07"/>
    <w:rsid w:val="12ED08D3"/>
    <w:rsid w:val="12F2D10D"/>
    <w:rsid w:val="12FEECF3"/>
    <w:rsid w:val="130165E9"/>
    <w:rsid w:val="13035275"/>
    <w:rsid w:val="130AEBC7"/>
    <w:rsid w:val="130D9C0F"/>
    <w:rsid w:val="13177354"/>
    <w:rsid w:val="131967D6"/>
    <w:rsid w:val="131E8F3E"/>
    <w:rsid w:val="1322194C"/>
    <w:rsid w:val="132C5310"/>
    <w:rsid w:val="132C8345"/>
    <w:rsid w:val="13325B4A"/>
    <w:rsid w:val="134AC205"/>
    <w:rsid w:val="134B3707"/>
    <w:rsid w:val="134E4BAD"/>
    <w:rsid w:val="1352F867"/>
    <w:rsid w:val="13586BF1"/>
    <w:rsid w:val="135B117A"/>
    <w:rsid w:val="135B2E1B"/>
    <w:rsid w:val="13653D2F"/>
    <w:rsid w:val="1365A630"/>
    <w:rsid w:val="136B26F8"/>
    <w:rsid w:val="136BA0B3"/>
    <w:rsid w:val="136E41E1"/>
    <w:rsid w:val="13726039"/>
    <w:rsid w:val="1376F24A"/>
    <w:rsid w:val="137AA9EF"/>
    <w:rsid w:val="1384D933"/>
    <w:rsid w:val="1386CAD3"/>
    <w:rsid w:val="1388E065"/>
    <w:rsid w:val="139C504C"/>
    <w:rsid w:val="13A3DCB2"/>
    <w:rsid w:val="13A5AF97"/>
    <w:rsid w:val="13A8FFFA"/>
    <w:rsid w:val="13B28CC9"/>
    <w:rsid w:val="13BE36D9"/>
    <w:rsid w:val="13BFF1D3"/>
    <w:rsid w:val="13C06B73"/>
    <w:rsid w:val="13C38DAB"/>
    <w:rsid w:val="13CB8E59"/>
    <w:rsid w:val="13D14DC0"/>
    <w:rsid w:val="13D4A7E6"/>
    <w:rsid w:val="13E108F8"/>
    <w:rsid w:val="13EE1A42"/>
    <w:rsid w:val="13F33245"/>
    <w:rsid w:val="13F69E9D"/>
    <w:rsid w:val="13FC6333"/>
    <w:rsid w:val="140135B6"/>
    <w:rsid w:val="140559B2"/>
    <w:rsid w:val="141006E4"/>
    <w:rsid w:val="1413B658"/>
    <w:rsid w:val="1413B771"/>
    <w:rsid w:val="141A825B"/>
    <w:rsid w:val="1420774E"/>
    <w:rsid w:val="14277B68"/>
    <w:rsid w:val="1428C515"/>
    <w:rsid w:val="142B1752"/>
    <w:rsid w:val="142E9622"/>
    <w:rsid w:val="1430CCEF"/>
    <w:rsid w:val="1430D1C4"/>
    <w:rsid w:val="1434E4D2"/>
    <w:rsid w:val="1438D2FD"/>
    <w:rsid w:val="143F8957"/>
    <w:rsid w:val="14421C8A"/>
    <w:rsid w:val="144CED6E"/>
    <w:rsid w:val="145184F9"/>
    <w:rsid w:val="14532A99"/>
    <w:rsid w:val="14563B6C"/>
    <w:rsid w:val="145663C7"/>
    <w:rsid w:val="145DD312"/>
    <w:rsid w:val="146340D4"/>
    <w:rsid w:val="1466CD40"/>
    <w:rsid w:val="14714414"/>
    <w:rsid w:val="1474975F"/>
    <w:rsid w:val="147574C9"/>
    <w:rsid w:val="1475CE3F"/>
    <w:rsid w:val="148948C6"/>
    <w:rsid w:val="148A91FC"/>
    <w:rsid w:val="1490A87D"/>
    <w:rsid w:val="149DC5FF"/>
    <w:rsid w:val="14A26EE3"/>
    <w:rsid w:val="14A53EAF"/>
    <w:rsid w:val="14A5B19C"/>
    <w:rsid w:val="14B050CC"/>
    <w:rsid w:val="14B056F2"/>
    <w:rsid w:val="14B3989C"/>
    <w:rsid w:val="14B530DC"/>
    <w:rsid w:val="14C19C18"/>
    <w:rsid w:val="14CC0C08"/>
    <w:rsid w:val="14D70D66"/>
    <w:rsid w:val="14DCC830"/>
    <w:rsid w:val="14E188A8"/>
    <w:rsid w:val="14E6FDE1"/>
    <w:rsid w:val="14EA2CF9"/>
    <w:rsid w:val="14EF1715"/>
    <w:rsid w:val="14FDF977"/>
    <w:rsid w:val="150F46DD"/>
    <w:rsid w:val="15159F2C"/>
    <w:rsid w:val="151AE36D"/>
    <w:rsid w:val="151ECB04"/>
    <w:rsid w:val="1521F5D0"/>
    <w:rsid w:val="152BA1F6"/>
    <w:rsid w:val="1539E78D"/>
    <w:rsid w:val="154210EF"/>
    <w:rsid w:val="154C01E3"/>
    <w:rsid w:val="154D8F64"/>
    <w:rsid w:val="155B0F6B"/>
    <w:rsid w:val="15662F84"/>
    <w:rsid w:val="156B47CA"/>
    <w:rsid w:val="156B5E56"/>
    <w:rsid w:val="15739E6D"/>
    <w:rsid w:val="1578E449"/>
    <w:rsid w:val="158C7CF0"/>
    <w:rsid w:val="15A10CAB"/>
    <w:rsid w:val="15A9DAE6"/>
    <w:rsid w:val="15B0213B"/>
    <w:rsid w:val="15B52140"/>
    <w:rsid w:val="15BDBF82"/>
    <w:rsid w:val="15BEDE00"/>
    <w:rsid w:val="15CA5D04"/>
    <w:rsid w:val="15CD48C4"/>
    <w:rsid w:val="15CEEC5A"/>
    <w:rsid w:val="15D0B0A8"/>
    <w:rsid w:val="15DA20A7"/>
    <w:rsid w:val="15EB3DC4"/>
    <w:rsid w:val="15F63D21"/>
    <w:rsid w:val="15F7EED3"/>
    <w:rsid w:val="15FD5444"/>
    <w:rsid w:val="16082713"/>
    <w:rsid w:val="160868DF"/>
    <w:rsid w:val="1616F3C9"/>
    <w:rsid w:val="16193AF4"/>
    <w:rsid w:val="1632FB29"/>
    <w:rsid w:val="163561EE"/>
    <w:rsid w:val="163B9D25"/>
    <w:rsid w:val="163EA083"/>
    <w:rsid w:val="163EB28D"/>
    <w:rsid w:val="163FE359"/>
    <w:rsid w:val="1642E004"/>
    <w:rsid w:val="1656704D"/>
    <w:rsid w:val="166978E4"/>
    <w:rsid w:val="166E96E8"/>
    <w:rsid w:val="167597C3"/>
    <w:rsid w:val="167A001A"/>
    <w:rsid w:val="167AE942"/>
    <w:rsid w:val="167FFAD4"/>
    <w:rsid w:val="1687DAE2"/>
    <w:rsid w:val="168D7159"/>
    <w:rsid w:val="1691907F"/>
    <w:rsid w:val="1691CDB3"/>
    <w:rsid w:val="169277F9"/>
    <w:rsid w:val="16968622"/>
    <w:rsid w:val="169BC540"/>
    <w:rsid w:val="16A49F1A"/>
    <w:rsid w:val="16AADF10"/>
    <w:rsid w:val="16BDC85C"/>
    <w:rsid w:val="16C84879"/>
    <w:rsid w:val="16D28B65"/>
    <w:rsid w:val="16D60614"/>
    <w:rsid w:val="16E11346"/>
    <w:rsid w:val="16F2519A"/>
    <w:rsid w:val="16F6F533"/>
    <w:rsid w:val="16F6F647"/>
    <w:rsid w:val="16FD8F61"/>
    <w:rsid w:val="16FFDDC4"/>
    <w:rsid w:val="1705016A"/>
    <w:rsid w:val="1711D9DE"/>
    <w:rsid w:val="1712DB62"/>
    <w:rsid w:val="171645EC"/>
    <w:rsid w:val="171C2E56"/>
    <w:rsid w:val="17250CC5"/>
    <w:rsid w:val="1725D8CD"/>
    <w:rsid w:val="172B6AE7"/>
    <w:rsid w:val="172FF46F"/>
    <w:rsid w:val="1731D6EB"/>
    <w:rsid w:val="173C246E"/>
    <w:rsid w:val="173DBD0C"/>
    <w:rsid w:val="1743C08A"/>
    <w:rsid w:val="1744AAA0"/>
    <w:rsid w:val="1749792F"/>
    <w:rsid w:val="175269F6"/>
    <w:rsid w:val="1757BAA5"/>
    <w:rsid w:val="175AD310"/>
    <w:rsid w:val="175EA3DD"/>
    <w:rsid w:val="1765D25B"/>
    <w:rsid w:val="17693E79"/>
    <w:rsid w:val="17698673"/>
    <w:rsid w:val="176FCE82"/>
    <w:rsid w:val="1778F9A5"/>
    <w:rsid w:val="17836F22"/>
    <w:rsid w:val="1783EE7D"/>
    <w:rsid w:val="17866787"/>
    <w:rsid w:val="178BB48D"/>
    <w:rsid w:val="178E877E"/>
    <w:rsid w:val="17925DF4"/>
    <w:rsid w:val="1793B8FA"/>
    <w:rsid w:val="1794B39B"/>
    <w:rsid w:val="1794B8A1"/>
    <w:rsid w:val="179868C2"/>
    <w:rsid w:val="17A7B21D"/>
    <w:rsid w:val="17AA4AE2"/>
    <w:rsid w:val="17AF3849"/>
    <w:rsid w:val="17B27364"/>
    <w:rsid w:val="17B744BD"/>
    <w:rsid w:val="17B96CB0"/>
    <w:rsid w:val="17BD7064"/>
    <w:rsid w:val="17BE28ED"/>
    <w:rsid w:val="17C06915"/>
    <w:rsid w:val="17C7B98E"/>
    <w:rsid w:val="17CEF3F6"/>
    <w:rsid w:val="17D2C035"/>
    <w:rsid w:val="17D69934"/>
    <w:rsid w:val="17DC3245"/>
    <w:rsid w:val="17DC835B"/>
    <w:rsid w:val="17E314C2"/>
    <w:rsid w:val="17E5AFAB"/>
    <w:rsid w:val="17F8251B"/>
    <w:rsid w:val="180FBEDF"/>
    <w:rsid w:val="1810E9B5"/>
    <w:rsid w:val="1815416C"/>
    <w:rsid w:val="181F67D1"/>
    <w:rsid w:val="1829B4E5"/>
    <w:rsid w:val="182CB494"/>
    <w:rsid w:val="182EFB81"/>
    <w:rsid w:val="1830B9F8"/>
    <w:rsid w:val="1835032B"/>
    <w:rsid w:val="1835BBF9"/>
    <w:rsid w:val="183C6DEA"/>
    <w:rsid w:val="18401354"/>
    <w:rsid w:val="184076B2"/>
    <w:rsid w:val="184C1FD9"/>
    <w:rsid w:val="18537C76"/>
    <w:rsid w:val="18572B78"/>
    <w:rsid w:val="185BB541"/>
    <w:rsid w:val="185EFCA7"/>
    <w:rsid w:val="18622B69"/>
    <w:rsid w:val="186CFFA1"/>
    <w:rsid w:val="18721D6D"/>
    <w:rsid w:val="187C3029"/>
    <w:rsid w:val="1893A0AE"/>
    <w:rsid w:val="189717C5"/>
    <w:rsid w:val="189A22AC"/>
    <w:rsid w:val="189D0AB6"/>
    <w:rsid w:val="18A2DF47"/>
    <w:rsid w:val="18A3D7BD"/>
    <w:rsid w:val="18A7B569"/>
    <w:rsid w:val="18AD6806"/>
    <w:rsid w:val="18AE701F"/>
    <w:rsid w:val="18B4FD92"/>
    <w:rsid w:val="18B8AB0B"/>
    <w:rsid w:val="18BE4A1C"/>
    <w:rsid w:val="18BF7968"/>
    <w:rsid w:val="18CA499B"/>
    <w:rsid w:val="18D5BC3A"/>
    <w:rsid w:val="18E74605"/>
    <w:rsid w:val="18EAA65B"/>
    <w:rsid w:val="18ED7125"/>
    <w:rsid w:val="18FB1FD6"/>
    <w:rsid w:val="18FC30A5"/>
    <w:rsid w:val="18FF0455"/>
    <w:rsid w:val="19048982"/>
    <w:rsid w:val="1907C436"/>
    <w:rsid w:val="190FDB03"/>
    <w:rsid w:val="19159FE6"/>
    <w:rsid w:val="1917E4D3"/>
    <w:rsid w:val="192D137F"/>
    <w:rsid w:val="192E8114"/>
    <w:rsid w:val="1931575E"/>
    <w:rsid w:val="19339A10"/>
    <w:rsid w:val="194EFA47"/>
    <w:rsid w:val="195CB1EC"/>
    <w:rsid w:val="1960B825"/>
    <w:rsid w:val="196A29BB"/>
    <w:rsid w:val="196AF07E"/>
    <w:rsid w:val="196BD890"/>
    <w:rsid w:val="19808B43"/>
    <w:rsid w:val="1983D22A"/>
    <w:rsid w:val="19850002"/>
    <w:rsid w:val="19868751"/>
    <w:rsid w:val="198AEA39"/>
    <w:rsid w:val="198B01F7"/>
    <w:rsid w:val="1994215B"/>
    <w:rsid w:val="199484B5"/>
    <w:rsid w:val="19973636"/>
    <w:rsid w:val="199894D5"/>
    <w:rsid w:val="19A039E0"/>
    <w:rsid w:val="19A35D50"/>
    <w:rsid w:val="19A5275B"/>
    <w:rsid w:val="19A9AA36"/>
    <w:rsid w:val="19ABC65E"/>
    <w:rsid w:val="19B164DC"/>
    <w:rsid w:val="19B25E79"/>
    <w:rsid w:val="19B75F9A"/>
    <w:rsid w:val="19B964C6"/>
    <w:rsid w:val="19B97012"/>
    <w:rsid w:val="19BDD108"/>
    <w:rsid w:val="19BE7374"/>
    <w:rsid w:val="19C27A97"/>
    <w:rsid w:val="19CB3D7E"/>
    <w:rsid w:val="19DA3927"/>
    <w:rsid w:val="19E08BD9"/>
    <w:rsid w:val="19E74608"/>
    <w:rsid w:val="19F30266"/>
    <w:rsid w:val="19F76D75"/>
    <w:rsid w:val="19F80BD2"/>
    <w:rsid w:val="19F8F0EE"/>
    <w:rsid w:val="19F9FFFF"/>
    <w:rsid w:val="1A12F215"/>
    <w:rsid w:val="1A148F7B"/>
    <w:rsid w:val="1A171F19"/>
    <w:rsid w:val="1A18E86B"/>
    <w:rsid w:val="1A1A6779"/>
    <w:rsid w:val="1A1CBE24"/>
    <w:rsid w:val="1A2DBD27"/>
    <w:rsid w:val="1A2E459C"/>
    <w:rsid w:val="1A34CCAA"/>
    <w:rsid w:val="1A3B8009"/>
    <w:rsid w:val="1A3DDF8E"/>
    <w:rsid w:val="1A3F6BDB"/>
    <w:rsid w:val="1A410EB9"/>
    <w:rsid w:val="1A4AEB85"/>
    <w:rsid w:val="1A4B8E12"/>
    <w:rsid w:val="1A4BCD5E"/>
    <w:rsid w:val="1A501FBC"/>
    <w:rsid w:val="1A53ED44"/>
    <w:rsid w:val="1A57FA60"/>
    <w:rsid w:val="1A6051E2"/>
    <w:rsid w:val="1A6BED01"/>
    <w:rsid w:val="1A6CAD5D"/>
    <w:rsid w:val="1A74BA76"/>
    <w:rsid w:val="1A78EF8E"/>
    <w:rsid w:val="1A7DAF2F"/>
    <w:rsid w:val="1A841102"/>
    <w:rsid w:val="1A866E72"/>
    <w:rsid w:val="1A8C4B89"/>
    <w:rsid w:val="1A8DA47E"/>
    <w:rsid w:val="1A9A6715"/>
    <w:rsid w:val="1A9E2C94"/>
    <w:rsid w:val="1AA4E82D"/>
    <w:rsid w:val="1AA61151"/>
    <w:rsid w:val="1AA72A9D"/>
    <w:rsid w:val="1AA7A8B6"/>
    <w:rsid w:val="1ABE6F8B"/>
    <w:rsid w:val="1ABEF71E"/>
    <w:rsid w:val="1ABF9F65"/>
    <w:rsid w:val="1AC6DA91"/>
    <w:rsid w:val="1AC9FA04"/>
    <w:rsid w:val="1AD017FB"/>
    <w:rsid w:val="1AD3C8B8"/>
    <w:rsid w:val="1AD48487"/>
    <w:rsid w:val="1AD6F968"/>
    <w:rsid w:val="1AD7B9CA"/>
    <w:rsid w:val="1ADBF5C3"/>
    <w:rsid w:val="1AEBA5FC"/>
    <w:rsid w:val="1AED94A0"/>
    <w:rsid w:val="1AF6B71A"/>
    <w:rsid w:val="1AF7B026"/>
    <w:rsid w:val="1AFB6160"/>
    <w:rsid w:val="1AFDAC12"/>
    <w:rsid w:val="1AFFD51C"/>
    <w:rsid w:val="1B0480A8"/>
    <w:rsid w:val="1B0EC3F0"/>
    <w:rsid w:val="1B141F42"/>
    <w:rsid w:val="1B1B03C6"/>
    <w:rsid w:val="1B24F1FC"/>
    <w:rsid w:val="1B263CA4"/>
    <w:rsid w:val="1B284754"/>
    <w:rsid w:val="1B2C2446"/>
    <w:rsid w:val="1B3B7930"/>
    <w:rsid w:val="1B435EC9"/>
    <w:rsid w:val="1B440CE3"/>
    <w:rsid w:val="1B44A074"/>
    <w:rsid w:val="1B4B7209"/>
    <w:rsid w:val="1B4D9C6E"/>
    <w:rsid w:val="1B57332A"/>
    <w:rsid w:val="1B677A2A"/>
    <w:rsid w:val="1B69B93A"/>
    <w:rsid w:val="1B74BFB6"/>
    <w:rsid w:val="1B77A81D"/>
    <w:rsid w:val="1B79EB37"/>
    <w:rsid w:val="1B7D73EB"/>
    <w:rsid w:val="1B80B078"/>
    <w:rsid w:val="1B856534"/>
    <w:rsid w:val="1B864106"/>
    <w:rsid w:val="1B8AF2F6"/>
    <w:rsid w:val="1B901D10"/>
    <w:rsid w:val="1B98EFB1"/>
    <w:rsid w:val="1B9BC4A7"/>
    <w:rsid w:val="1BA17725"/>
    <w:rsid w:val="1BA2F20F"/>
    <w:rsid w:val="1BA527F2"/>
    <w:rsid w:val="1BA8BE45"/>
    <w:rsid w:val="1BAE1145"/>
    <w:rsid w:val="1BB3BBA8"/>
    <w:rsid w:val="1BC06E80"/>
    <w:rsid w:val="1BD4A8EB"/>
    <w:rsid w:val="1BD6A006"/>
    <w:rsid w:val="1BD9AD36"/>
    <w:rsid w:val="1BE1668F"/>
    <w:rsid w:val="1BEFC4E3"/>
    <w:rsid w:val="1BF2A2E6"/>
    <w:rsid w:val="1BFC0BEA"/>
    <w:rsid w:val="1C07E079"/>
    <w:rsid w:val="1C0C2DFF"/>
    <w:rsid w:val="1C0F3C06"/>
    <w:rsid w:val="1C0F50BA"/>
    <w:rsid w:val="1C13CC51"/>
    <w:rsid w:val="1C18E4B3"/>
    <w:rsid w:val="1C2203F3"/>
    <w:rsid w:val="1C259DF9"/>
    <w:rsid w:val="1C2B5C54"/>
    <w:rsid w:val="1C2D9041"/>
    <w:rsid w:val="1C34544B"/>
    <w:rsid w:val="1C56C814"/>
    <w:rsid w:val="1C59047E"/>
    <w:rsid w:val="1C684160"/>
    <w:rsid w:val="1C6C8188"/>
    <w:rsid w:val="1C6D008C"/>
    <w:rsid w:val="1C744ADE"/>
    <w:rsid w:val="1C7535E3"/>
    <w:rsid w:val="1C77311D"/>
    <w:rsid w:val="1C7F032D"/>
    <w:rsid w:val="1C83C969"/>
    <w:rsid w:val="1C851E4A"/>
    <w:rsid w:val="1C8A0C36"/>
    <w:rsid w:val="1C8A412B"/>
    <w:rsid w:val="1C8D7A2E"/>
    <w:rsid w:val="1C956A48"/>
    <w:rsid w:val="1C9DDEF6"/>
    <w:rsid w:val="1CA1A1E1"/>
    <w:rsid w:val="1CA795AD"/>
    <w:rsid w:val="1CCC972F"/>
    <w:rsid w:val="1CCF77E4"/>
    <w:rsid w:val="1CCF9403"/>
    <w:rsid w:val="1CD84B23"/>
    <w:rsid w:val="1CE5E839"/>
    <w:rsid w:val="1CE6D55C"/>
    <w:rsid w:val="1CE9778C"/>
    <w:rsid w:val="1CECCC63"/>
    <w:rsid w:val="1CED6B6A"/>
    <w:rsid w:val="1CF6C602"/>
    <w:rsid w:val="1CFB85DB"/>
    <w:rsid w:val="1D01904A"/>
    <w:rsid w:val="1D05AC45"/>
    <w:rsid w:val="1D197D30"/>
    <w:rsid w:val="1D1BF026"/>
    <w:rsid w:val="1D39B25E"/>
    <w:rsid w:val="1D39F4D5"/>
    <w:rsid w:val="1D3A6597"/>
    <w:rsid w:val="1D3ACA8D"/>
    <w:rsid w:val="1D461BFC"/>
    <w:rsid w:val="1D472781"/>
    <w:rsid w:val="1D4F2C04"/>
    <w:rsid w:val="1D5B4837"/>
    <w:rsid w:val="1D619CF8"/>
    <w:rsid w:val="1D62FE6B"/>
    <w:rsid w:val="1D66C3DD"/>
    <w:rsid w:val="1D6AC906"/>
    <w:rsid w:val="1D71F652"/>
    <w:rsid w:val="1D763F4A"/>
    <w:rsid w:val="1D7AB3C5"/>
    <w:rsid w:val="1D7E116B"/>
    <w:rsid w:val="1D809041"/>
    <w:rsid w:val="1D8D8D59"/>
    <w:rsid w:val="1D96179B"/>
    <w:rsid w:val="1D98A995"/>
    <w:rsid w:val="1D99484E"/>
    <w:rsid w:val="1DA4C3D9"/>
    <w:rsid w:val="1DA94442"/>
    <w:rsid w:val="1DB42F58"/>
    <w:rsid w:val="1DBB2D33"/>
    <w:rsid w:val="1DE55EBD"/>
    <w:rsid w:val="1DE610EB"/>
    <w:rsid w:val="1DECB5DB"/>
    <w:rsid w:val="1DF846B1"/>
    <w:rsid w:val="1E03B409"/>
    <w:rsid w:val="1E0706A8"/>
    <w:rsid w:val="1E08C04C"/>
    <w:rsid w:val="1E0A8D12"/>
    <w:rsid w:val="1E0B6B91"/>
    <w:rsid w:val="1E0BA8FD"/>
    <w:rsid w:val="1E10AC50"/>
    <w:rsid w:val="1E1ABCCE"/>
    <w:rsid w:val="1E1ED91B"/>
    <w:rsid w:val="1E237C66"/>
    <w:rsid w:val="1E2D2082"/>
    <w:rsid w:val="1E33C97C"/>
    <w:rsid w:val="1E356E54"/>
    <w:rsid w:val="1E4910F0"/>
    <w:rsid w:val="1E4DADF6"/>
    <w:rsid w:val="1E5D116E"/>
    <w:rsid w:val="1E621993"/>
    <w:rsid w:val="1E629156"/>
    <w:rsid w:val="1E66130A"/>
    <w:rsid w:val="1E665DC2"/>
    <w:rsid w:val="1E714918"/>
    <w:rsid w:val="1E7DABB8"/>
    <w:rsid w:val="1E8162F7"/>
    <w:rsid w:val="1E821827"/>
    <w:rsid w:val="1E8563C5"/>
    <w:rsid w:val="1E8C3AE2"/>
    <w:rsid w:val="1E8EFA12"/>
    <w:rsid w:val="1E93120B"/>
    <w:rsid w:val="1E9DDC4C"/>
    <w:rsid w:val="1E9F9A50"/>
    <w:rsid w:val="1EA66188"/>
    <w:rsid w:val="1EAA9597"/>
    <w:rsid w:val="1EB3C83C"/>
    <w:rsid w:val="1EB50DB5"/>
    <w:rsid w:val="1EBE2A28"/>
    <w:rsid w:val="1EC08342"/>
    <w:rsid w:val="1EC3B7CD"/>
    <w:rsid w:val="1EC52B41"/>
    <w:rsid w:val="1ECC39F7"/>
    <w:rsid w:val="1ED3B92E"/>
    <w:rsid w:val="1ED47C00"/>
    <w:rsid w:val="1ED61627"/>
    <w:rsid w:val="1ED81B68"/>
    <w:rsid w:val="1EE2D7D2"/>
    <w:rsid w:val="1EE9F411"/>
    <w:rsid w:val="1F0988C8"/>
    <w:rsid w:val="1F0B434D"/>
    <w:rsid w:val="1F0B7522"/>
    <w:rsid w:val="1F0DA7F0"/>
    <w:rsid w:val="1F1DFB55"/>
    <w:rsid w:val="1F22BA81"/>
    <w:rsid w:val="1F272C8F"/>
    <w:rsid w:val="1F27B697"/>
    <w:rsid w:val="1F3413C9"/>
    <w:rsid w:val="1F47B32B"/>
    <w:rsid w:val="1F58004B"/>
    <w:rsid w:val="1F5B5511"/>
    <w:rsid w:val="1F622C68"/>
    <w:rsid w:val="1F63BBF8"/>
    <w:rsid w:val="1F72704C"/>
    <w:rsid w:val="1F76A7C2"/>
    <w:rsid w:val="1F79B8EC"/>
    <w:rsid w:val="1F8D54DA"/>
    <w:rsid w:val="1F95C22B"/>
    <w:rsid w:val="1F97DCD2"/>
    <w:rsid w:val="1F9C0266"/>
    <w:rsid w:val="1FA10FE0"/>
    <w:rsid w:val="1FA52E1D"/>
    <w:rsid w:val="1FA9B155"/>
    <w:rsid w:val="1FB0645F"/>
    <w:rsid w:val="1FB8F9D6"/>
    <w:rsid w:val="1FBFD34C"/>
    <w:rsid w:val="1FC3824F"/>
    <w:rsid w:val="1FD25230"/>
    <w:rsid w:val="1FD660EE"/>
    <w:rsid w:val="1FDE7970"/>
    <w:rsid w:val="1FE63D7F"/>
    <w:rsid w:val="1FEE3153"/>
    <w:rsid w:val="1FEF228B"/>
    <w:rsid w:val="1FEFC786"/>
    <w:rsid w:val="1FF52930"/>
    <w:rsid w:val="2012C0D8"/>
    <w:rsid w:val="2018F148"/>
    <w:rsid w:val="201E67AD"/>
    <w:rsid w:val="202015AA"/>
    <w:rsid w:val="202119ED"/>
    <w:rsid w:val="20236DD9"/>
    <w:rsid w:val="2027B2C8"/>
    <w:rsid w:val="20364CBC"/>
    <w:rsid w:val="203794EA"/>
    <w:rsid w:val="203B0033"/>
    <w:rsid w:val="204874DF"/>
    <w:rsid w:val="2048CC92"/>
    <w:rsid w:val="204F3387"/>
    <w:rsid w:val="205AAAFC"/>
    <w:rsid w:val="205C88E1"/>
    <w:rsid w:val="205EED46"/>
    <w:rsid w:val="20606D40"/>
    <w:rsid w:val="20607333"/>
    <w:rsid w:val="20737C41"/>
    <w:rsid w:val="2078E8DF"/>
    <w:rsid w:val="207D0605"/>
    <w:rsid w:val="208282B3"/>
    <w:rsid w:val="20840E8F"/>
    <w:rsid w:val="20850D54"/>
    <w:rsid w:val="2088AD11"/>
    <w:rsid w:val="209681F8"/>
    <w:rsid w:val="2098EA96"/>
    <w:rsid w:val="2099244C"/>
    <w:rsid w:val="209985C7"/>
    <w:rsid w:val="20A246BA"/>
    <w:rsid w:val="20A6FF46"/>
    <w:rsid w:val="20BAE854"/>
    <w:rsid w:val="20C366F2"/>
    <w:rsid w:val="20CB1495"/>
    <w:rsid w:val="20D94F3F"/>
    <w:rsid w:val="20E37431"/>
    <w:rsid w:val="20EBE482"/>
    <w:rsid w:val="20F04647"/>
    <w:rsid w:val="20F2107C"/>
    <w:rsid w:val="20FA1A13"/>
    <w:rsid w:val="20FDB53E"/>
    <w:rsid w:val="2102E99E"/>
    <w:rsid w:val="210C5496"/>
    <w:rsid w:val="2112276B"/>
    <w:rsid w:val="21190782"/>
    <w:rsid w:val="21197461"/>
    <w:rsid w:val="2122009D"/>
    <w:rsid w:val="2123F160"/>
    <w:rsid w:val="21260B03"/>
    <w:rsid w:val="212C0D84"/>
    <w:rsid w:val="212DF4CF"/>
    <w:rsid w:val="2135C29E"/>
    <w:rsid w:val="21375791"/>
    <w:rsid w:val="213B34C9"/>
    <w:rsid w:val="213EBD90"/>
    <w:rsid w:val="21438F33"/>
    <w:rsid w:val="21492823"/>
    <w:rsid w:val="214D0D2A"/>
    <w:rsid w:val="21564C48"/>
    <w:rsid w:val="2167C3D6"/>
    <w:rsid w:val="2167C946"/>
    <w:rsid w:val="21684C9B"/>
    <w:rsid w:val="21855969"/>
    <w:rsid w:val="2187B857"/>
    <w:rsid w:val="219154A1"/>
    <w:rsid w:val="21AB11F9"/>
    <w:rsid w:val="21B0C116"/>
    <w:rsid w:val="21B4B337"/>
    <w:rsid w:val="21B65231"/>
    <w:rsid w:val="21BCF88A"/>
    <w:rsid w:val="21C02E4F"/>
    <w:rsid w:val="21C58687"/>
    <w:rsid w:val="21CE4036"/>
    <w:rsid w:val="21CF5B33"/>
    <w:rsid w:val="21D3C17F"/>
    <w:rsid w:val="21D98DCC"/>
    <w:rsid w:val="21DCAA0C"/>
    <w:rsid w:val="21E21314"/>
    <w:rsid w:val="21E59E06"/>
    <w:rsid w:val="21E87920"/>
    <w:rsid w:val="220076D7"/>
    <w:rsid w:val="220CCEFB"/>
    <w:rsid w:val="2219B51C"/>
    <w:rsid w:val="22288000"/>
    <w:rsid w:val="222A1A97"/>
    <w:rsid w:val="222B6746"/>
    <w:rsid w:val="22342593"/>
    <w:rsid w:val="2236484C"/>
    <w:rsid w:val="2239FABC"/>
    <w:rsid w:val="223B2F11"/>
    <w:rsid w:val="224B6CC5"/>
    <w:rsid w:val="224CC51A"/>
    <w:rsid w:val="225418F6"/>
    <w:rsid w:val="2254D2B5"/>
    <w:rsid w:val="225C7DDA"/>
    <w:rsid w:val="225F59EE"/>
    <w:rsid w:val="226146D5"/>
    <w:rsid w:val="226302A1"/>
    <w:rsid w:val="2267A5DB"/>
    <w:rsid w:val="22692464"/>
    <w:rsid w:val="226C0EFA"/>
    <w:rsid w:val="2278555F"/>
    <w:rsid w:val="22819466"/>
    <w:rsid w:val="2282B35C"/>
    <w:rsid w:val="2282C2D3"/>
    <w:rsid w:val="22856CDB"/>
    <w:rsid w:val="229A064A"/>
    <w:rsid w:val="22A2472A"/>
    <w:rsid w:val="22A99DE3"/>
    <w:rsid w:val="22AD3D25"/>
    <w:rsid w:val="22BFB2C8"/>
    <w:rsid w:val="22BFECE6"/>
    <w:rsid w:val="22C43F7A"/>
    <w:rsid w:val="22CDC271"/>
    <w:rsid w:val="22E3A191"/>
    <w:rsid w:val="22E8F88D"/>
    <w:rsid w:val="22E98B67"/>
    <w:rsid w:val="22E9ECF5"/>
    <w:rsid w:val="22EC231C"/>
    <w:rsid w:val="22FA5EF5"/>
    <w:rsid w:val="22FE7FA8"/>
    <w:rsid w:val="23091AB0"/>
    <w:rsid w:val="230B0A5F"/>
    <w:rsid w:val="2310972C"/>
    <w:rsid w:val="232FE773"/>
    <w:rsid w:val="233015C9"/>
    <w:rsid w:val="2333950D"/>
    <w:rsid w:val="2335CE55"/>
    <w:rsid w:val="233D0998"/>
    <w:rsid w:val="233DAE8C"/>
    <w:rsid w:val="234203AA"/>
    <w:rsid w:val="2344D8F9"/>
    <w:rsid w:val="23450163"/>
    <w:rsid w:val="234636BB"/>
    <w:rsid w:val="234916E7"/>
    <w:rsid w:val="234A5D08"/>
    <w:rsid w:val="234EB8AD"/>
    <w:rsid w:val="235092B6"/>
    <w:rsid w:val="235249C0"/>
    <w:rsid w:val="23548E80"/>
    <w:rsid w:val="23714B09"/>
    <w:rsid w:val="2376912C"/>
    <w:rsid w:val="237E7466"/>
    <w:rsid w:val="237FFED3"/>
    <w:rsid w:val="238906EB"/>
    <w:rsid w:val="238DEAC8"/>
    <w:rsid w:val="23A5D669"/>
    <w:rsid w:val="23A6EE7F"/>
    <w:rsid w:val="23ACE232"/>
    <w:rsid w:val="23ADBA48"/>
    <w:rsid w:val="23B5C14E"/>
    <w:rsid w:val="23C8B660"/>
    <w:rsid w:val="23C9307B"/>
    <w:rsid w:val="23C95930"/>
    <w:rsid w:val="23D69F2C"/>
    <w:rsid w:val="23D6D604"/>
    <w:rsid w:val="23D8EFA6"/>
    <w:rsid w:val="23D94C8E"/>
    <w:rsid w:val="23DC0FCD"/>
    <w:rsid w:val="23DC9B40"/>
    <w:rsid w:val="23FC9766"/>
    <w:rsid w:val="240DC939"/>
    <w:rsid w:val="2413D69D"/>
    <w:rsid w:val="24156B11"/>
    <w:rsid w:val="241695F2"/>
    <w:rsid w:val="2419D767"/>
    <w:rsid w:val="241F553F"/>
    <w:rsid w:val="24218AA8"/>
    <w:rsid w:val="2429359F"/>
    <w:rsid w:val="242A5FEC"/>
    <w:rsid w:val="242D5AE5"/>
    <w:rsid w:val="242E5219"/>
    <w:rsid w:val="243FC0A1"/>
    <w:rsid w:val="24568CCB"/>
    <w:rsid w:val="24639E34"/>
    <w:rsid w:val="2464D659"/>
    <w:rsid w:val="2469E9C6"/>
    <w:rsid w:val="24703C9F"/>
    <w:rsid w:val="247E4EA9"/>
    <w:rsid w:val="2485FC5D"/>
    <w:rsid w:val="248C0BE5"/>
    <w:rsid w:val="2491AABA"/>
    <w:rsid w:val="249A94FE"/>
    <w:rsid w:val="249F7809"/>
    <w:rsid w:val="249FC09E"/>
    <w:rsid w:val="24A112BD"/>
    <w:rsid w:val="24A7215E"/>
    <w:rsid w:val="24AEFBAA"/>
    <w:rsid w:val="24C241DE"/>
    <w:rsid w:val="24C6777C"/>
    <w:rsid w:val="24CAD477"/>
    <w:rsid w:val="24DA69D4"/>
    <w:rsid w:val="24DD737E"/>
    <w:rsid w:val="24DEFEA5"/>
    <w:rsid w:val="24E0F6F6"/>
    <w:rsid w:val="24E54BF4"/>
    <w:rsid w:val="24EB230B"/>
    <w:rsid w:val="24ED2DBA"/>
    <w:rsid w:val="24F4F782"/>
    <w:rsid w:val="25031FFE"/>
    <w:rsid w:val="252165DF"/>
    <w:rsid w:val="2526ADE7"/>
    <w:rsid w:val="252F0893"/>
    <w:rsid w:val="2531F5D4"/>
    <w:rsid w:val="253CB91A"/>
    <w:rsid w:val="253D5B03"/>
    <w:rsid w:val="25427559"/>
    <w:rsid w:val="254F1034"/>
    <w:rsid w:val="25537571"/>
    <w:rsid w:val="2556FCAC"/>
    <w:rsid w:val="25661740"/>
    <w:rsid w:val="256991A4"/>
    <w:rsid w:val="256D078E"/>
    <w:rsid w:val="2579D780"/>
    <w:rsid w:val="257BBDEF"/>
    <w:rsid w:val="257D40B4"/>
    <w:rsid w:val="258045F2"/>
    <w:rsid w:val="2582F677"/>
    <w:rsid w:val="25844983"/>
    <w:rsid w:val="25895151"/>
    <w:rsid w:val="2589AD56"/>
    <w:rsid w:val="25A07E3D"/>
    <w:rsid w:val="25B1BE7F"/>
    <w:rsid w:val="25B3D2B3"/>
    <w:rsid w:val="25BC170D"/>
    <w:rsid w:val="25BDAB3E"/>
    <w:rsid w:val="25BDD554"/>
    <w:rsid w:val="25C2497A"/>
    <w:rsid w:val="25C87478"/>
    <w:rsid w:val="25E0F40C"/>
    <w:rsid w:val="25E51F99"/>
    <w:rsid w:val="25EF5C4E"/>
    <w:rsid w:val="260572AA"/>
    <w:rsid w:val="260B224C"/>
    <w:rsid w:val="260DF1C8"/>
    <w:rsid w:val="26193741"/>
    <w:rsid w:val="261BD911"/>
    <w:rsid w:val="26200B31"/>
    <w:rsid w:val="262F853D"/>
    <w:rsid w:val="2634CE9E"/>
    <w:rsid w:val="26394267"/>
    <w:rsid w:val="263B9447"/>
    <w:rsid w:val="264B5499"/>
    <w:rsid w:val="2652FF12"/>
    <w:rsid w:val="265AE876"/>
    <w:rsid w:val="265B91D3"/>
    <w:rsid w:val="265CCAFA"/>
    <w:rsid w:val="2672F241"/>
    <w:rsid w:val="2673D7B0"/>
    <w:rsid w:val="267FB40C"/>
    <w:rsid w:val="2683551C"/>
    <w:rsid w:val="268E1F49"/>
    <w:rsid w:val="269B1307"/>
    <w:rsid w:val="26A21B73"/>
    <w:rsid w:val="26B010C9"/>
    <w:rsid w:val="26B371EA"/>
    <w:rsid w:val="26BCEC25"/>
    <w:rsid w:val="26BF44C0"/>
    <w:rsid w:val="26C00A7B"/>
    <w:rsid w:val="26C00DB4"/>
    <w:rsid w:val="26C86559"/>
    <w:rsid w:val="26D73D1D"/>
    <w:rsid w:val="26D957C2"/>
    <w:rsid w:val="26DFF9BC"/>
    <w:rsid w:val="26E9A045"/>
    <w:rsid w:val="26EC7AFD"/>
    <w:rsid w:val="26F2C607"/>
    <w:rsid w:val="2702F488"/>
    <w:rsid w:val="270434C0"/>
    <w:rsid w:val="2709347E"/>
    <w:rsid w:val="270CE1BD"/>
    <w:rsid w:val="2716B9D6"/>
    <w:rsid w:val="271E8C2F"/>
    <w:rsid w:val="272BD954"/>
    <w:rsid w:val="27340B1A"/>
    <w:rsid w:val="273ED44C"/>
    <w:rsid w:val="27480AA4"/>
    <w:rsid w:val="2769E54F"/>
    <w:rsid w:val="276E0312"/>
    <w:rsid w:val="277C7511"/>
    <w:rsid w:val="277E9D05"/>
    <w:rsid w:val="27864B1E"/>
    <w:rsid w:val="278D8073"/>
    <w:rsid w:val="278E9944"/>
    <w:rsid w:val="278EE005"/>
    <w:rsid w:val="278F5C81"/>
    <w:rsid w:val="2798803C"/>
    <w:rsid w:val="27A4DD27"/>
    <w:rsid w:val="27A6E67E"/>
    <w:rsid w:val="27AB38E3"/>
    <w:rsid w:val="27B564FF"/>
    <w:rsid w:val="27BAA788"/>
    <w:rsid w:val="27BD9556"/>
    <w:rsid w:val="27C40005"/>
    <w:rsid w:val="27D82753"/>
    <w:rsid w:val="27E736BD"/>
    <w:rsid w:val="27EBF40D"/>
    <w:rsid w:val="27EC2AAA"/>
    <w:rsid w:val="27F2335C"/>
    <w:rsid w:val="28094848"/>
    <w:rsid w:val="2816E5A2"/>
    <w:rsid w:val="28172B1D"/>
    <w:rsid w:val="281A6485"/>
    <w:rsid w:val="2820B265"/>
    <w:rsid w:val="2825D7C4"/>
    <w:rsid w:val="28285267"/>
    <w:rsid w:val="282AE4E3"/>
    <w:rsid w:val="282D2CC7"/>
    <w:rsid w:val="28445516"/>
    <w:rsid w:val="28446198"/>
    <w:rsid w:val="28467B68"/>
    <w:rsid w:val="284789B0"/>
    <w:rsid w:val="284CBB00"/>
    <w:rsid w:val="285261B7"/>
    <w:rsid w:val="28529693"/>
    <w:rsid w:val="28610C98"/>
    <w:rsid w:val="28656819"/>
    <w:rsid w:val="286F0B94"/>
    <w:rsid w:val="2886A38E"/>
    <w:rsid w:val="2895C6F2"/>
    <w:rsid w:val="2895CCDF"/>
    <w:rsid w:val="289B931B"/>
    <w:rsid w:val="289CF245"/>
    <w:rsid w:val="289EFE03"/>
    <w:rsid w:val="28A4A59B"/>
    <w:rsid w:val="28A968C0"/>
    <w:rsid w:val="28B1DC46"/>
    <w:rsid w:val="28B29DF1"/>
    <w:rsid w:val="28B2D39C"/>
    <w:rsid w:val="28BC351B"/>
    <w:rsid w:val="28C409FB"/>
    <w:rsid w:val="28C665E2"/>
    <w:rsid w:val="28CDD865"/>
    <w:rsid w:val="28CFAF45"/>
    <w:rsid w:val="28E1746C"/>
    <w:rsid w:val="28E9D0CB"/>
    <w:rsid w:val="28FA5833"/>
    <w:rsid w:val="28FEB1C7"/>
    <w:rsid w:val="290672A1"/>
    <w:rsid w:val="2923940B"/>
    <w:rsid w:val="2924666D"/>
    <w:rsid w:val="2925555C"/>
    <w:rsid w:val="2937CD8C"/>
    <w:rsid w:val="293EA07D"/>
    <w:rsid w:val="293F099A"/>
    <w:rsid w:val="2942DC05"/>
    <w:rsid w:val="2945C93C"/>
    <w:rsid w:val="294F0517"/>
    <w:rsid w:val="29578472"/>
    <w:rsid w:val="295D88B6"/>
    <w:rsid w:val="296600D8"/>
    <w:rsid w:val="296840B2"/>
    <w:rsid w:val="296E0B0F"/>
    <w:rsid w:val="296E24B5"/>
    <w:rsid w:val="296E3425"/>
    <w:rsid w:val="2971180B"/>
    <w:rsid w:val="2972F6BA"/>
    <w:rsid w:val="2975018C"/>
    <w:rsid w:val="297839BE"/>
    <w:rsid w:val="297FF411"/>
    <w:rsid w:val="29821964"/>
    <w:rsid w:val="2984AF12"/>
    <w:rsid w:val="299292B1"/>
    <w:rsid w:val="2992BEB7"/>
    <w:rsid w:val="29935672"/>
    <w:rsid w:val="29946566"/>
    <w:rsid w:val="299466F1"/>
    <w:rsid w:val="29974BF6"/>
    <w:rsid w:val="299C5A37"/>
    <w:rsid w:val="299C5AD7"/>
    <w:rsid w:val="299D7E03"/>
    <w:rsid w:val="29A63582"/>
    <w:rsid w:val="29A82BD1"/>
    <w:rsid w:val="29B023EC"/>
    <w:rsid w:val="29B8F712"/>
    <w:rsid w:val="29BC6425"/>
    <w:rsid w:val="29C60532"/>
    <w:rsid w:val="29D8D4AD"/>
    <w:rsid w:val="29D9C144"/>
    <w:rsid w:val="29DDABD6"/>
    <w:rsid w:val="29ECFE66"/>
    <w:rsid w:val="29F08A14"/>
    <w:rsid w:val="29F55B20"/>
    <w:rsid w:val="29F95496"/>
    <w:rsid w:val="2A029931"/>
    <w:rsid w:val="2A120385"/>
    <w:rsid w:val="2A1D29D5"/>
    <w:rsid w:val="2A220D42"/>
    <w:rsid w:val="2A26B41A"/>
    <w:rsid w:val="2A27EAD3"/>
    <w:rsid w:val="2A2D9E71"/>
    <w:rsid w:val="2A3314A0"/>
    <w:rsid w:val="2A351500"/>
    <w:rsid w:val="2A39E913"/>
    <w:rsid w:val="2A3CE593"/>
    <w:rsid w:val="2A4B9E12"/>
    <w:rsid w:val="2A509329"/>
    <w:rsid w:val="2A5094AB"/>
    <w:rsid w:val="2A53A065"/>
    <w:rsid w:val="2A565203"/>
    <w:rsid w:val="2A611A28"/>
    <w:rsid w:val="2A63BB1D"/>
    <w:rsid w:val="2A66ED42"/>
    <w:rsid w:val="2A6C4098"/>
    <w:rsid w:val="2A6E3729"/>
    <w:rsid w:val="2A6FF4D0"/>
    <w:rsid w:val="2A79935E"/>
    <w:rsid w:val="2A7AB229"/>
    <w:rsid w:val="2A909AEA"/>
    <w:rsid w:val="2A94C9F7"/>
    <w:rsid w:val="2A95DD0D"/>
    <w:rsid w:val="2AA0E3B1"/>
    <w:rsid w:val="2AA2FF61"/>
    <w:rsid w:val="2AAA0F87"/>
    <w:rsid w:val="2AAABE66"/>
    <w:rsid w:val="2AB341F6"/>
    <w:rsid w:val="2AC34A9F"/>
    <w:rsid w:val="2AC9C36E"/>
    <w:rsid w:val="2ACAAF00"/>
    <w:rsid w:val="2ACEDBC3"/>
    <w:rsid w:val="2AD1F344"/>
    <w:rsid w:val="2AD6A4C7"/>
    <w:rsid w:val="2AEF0CD7"/>
    <w:rsid w:val="2AF873E1"/>
    <w:rsid w:val="2AFE6480"/>
    <w:rsid w:val="2B0C3818"/>
    <w:rsid w:val="2B10B8E6"/>
    <w:rsid w:val="2B1772FC"/>
    <w:rsid w:val="2B1E2A2D"/>
    <w:rsid w:val="2B20CD78"/>
    <w:rsid w:val="2B378D0B"/>
    <w:rsid w:val="2B3E1E03"/>
    <w:rsid w:val="2B4923CA"/>
    <w:rsid w:val="2B49BC8F"/>
    <w:rsid w:val="2B5D0FB4"/>
    <w:rsid w:val="2B69D1AF"/>
    <w:rsid w:val="2B6F4A65"/>
    <w:rsid w:val="2B839DCF"/>
    <w:rsid w:val="2B8571A3"/>
    <w:rsid w:val="2B893406"/>
    <w:rsid w:val="2B8B42A0"/>
    <w:rsid w:val="2B989952"/>
    <w:rsid w:val="2BA00E4D"/>
    <w:rsid w:val="2BAA8A76"/>
    <w:rsid w:val="2BAE592D"/>
    <w:rsid w:val="2BC4162E"/>
    <w:rsid w:val="2BC586EC"/>
    <w:rsid w:val="2BC76224"/>
    <w:rsid w:val="2BD67363"/>
    <w:rsid w:val="2BDBA298"/>
    <w:rsid w:val="2BDE0D1F"/>
    <w:rsid w:val="2BE3B100"/>
    <w:rsid w:val="2BE9A315"/>
    <w:rsid w:val="2BECAD27"/>
    <w:rsid w:val="2BF02E6B"/>
    <w:rsid w:val="2BF89068"/>
    <w:rsid w:val="2BF9C785"/>
    <w:rsid w:val="2C02ED99"/>
    <w:rsid w:val="2C034B4D"/>
    <w:rsid w:val="2C04DE1B"/>
    <w:rsid w:val="2C141663"/>
    <w:rsid w:val="2C1496B5"/>
    <w:rsid w:val="2C15B6D3"/>
    <w:rsid w:val="2C199559"/>
    <w:rsid w:val="2C1A8F73"/>
    <w:rsid w:val="2C1BD68D"/>
    <w:rsid w:val="2C1DEE97"/>
    <w:rsid w:val="2C1EA897"/>
    <w:rsid w:val="2C234496"/>
    <w:rsid w:val="2C2FCB94"/>
    <w:rsid w:val="2C3ADF33"/>
    <w:rsid w:val="2C3C5072"/>
    <w:rsid w:val="2C3FCE39"/>
    <w:rsid w:val="2C429C93"/>
    <w:rsid w:val="2C5013FB"/>
    <w:rsid w:val="2C514277"/>
    <w:rsid w:val="2C55A075"/>
    <w:rsid w:val="2C56EC0A"/>
    <w:rsid w:val="2C5E00EC"/>
    <w:rsid w:val="2C60E2A6"/>
    <w:rsid w:val="2C677FCE"/>
    <w:rsid w:val="2C682D4E"/>
    <w:rsid w:val="2C684CEE"/>
    <w:rsid w:val="2C6CF073"/>
    <w:rsid w:val="2C78434F"/>
    <w:rsid w:val="2C7D939A"/>
    <w:rsid w:val="2C8140ED"/>
    <w:rsid w:val="2C8B3FBC"/>
    <w:rsid w:val="2C99D63E"/>
    <w:rsid w:val="2CA01682"/>
    <w:rsid w:val="2CA0F52E"/>
    <w:rsid w:val="2CA335D7"/>
    <w:rsid w:val="2CAA2765"/>
    <w:rsid w:val="2CB10FCB"/>
    <w:rsid w:val="2CBA1EB5"/>
    <w:rsid w:val="2CBBD071"/>
    <w:rsid w:val="2CC6EF30"/>
    <w:rsid w:val="2CC70A3E"/>
    <w:rsid w:val="2CCA2E6D"/>
    <w:rsid w:val="2CCEE79B"/>
    <w:rsid w:val="2CD50DB6"/>
    <w:rsid w:val="2CD99602"/>
    <w:rsid w:val="2CDEA9C8"/>
    <w:rsid w:val="2CE832B3"/>
    <w:rsid w:val="2CE9A136"/>
    <w:rsid w:val="2CED1A8A"/>
    <w:rsid w:val="2CEF42C8"/>
    <w:rsid w:val="2CF37413"/>
    <w:rsid w:val="2D00F61E"/>
    <w:rsid w:val="2D07E60E"/>
    <w:rsid w:val="2D0E72A1"/>
    <w:rsid w:val="2D102C47"/>
    <w:rsid w:val="2D152406"/>
    <w:rsid w:val="2D1673F2"/>
    <w:rsid w:val="2D175DEA"/>
    <w:rsid w:val="2D182241"/>
    <w:rsid w:val="2D18C1A5"/>
    <w:rsid w:val="2D1952AD"/>
    <w:rsid w:val="2D2AF6A6"/>
    <w:rsid w:val="2D2BCEE1"/>
    <w:rsid w:val="2D2C7840"/>
    <w:rsid w:val="2D354291"/>
    <w:rsid w:val="2D3CBBDC"/>
    <w:rsid w:val="2D3EB61F"/>
    <w:rsid w:val="2D43C83A"/>
    <w:rsid w:val="2D480AB3"/>
    <w:rsid w:val="2D4C9842"/>
    <w:rsid w:val="2D58610D"/>
    <w:rsid w:val="2D67C34B"/>
    <w:rsid w:val="2D6B74D2"/>
    <w:rsid w:val="2D6C4387"/>
    <w:rsid w:val="2D748A14"/>
    <w:rsid w:val="2D7A1E7A"/>
    <w:rsid w:val="2D7ABA17"/>
    <w:rsid w:val="2D7BBCF0"/>
    <w:rsid w:val="2D7E649B"/>
    <w:rsid w:val="2D832510"/>
    <w:rsid w:val="2D840CDC"/>
    <w:rsid w:val="2D8C9FAD"/>
    <w:rsid w:val="2D8F31A1"/>
    <w:rsid w:val="2D9D7927"/>
    <w:rsid w:val="2DA3A633"/>
    <w:rsid w:val="2DA5D1AF"/>
    <w:rsid w:val="2DC38EDE"/>
    <w:rsid w:val="2DC70F9A"/>
    <w:rsid w:val="2DC71C98"/>
    <w:rsid w:val="2DCC2407"/>
    <w:rsid w:val="2DD74C25"/>
    <w:rsid w:val="2DE43B2B"/>
    <w:rsid w:val="2DE80990"/>
    <w:rsid w:val="2DF32149"/>
    <w:rsid w:val="2DF3B9E4"/>
    <w:rsid w:val="2DF3D2DC"/>
    <w:rsid w:val="2DF59AF6"/>
    <w:rsid w:val="2E00413A"/>
    <w:rsid w:val="2E03BC86"/>
    <w:rsid w:val="2E05F172"/>
    <w:rsid w:val="2E060088"/>
    <w:rsid w:val="2E098F56"/>
    <w:rsid w:val="2E0E68F9"/>
    <w:rsid w:val="2E0EA2FD"/>
    <w:rsid w:val="2E0EC821"/>
    <w:rsid w:val="2E19730F"/>
    <w:rsid w:val="2E1E588A"/>
    <w:rsid w:val="2E2AD739"/>
    <w:rsid w:val="2E2DF1CE"/>
    <w:rsid w:val="2E402BBD"/>
    <w:rsid w:val="2E414803"/>
    <w:rsid w:val="2E58A4B2"/>
    <w:rsid w:val="2E59AA23"/>
    <w:rsid w:val="2E635D50"/>
    <w:rsid w:val="2E698533"/>
    <w:rsid w:val="2E6E8C33"/>
    <w:rsid w:val="2E7E41D1"/>
    <w:rsid w:val="2E90A2C9"/>
    <w:rsid w:val="2E92818A"/>
    <w:rsid w:val="2EA2D0C2"/>
    <w:rsid w:val="2EA63D3D"/>
    <w:rsid w:val="2EAB5A07"/>
    <w:rsid w:val="2EB76F64"/>
    <w:rsid w:val="2EB8FAEA"/>
    <w:rsid w:val="2EBA75E8"/>
    <w:rsid w:val="2EBCB2DC"/>
    <w:rsid w:val="2EBCEDAF"/>
    <w:rsid w:val="2EC6355B"/>
    <w:rsid w:val="2ECBC713"/>
    <w:rsid w:val="2ED4BFEC"/>
    <w:rsid w:val="2EDAF7CD"/>
    <w:rsid w:val="2EE09DE5"/>
    <w:rsid w:val="2EE27E76"/>
    <w:rsid w:val="2EEB36EE"/>
    <w:rsid w:val="2EF11397"/>
    <w:rsid w:val="2EF3C5DC"/>
    <w:rsid w:val="2EF5ABA0"/>
    <w:rsid w:val="2EFA4B62"/>
    <w:rsid w:val="2EFDF343"/>
    <w:rsid w:val="2F026CCF"/>
    <w:rsid w:val="2F07808D"/>
    <w:rsid w:val="2F08F20C"/>
    <w:rsid w:val="2F144B13"/>
    <w:rsid w:val="2F14BD1C"/>
    <w:rsid w:val="2F14D1D6"/>
    <w:rsid w:val="2F159D27"/>
    <w:rsid w:val="2F1E63F8"/>
    <w:rsid w:val="2F1F5569"/>
    <w:rsid w:val="2F20446C"/>
    <w:rsid w:val="2F218267"/>
    <w:rsid w:val="2F296797"/>
    <w:rsid w:val="2F29E7C4"/>
    <w:rsid w:val="2F2F0EFA"/>
    <w:rsid w:val="2F313D4F"/>
    <w:rsid w:val="2F33FB99"/>
    <w:rsid w:val="2F372534"/>
    <w:rsid w:val="2F37AEB4"/>
    <w:rsid w:val="2F4B6339"/>
    <w:rsid w:val="2F4F1717"/>
    <w:rsid w:val="2F4F62D5"/>
    <w:rsid w:val="2F5C4D0F"/>
    <w:rsid w:val="2F6D5C35"/>
    <w:rsid w:val="2F6D7C99"/>
    <w:rsid w:val="2F6DA5F1"/>
    <w:rsid w:val="2F79D2E3"/>
    <w:rsid w:val="2F83EF91"/>
    <w:rsid w:val="2F9BE6E0"/>
    <w:rsid w:val="2F9D3CAC"/>
    <w:rsid w:val="2F9D4617"/>
    <w:rsid w:val="2F9D5B33"/>
    <w:rsid w:val="2FA05A37"/>
    <w:rsid w:val="2FA40933"/>
    <w:rsid w:val="2FA59FFA"/>
    <w:rsid w:val="2FA8F90A"/>
    <w:rsid w:val="2FAD7591"/>
    <w:rsid w:val="2FAE1C4C"/>
    <w:rsid w:val="2FB33B66"/>
    <w:rsid w:val="2FCB2971"/>
    <w:rsid w:val="2FDF1AF9"/>
    <w:rsid w:val="2FE6AEDD"/>
    <w:rsid w:val="2FF0ED16"/>
    <w:rsid w:val="2FF7857D"/>
    <w:rsid w:val="2FFED5C9"/>
    <w:rsid w:val="301C637A"/>
    <w:rsid w:val="303160AB"/>
    <w:rsid w:val="303165A9"/>
    <w:rsid w:val="3032B2BA"/>
    <w:rsid w:val="30362B8A"/>
    <w:rsid w:val="3049B820"/>
    <w:rsid w:val="304B17A1"/>
    <w:rsid w:val="30556909"/>
    <w:rsid w:val="305F43BB"/>
    <w:rsid w:val="30610394"/>
    <w:rsid w:val="3063C9B8"/>
    <w:rsid w:val="30644564"/>
    <w:rsid w:val="3064E73E"/>
    <w:rsid w:val="30751A0B"/>
    <w:rsid w:val="30787562"/>
    <w:rsid w:val="308713A4"/>
    <w:rsid w:val="30914085"/>
    <w:rsid w:val="3095BBAF"/>
    <w:rsid w:val="3097E396"/>
    <w:rsid w:val="3098F3A7"/>
    <w:rsid w:val="309FC3F5"/>
    <w:rsid w:val="30A17953"/>
    <w:rsid w:val="30A1F7E2"/>
    <w:rsid w:val="30A8372C"/>
    <w:rsid w:val="30B17EB1"/>
    <w:rsid w:val="30B18793"/>
    <w:rsid w:val="30B57B15"/>
    <w:rsid w:val="30B653F3"/>
    <w:rsid w:val="30C65B2D"/>
    <w:rsid w:val="30C89AA8"/>
    <w:rsid w:val="30CB52A1"/>
    <w:rsid w:val="30D3DFAC"/>
    <w:rsid w:val="30DE0293"/>
    <w:rsid w:val="30E2D4C6"/>
    <w:rsid w:val="30F154B1"/>
    <w:rsid w:val="30F410E2"/>
    <w:rsid w:val="310351C4"/>
    <w:rsid w:val="3106080D"/>
    <w:rsid w:val="31116484"/>
    <w:rsid w:val="311E384F"/>
    <w:rsid w:val="311F4D10"/>
    <w:rsid w:val="3120E983"/>
    <w:rsid w:val="312813A4"/>
    <w:rsid w:val="3134BDAC"/>
    <w:rsid w:val="313D0A95"/>
    <w:rsid w:val="3141BA74"/>
    <w:rsid w:val="314582F9"/>
    <w:rsid w:val="314DA0C7"/>
    <w:rsid w:val="31570675"/>
    <w:rsid w:val="3160C3D1"/>
    <w:rsid w:val="3167D75E"/>
    <w:rsid w:val="316A3C25"/>
    <w:rsid w:val="3172A049"/>
    <w:rsid w:val="317A4673"/>
    <w:rsid w:val="3180BFA2"/>
    <w:rsid w:val="318157C2"/>
    <w:rsid w:val="31828F50"/>
    <w:rsid w:val="318518B7"/>
    <w:rsid w:val="318971A6"/>
    <w:rsid w:val="31995DC1"/>
    <w:rsid w:val="319D8341"/>
    <w:rsid w:val="319FFC97"/>
    <w:rsid w:val="31AD8CC4"/>
    <w:rsid w:val="31AF6260"/>
    <w:rsid w:val="31BC839B"/>
    <w:rsid w:val="31C34E96"/>
    <w:rsid w:val="31C3D3C9"/>
    <w:rsid w:val="31C8EF58"/>
    <w:rsid w:val="31D1EB51"/>
    <w:rsid w:val="31D4B1F4"/>
    <w:rsid w:val="31D9525A"/>
    <w:rsid w:val="31DA2BCA"/>
    <w:rsid w:val="31E170FC"/>
    <w:rsid w:val="31E3985E"/>
    <w:rsid w:val="31E68C70"/>
    <w:rsid w:val="31EFD997"/>
    <w:rsid w:val="31F10040"/>
    <w:rsid w:val="31F16493"/>
    <w:rsid w:val="31F23C6A"/>
    <w:rsid w:val="3203508E"/>
    <w:rsid w:val="32053AAF"/>
    <w:rsid w:val="32058778"/>
    <w:rsid w:val="32123F15"/>
    <w:rsid w:val="32134180"/>
    <w:rsid w:val="3218378B"/>
    <w:rsid w:val="3220E719"/>
    <w:rsid w:val="3221CD47"/>
    <w:rsid w:val="322242EE"/>
    <w:rsid w:val="3222B3AC"/>
    <w:rsid w:val="32252CBA"/>
    <w:rsid w:val="322543CA"/>
    <w:rsid w:val="32260180"/>
    <w:rsid w:val="3226910C"/>
    <w:rsid w:val="322C53A5"/>
    <w:rsid w:val="3237CA33"/>
    <w:rsid w:val="3239F28B"/>
    <w:rsid w:val="323DB7F0"/>
    <w:rsid w:val="3244FD9A"/>
    <w:rsid w:val="325359AB"/>
    <w:rsid w:val="325F8835"/>
    <w:rsid w:val="3266A15D"/>
    <w:rsid w:val="327231BC"/>
    <w:rsid w:val="32738CC5"/>
    <w:rsid w:val="32758946"/>
    <w:rsid w:val="32771E02"/>
    <w:rsid w:val="32829475"/>
    <w:rsid w:val="3283A586"/>
    <w:rsid w:val="3286074A"/>
    <w:rsid w:val="328FD075"/>
    <w:rsid w:val="32A83833"/>
    <w:rsid w:val="32A94BBF"/>
    <w:rsid w:val="32AE0936"/>
    <w:rsid w:val="32B37ABF"/>
    <w:rsid w:val="32C06EEE"/>
    <w:rsid w:val="32E3EA07"/>
    <w:rsid w:val="32E4CA75"/>
    <w:rsid w:val="32E58E28"/>
    <w:rsid w:val="32E68149"/>
    <w:rsid w:val="32EA9CDC"/>
    <w:rsid w:val="32EBEACA"/>
    <w:rsid w:val="32F50F67"/>
    <w:rsid w:val="32FF33C7"/>
    <w:rsid w:val="333286AC"/>
    <w:rsid w:val="333C8B31"/>
    <w:rsid w:val="334320B6"/>
    <w:rsid w:val="3347C3D3"/>
    <w:rsid w:val="334D6743"/>
    <w:rsid w:val="33552CE4"/>
    <w:rsid w:val="335531EE"/>
    <w:rsid w:val="3355602C"/>
    <w:rsid w:val="3355EF70"/>
    <w:rsid w:val="3356E135"/>
    <w:rsid w:val="335736CC"/>
    <w:rsid w:val="335F7040"/>
    <w:rsid w:val="33687757"/>
    <w:rsid w:val="33699889"/>
    <w:rsid w:val="336BC922"/>
    <w:rsid w:val="336FA097"/>
    <w:rsid w:val="33762439"/>
    <w:rsid w:val="337B7E24"/>
    <w:rsid w:val="337F2E6F"/>
    <w:rsid w:val="339751F7"/>
    <w:rsid w:val="3397DB4B"/>
    <w:rsid w:val="339FF3EB"/>
    <w:rsid w:val="33A7A985"/>
    <w:rsid w:val="33B9282F"/>
    <w:rsid w:val="33BC30D8"/>
    <w:rsid w:val="33BE0C24"/>
    <w:rsid w:val="33C28426"/>
    <w:rsid w:val="33C287EE"/>
    <w:rsid w:val="33C8B9B1"/>
    <w:rsid w:val="33CA6168"/>
    <w:rsid w:val="33CC01C8"/>
    <w:rsid w:val="33CCE996"/>
    <w:rsid w:val="33CF6975"/>
    <w:rsid w:val="33D2A31B"/>
    <w:rsid w:val="33D61DF4"/>
    <w:rsid w:val="33E3F8C5"/>
    <w:rsid w:val="33E517E3"/>
    <w:rsid w:val="33E5667B"/>
    <w:rsid w:val="33EBA790"/>
    <w:rsid w:val="33F0F121"/>
    <w:rsid w:val="33F7D44A"/>
    <w:rsid w:val="3406092E"/>
    <w:rsid w:val="340B57EB"/>
    <w:rsid w:val="3411B46D"/>
    <w:rsid w:val="341417F7"/>
    <w:rsid w:val="34176AB5"/>
    <w:rsid w:val="341ABA87"/>
    <w:rsid w:val="341CDDAA"/>
    <w:rsid w:val="3425D77D"/>
    <w:rsid w:val="34320BBA"/>
    <w:rsid w:val="34397126"/>
    <w:rsid w:val="343FA030"/>
    <w:rsid w:val="3444E781"/>
    <w:rsid w:val="3446DE28"/>
    <w:rsid w:val="344CF814"/>
    <w:rsid w:val="345902A1"/>
    <w:rsid w:val="345FB1AA"/>
    <w:rsid w:val="34618E06"/>
    <w:rsid w:val="346974A2"/>
    <w:rsid w:val="34830C0D"/>
    <w:rsid w:val="34844C17"/>
    <w:rsid w:val="348761AA"/>
    <w:rsid w:val="3489A9F8"/>
    <w:rsid w:val="348A17E7"/>
    <w:rsid w:val="348C2F18"/>
    <w:rsid w:val="3495FF70"/>
    <w:rsid w:val="349DE46A"/>
    <w:rsid w:val="34A382F4"/>
    <w:rsid w:val="34ABABAD"/>
    <w:rsid w:val="34ACE2FB"/>
    <w:rsid w:val="34B8A4E0"/>
    <w:rsid w:val="34C30221"/>
    <w:rsid w:val="34C6371B"/>
    <w:rsid w:val="34C96F20"/>
    <w:rsid w:val="34D3ACBC"/>
    <w:rsid w:val="34D7B4A0"/>
    <w:rsid w:val="34DCFF74"/>
    <w:rsid w:val="34EABF85"/>
    <w:rsid w:val="34EC78DE"/>
    <w:rsid w:val="34EEE5E7"/>
    <w:rsid w:val="34F8BEEF"/>
    <w:rsid w:val="34F91023"/>
    <w:rsid w:val="351F707E"/>
    <w:rsid w:val="352B35DE"/>
    <w:rsid w:val="352EEFF8"/>
    <w:rsid w:val="3530A8ED"/>
    <w:rsid w:val="3533897C"/>
    <w:rsid w:val="353F891F"/>
    <w:rsid w:val="35405693"/>
    <w:rsid w:val="354D60A1"/>
    <w:rsid w:val="35526DE1"/>
    <w:rsid w:val="35591CE4"/>
    <w:rsid w:val="355B5497"/>
    <w:rsid w:val="3563A8EC"/>
    <w:rsid w:val="3570599E"/>
    <w:rsid w:val="35724A87"/>
    <w:rsid w:val="358AD990"/>
    <w:rsid w:val="3590D0AB"/>
    <w:rsid w:val="3593F04E"/>
    <w:rsid w:val="359A95BF"/>
    <w:rsid w:val="35AA7148"/>
    <w:rsid w:val="35B9E7DA"/>
    <w:rsid w:val="35C0BD8F"/>
    <w:rsid w:val="35CDE8A5"/>
    <w:rsid w:val="35D5F115"/>
    <w:rsid w:val="35DE108E"/>
    <w:rsid w:val="35E16729"/>
    <w:rsid w:val="35E85CCC"/>
    <w:rsid w:val="35FAF158"/>
    <w:rsid w:val="35FC803E"/>
    <w:rsid w:val="35FE1E6E"/>
    <w:rsid w:val="3600740E"/>
    <w:rsid w:val="36095DC4"/>
    <w:rsid w:val="36096DDA"/>
    <w:rsid w:val="360BDCE4"/>
    <w:rsid w:val="361C7EBF"/>
    <w:rsid w:val="362796D7"/>
    <w:rsid w:val="362DF274"/>
    <w:rsid w:val="3630D9E6"/>
    <w:rsid w:val="36317FCD"/>
    <w:rsid w:val="3637A4FC"/>
    <w:rsid w:val="363A8834"/>
    <w:rsid w:val="363B39A3"/>
    <w:rsid w:val="363BDBDE"/>
    <w:rsid w:val="363CA447"/>
    <w:rsid w:val="364B4521"/>
    <w:rsid w:val="364C9213"/>
    <w:rsid w:val="364D98D2"/>
    <w:rsid w:val="364DF534"/>
    <w:rsid w:val="365EB13C"/>
    <w:rsid w:val="36665EB4"/>
    <w:rsid w:val="366F4A7C"/>
    <w:rsid w:val="366FDC69"/>
    <w:rsid w:val="3674DDC5"/>
    <w:rsid w:val="36792B8E"/>
    <w:rsid w:val="367A97B6"/>
    <w:rsid w:val="367E3B5D"/>
    <w:rsid w:val="3681FFDE"/>
    <w:rsid w:val="3699133F"/>
    <w:rsid w:val="369BB92B"/>
    <w:rsid w:val="36A119C4"/>
    <w:rsid w:val="36A17485"/>
    <w:rsid w:val="36A2D08F"/>
    <w:rsid w:val="36A9F6E7"/>
    <w:rsid w:val="36AB2D6A"/>
    <w:rsid w:val="36B76A7B"/>
    <w:rsid w:val="36C043E3"/>
    <w:rsid w:val="36C8418D"/>
    <w:rsid w:val="36CC0CC3"/>
    <w:rsid w:val="36CC52D5"/>
    <w:rsid w:val="36D6BF5A"/>
    <w:rsid w:val="36DA072A"/>
    <w:rsid w:val="36DE92D7"/>
    <w:rsid w:val="36ECF692"/>
    <w:rsid w:val="36EEF29B"/>
    <w:rsid w:val="36F7B0CF"/>
    <w:rsid w:val="36FCEC6F"/>
    <w:rsid w:val="370567AC"/>
    <w:rsid w:val="3707FEE7"/>
    <w:rsid w:val="370FFBC8"/>
    <w:rsid w:val="3713D214"/>
    <w:rsid w:val="3717422B"/>
    <w:rsid w:val="371D2DEA"/>
    <w:rsid w:val="371E2574"/>
    <w:rsid w:val="37230AB1"/>
    <w:rsid w:val="37231FBD"/>
    <w:rsid w:val="37235452"/>
    <w:rsid w:val="372604D9"/>
    <w:rsid w:val="373CBC05"/>
    <w:rsid w:val="373D0C15"/>
    <w:rsid w:val="373F3726"/>
    <w:rsid w:val="37478E3C"/>
    <w:rsid w:val="374864D0"/>
    <w:rsid w:val="374BA0E1"/>
    <w:rsid w:val="374DAC79"/>
    <w:rsid w:val="375BB6B8"/>
    <w:rsid w:val="375C155A"/>
    <w:rsid w:val="376AA618"/>
    <w:rsid w:val="376BF456"/>
    <w:rsid w:val="376D3BF1"/>
    <w:rsid w:val="376EB421"/>
    <w:rsid w:val="377DC720"/>
    <w:rsid w:val="3789E3BB"/>
    <w:rsid w:val="3791C720"/>
    <w:rsid w:val="3797D358"/>
    <w:rsid w:val="37A0052D"/>
    <w:rsid w:val="37AE0B0E"/>
    <w:rsid w:val="37B83135"/>
    <w:rsid w:val="37B8ED0F"/>
    <w:rsid w:val="37B944C6"/>
    <w:rsid w:val="37BA11F0"/>
    <w:rsid w:val="37BB715C"/>
    <w:rsid w:val="37BD77A7"/>
    <w:rsid w:val="37C79630"/>
    <w:rsid w:val="37C9CE57"/>
    <w:rsid w:val="37CE938D"/>
    <w:rsid w:val="37D5D3E5"/>
    <w:rsid w:val="37DA414C"/>
    <w:rsid w:val="37F09B24"/>
    <w:rsid w:val="37F37B34"/>
    <w:rsid w:val="38075BE5"/>
    <w:rsid w:val="38094415"/>
    <w:rsid w:val="380A7970"/>
    <w:rsid w:val="380EFC13"/>
    <w:rsid w:val="3818513D"/>
    <w:rsid w:val="381CA6E2"/>
    <w:rsid w:val="38238D01"/>
    <w:rsid w:val="3824F8D5"/>
    <w:rsid w:val="3827659B"/>
    <w:rsid w:val="3829AC5E"/>
    <w:rsid w:val="38315F3F"/>
    <w:rsid w:val="383C7342"/>
    <w:rsid w:val="384133DE"/>
    <w:rsid w:val="3864F351"/>
    <w:rsid w:val="38677C92"/>
    <w:rsid w:val="38727183"/>
    <w:rsid w:val="387ACF64"/>
    <w:rsid w:val="3887797C"/>
    <w:rsid w:val="38888EC9"/>
    <w:rsid w:val="388AC30F"/>
    <w:rsid w:val="3893F521"/>
    <w:rsid w:val="3899325D"/>
    <w:rsid w:val="389BAD4B"/>
    <w:rsid w:val="389D75BA"/>
    <w:rsid w:val="38A3D848"/>
    <w:rsid w:val="38AC21A6"/>
    <w:rsid w:val="38AE25AD"/>
    <w:rsid w:val="38B0E331"/>
    <w:rsid w:val="38BE681B"/>
    <w:rsid w:val="38C5C2A2"/>
    <w:rsid w:val="38C5C86A"/>
    <w:rsid w:val="38D148EA"/>
    <w:rsid w:val="38D273A4"/>
    <w:rsid w:val="38D693EA"/>
    <w:rsid w:val="38D8C6DF"/>
    <w:rsid w:val="38DAB685"/>
    <w:rsid w:val="38F1C28A"/>
    <w:rsid w:val="38F2C898"/>
    <w:rsid w:val="38F6C746"/>
    <w:rsid w:val="38F6F399"/>
    <w:rsid w:val="38FED17F"/>
    <w:rsid w:val="39037A74"/>
    <w:rsid w:val="39044346"/>
    <w:rsid w:val="390628D1"/>
    <w:rsid w:val="3914B933"/>
    <w:rsid w:val="39187548"/>
    <w:rsid w:val="391DD0B1"/>
    <w:rsid w:val="3929EFAB"/>
    <w:rsid w:val="392D7823"/>
    <w:rsid w:val="392EE011"/>
    <w:rsid w:val="39305697"/>
    <w:rsid w:val="3939AEBD"/>
    <w:rsid w:val="39666C6C"/>
    <w:rsid w:val="39723382"/>
    <w:rsid w:val="3974BA0C"/>
    <w:rsid w:val="39751908"/>
    <w:rsid w:val="3978155D"/>
    <w:rsid w:val="3988854E"/>
    <w:rsid w:val="39888C50"/>
    <w:rsid w:val="39912BBF"/>
    <w:rsid w:val="39978D41"/>
    <w:rsid w:val="399B6703"/>
    <w:rsid w:val="399D8836"/>
    <w:rsid w:val="39A329A2"/>
    <w:rsid w:val="39AAE617"/>
    <w:rsid w:val="39ADABA8"/>
    <w:rsid w:val="39B02FC6"/>
    <w:rsid w:val="39B5DA93"/>
    <w:rsid w:val="39B86F61"/>
    <w:rsid w:val="39C14483"/>
    <w:rsid w:val="39C68535"/>
    <w:rsid w:val="39C81A04"/>
    <w:rsid w:val="39C87AFA"/>
    <w:rsid w:val="39C93825"/>
    <w:rsid w:val="39DCB84F"/>
    <w:rsid w:val="39E4D555"/>
    <w:rsid w:val="39EB3FBA"/>
    <w:rsid w:val="39EB4199"/>
    <w:rsid w:val="39EB4F05"/>
    <w:rsid w:val="39EBAE23"/>
    <w:rsid w:val="3A009534"/>
    <w:rsid w:val="3A089623"/>
    <w:rsid w:val="3A0B9CE0"/>
    <w:rsid w:val="3A0DAFCB"/>
    <w:rsid w:val="3A1178C4"/>
    <w:rsid w:val="3A122A39"/>
    <w:rsid w:val="3A1AFCE7"/>
    <w:rsid w:val="3A20B692"/>
    <w:rsid w:val="3A2E038C"/>
    <w:rsid w:val="3A2F7CB3"/>
    <w:rsid w:val="3A4581D2"/>
    <w:rsid w:val="3A46EDCA"/>
    <w:rsid w:val="3A4A4532"/>
    <w:rsid w:val="3A558476"/>
    <w:rsid w:val="3A55D635"/>
    <w:rsid w:val="3A5DBCE2"/>
    <w:rsid w:val="3A640BD3"/>
    <w:rsid w:val="3A653694"/>
    <w:rsid w:val="3A803394"/>
    <w:rsid w:val="3A8DB1F5"/>
    <w:rsid w:val="3A8FFD5B"/>
    <w:rsid w:val="3A90AAFB"/>
    <w:rsid w:val="3A928C0D"/>
    <w:rsid w:val="3A954447"/>
    <w:rsid w:val="3A9911F6"/>
    <w:rsid w:val="3A9A3F6E"/>
    <w:rsid w:val="3A9C1D2D"/>
    <w:rsid w:val="3A9F8C8A"/>
    <w:rsid w:val="3AAE07E1"/>
    <w:rsid w:val="3AAEE4AC"/>
    <w:rsid w:val="3AB4CD06"/>
    <w:rsid w:val="3AB76C42"/>
    <w:rsid w:val="3ABC8F03"/>
    <w:rsid w:val="3ABF88A8"/>
    <w:rsid w:val="3AC11BCA"/>
    <w:rsid w:val="3AC2D394"/>
    <w:rsid w:val="3AD93DB6"/>
    <w:rsid w:val="3ADA9D3A"/>
    <w:rsid w:val="3ADEE25C"/>
    <w:rsid w:val="3ADF8D30"/>
    <w:rsid w:val="3AEE4289"/>
    <w:rsid w:val="3AF35A44"/>
    <w:rsid w:val="3AFABEB4"/>
    <w:rsid w:val="3AFFDD54"/>
    <w:rsid w:val="3B001C10"/>
    <w:rsid w:val="3B0EA03A"/>
    <w:rsid w:val="3B13559C"/>
    <w:rsid w:val="3B16C509"/>
    <w:rsid w:val="3B183551"/>
    <w:rsid w:val="3B18DFA3"/>
    <w:rsid w:val="3B1B266B"/>
    <w:rsid w:val="3B1B4CE8"/>
    <w:rsid w:val="3B2366FA"/>
    <w:rsid w:val="3B2E04F0"/>
    <w:rsid w:val="3B2E63DF"/>
    <w:rsid w:val="3B2F21C2"/>
    <w:rsid w:val="3B39EDD1"/>
    <w:rsid w:val="3B3AF1B8"/>
    <w:rsid w:val="3B410775"/>
    <w:rsid w:val="3B45559E"/>
    <w:rsid w:val="3B4E35FF"/>
    <w:rsid w:val="3B530684"/>
    <w:rsid w:val="3B56A8E3"/>
    <w:rsid w:val="3B6453CD"/>
    <w:rsid w:val="3B700C41"/>
    <w:rsid w:val="3B7AA6DC"/>
    <w:rsid w:val="3B82DA8F"/>
    <w:rsid w:val="3B9B0633"/>
    <w:rsid w:val="3BA1D01D"/>
    <w:rsid w:val="3BAA5057"/>
    <w:rsid w:val="3BAF3D20"/>
    <w:rsid w:val="3BBE6C02"/>
    <w:rsid w:val="3BC4F18C"/>
    <w:rsid w:val="3BC52F21"/>
    <w:rsid w:val="3BC5EB7F"/>
    <w:rsid w:val="3BC86E89"/>
    <w:rsid w:val="3BD23571"/>
    <w:rsid w:val="3BD830EF"/>
    <w:rsid w:val="3BD8AECF"/>
    <w:rsid w:val="3BDA78A5"/>
    <w:rsid w:val="3BEDA3F0"/>
    <w:rsid w:val="3C042C7A"/>
    <w:rsid w:val="3C0C6C10"/>
    <w:rsid w:val="3C0F13B9"/>
    <w:rsid w:val="3C1C99A6"/>
    <w:rsid w:val="3C1FA404"/>
    <w:rsid w:val="3C2A27F5"/>
    <w:rsid w:val="3C3CCEFF"/>
    <w:rsid w:val="3C3F500F"/>
    <w:rsid w:val="3C407A59"/>
    <w:rsid w:val="3C4FC5EB"/>
    <w:rsid w:val="3C518514"/>
    <w:rsid w:val="3C60AEA8"/>
    <w:rsid w:val="3C68AC5A"/>
    <w:rsid w:val="3C6BA8DF"/>
    <w:rsid w:val="3C6BB8CC"/>
    <w:rsid w:val="3C80D55A"/>
    <w:rsid w:val="3C84FF40"/>
    <w:rsid w:val="3C91D4D5"/>
    <w:rsid w:val="3C9302FE"/>
    <w:rsid w:val="3C971907"/>
    <w:rsid w:val="3C9C71C1"/>
    <w:rsid w:val="3CA5E345"/>
    <w:rsid w:val="3CA67500"/>
    <w:rsid w:val="3CA7E952"/>
    <w:rsid w:val="3CB1FE2C"/>
    <w:rsid w:val="3CB515E1"/>
    <w:rsid w:val="3CB745D2"/>
    <w:rsid w:val="3CBB7BF7"/>
    <w:rsid w:val="3CC1EA25"/>
    <w:rsid w:val="3CC616CD"/>
    <w:rsid w:val="3CC75773"/>
    <w:rsid w:val="3CC77405"/>
    <w:rsid w:val="3CCE64F6"/>
    <w:rsid w:val="3CD6FFF8"/>
    <w:rsid w:val="3CD752A3"/>
    <w:rsid w:val="3CE26E56"/>
    <w:rsid w:val="3CE56283"/>
    <w:rsid w:val="3CEB75A7"/>
    <w:rsid w:val="3CF0EE98"/>
    <w:rsid w:val="3CF85473"/>
    <w:rsid w:val="3CF85860"/>
    <w:rsid w:val="3D050E58"/>
    <w:rsid w:val="3D0DEACE"/>
    <w:rsid w:val="3D137A12"/>
    <w:rsid w:val="3D166AAD"/>
    <w:rsid w:val="3D179A63"/>
    <w:rsid w:val="3D1F1B91"/>
    <w:rsid w:val="3D22ABF9"/>
    <w:rsid w:val="3D243BB5"/>
    <w:rsid w:val="3D342996"/>
    <w:rsid w:val="3D3AE588"/>
    <w:rsid w:val="3D410E0E"/>
    <w:rsid w:val="3D4818FF"/>
    <w:rsid w:val="3D517DF0"/>
    <w:rsid w:val="3D6CD0F7"/>
    <w:rsid w:val="3D6E899A"/>
    <w:rsid w:val="3D6E9F53"/>
    <w:rsid w:val="3D6F12DE"/>
    <w:rsid w:val="3D725E53"/>
    <w:rsid w:val="3D74AE01"/>
    <w:rsid w:val="3D7A26B0"/>
    <w:rsid w:val="3D95DE8B"/>
    <w:rsid w:val="3D98795B"/>
    <w:rsid w:val="3DB15553"/>
    <w:rsid w:val="3DB6F852"/>
    <w:rsid w:val="3DB837F1"/>
    <w:rsid w:val="3DBC8CE2"/>
    <w:rsid w:val="3DBD87C5"/>
    <w:rsid w:val="3DC57F4D"/>
    <w:rsid w:val="3DCD90EF"/>
    <w:rsid w:val="3DD0557D"/>
    <w:rsid w:val="3DD1B8C6"/>
    <w:rsid w:val="3DD85580"/>
    <w:rsid w:val="3DDA669D"/>
    <w:rsid w:val="3DE455E1"/>
    <w:rsid w:val="3DE823E5"/>
    <w:rsid w:val="3DFD33F6"/>
    <w:rsid w:val="3E00B693"/>
    <w:rsid w:val="3E00EAFB"/>
    <w:rsid w:val="3E04A574"/>
    <w:rsid w:val="3E1AF446"/>
    <w:rsid w:val="3E1ED6B0"/>
    <w:rsid w:val="3E376760"/>
    <w:rsid w:val="3E37CFBD"/>
    <w:rsid w:val="3E3F4BC2"/>
    <w:rsid w:val="3E420894"/>
    <w:rsid w:val="3E466FF4"/>
    <w:rsid w:val="3E4EAFD1"/>
    <w:rsid w:val="3E51B1E6"/>
    <w:rsid w:val="3E57992F"/>
    <w:rsid w:val="3E6007BE"/>
    <w:rsid w:val="3E620A89"/>
    <w:rsid w:val="3E62FB3E"/>
    <w:rsid w:val="3E65D33A"/>
    <w:rsid w:val="3E6A0F0B"/>
    <w:rsid w:val="3E6D448A"/>
    <w:rsid w:val="3E73B1B5"/>
    <w:rsid w:val="3E7F448C"/>
    <w:rsid w:val="3E80B466"/>
    <w:rsid w:val="3E86BF8F"/>
    <w:rsid w:val="3E944BA8"/>
    <w:rsid w:val="3E95CD66"/>
    <w:rsid w:val="3E9D02E5"/>
    <w:rsid w:val="3EB92EC1"/>
    <w:rsid w:val="3EBE1944"/>
    <w:rsid w:val="3ECB9DB1"/>
    <w:rsid w:val="3ED34707"/>
    <w:rsid w:val="3ED9ABAD"/>
    <w:rsid w:val="3EDA542A"/>
    <w:rsid w:val="3EE1CA45"/>
    <w:rsid w:val="3EE374EC"/>
    <w:rsid w:val="3EE5C76A"/>
    <w:rsid w:val="3EE87927"/>
    <w:rsid w:val="3EE881E9"/>
    <w:rsid w:val="3EEDBBCA"/>
    <w:rsid w:val="3EF139F3"/>
    <w:rsid w:val="3EFCFD53"/>
    <w:rsid w:val="3F100CE8"/>
    <w:rsid w:val="3F1331B6"/>
    <w:rsid w:val="3F16A948"/>
    <w:rsid w:val="3F19041E"/>
    <w:rsid w:val="3F1B0BFA"/>
    <w:rsid w:val="3F294990"/>
    <w:rsid w:val="3F3D9E15"/>
    <w:rsid w:val="3F3DE18D"/>
    <w:rsid w:val="3F3EABFB"/>
    <w:rsid w:val="3F43543D"/>
    <w:rsid w:val="3F4D1657"/>
    <w:rsid w:val="3F4D353D"/>
    <w:rsid w:val="3F4DA286"/>
    <w:rsid w:val="3F4EAF7D"/>
    <w:rsid w:val="3F509BEB"/>
    <w:rsid w:val="3F50F2A2"/>
    <w:rsid w:val="3F59757D"/>
    <w:rsid w:val="3F5BE076"/>
    <w:rsid w:val="3F656C71"/>
    <w:rsid w:val="3F664748"/>
    <w:rsid w:val="3F66A6F7"/>
    <w:rsid w:val="3F6864D1"/>
    <w:rsid w:val="3F6E03B1"/>
    <w:rsid w:val="3F6EC460"/>
    <w:rsid w:val="3F76018B"/>
    <w:rsid w:val="3F76EFC2"/>
    <w:rsid w:val="3F792EF4"/>
    <w:rsid w:val="3F7DDF9D"/>
    <w:rsid w:val="3F83F0D3"/>
    <w:rsid w:val="3F85EB57"/>
    <w:rsid w:val="3F879966"/>
    <w:rsid w:val="3F8B5DE3"/>
    <w:rsid w:val="3F8E846B"/>
    <w:rsid w:val="3F8FD630"/>
    <w:rsid w:val="3F98419C"/>
    <w:rsid w:val="3F9F46D2"/>
    <w:rsid w:val="3FA3EBC6"/>
    <w:rsid w:val="3FA952A9"/>
    <w:rsid w:val="3FAE4C2B"/>
    <w:rsid w:val="3FAE7397"/>
    <w:rsid w:val="3FAF3EB6"/>
    <w:rsid w:val="3FB04378"/>
    <w:rsid w:val="3FB1F6C7"/>
    <w:rsid w:val="3FB412C4"/>
    <w:rsid w:val="3FD8D25B"/>
    <w:rsid w:val="3FDD4BA0"/>
    <w:rsid w:val="3FDD903E"/>
    <w:rsid w:val="3FE167AF"/>
    <w:rsid w:val="3FE90ACB"/>
    <w:rsid w:val="3FEE1B51"/>
    <w:rsid w:val="3FF63AA2"/>
    <w:rsid w:val="3FFFDC55"/>
    <w:rsid w:val="4002F3E2"/>
    <w:rsid w:val="400CAF64"/>
    <w:rsid w:val="40108DD1"/>
    <w:rsid w:val="40113548"/>
    <w:rsid w:val="401D2990"/>
    <w:rsid w:val="401E8537"/>
    <w:rsid w:val="402661D0"/>
    <w:rsid w:val="402DA97F"/>
    <w:rsid w:val="4049792A"/>
    <w:rsid w:val="404D18CE"/>
    <w:rsid w:val="404D322A"/>
    <w:rsid w:val="4059FDFB"/>
    <w:rsid w:val="4065FC36"/>
    <w:rsid w:val="406F3824"/>
    <w:rsid w:val="407CF96A"/>
    <w:rsid w:val="40806A77"/>
    <w:rsid w:val="4083D008"/>
    <w:rsid w:val="4087E455"/>
    <w:rsid w:val="408B6F09"/>
    <w:rsid w:val="40913710"/>
    <w:rsid w:val="409AA265"/>
    <w:rsid w:val="40A5B13A"/>
    <w:rsid w:val="40A6F93B"/>
    <w:rsid w:val="40ADD0E9"/>
    <w:rsid w:val="40B3585B"/>
    <w:rsid w:val="40B4653F"/>
    <w:rsid w:val="40B82C77"/>
    <w:rsid w:val="40BFC257"/>
    <w:rsid w:val="40CA8602"/>
    <w:rsid w:val="40D2DC96"/>
    <w:rsid w:val="40DBCB1C"/>
    <w:rsid w:val="40DF7414"/>
    <w:rsid w:val="40E47FFC"/>
    <w:rsid w:val="40EEC41D"/>
    <w:rsid w:val="40EF9F3F"/>
    <w:rsid w:val="40F04A29"/>
    <w:rsid w:val="40F7C778"/>
    <w:rsid w:val="40FDB38C"/>
    <w:rsid w:val="4113669D"/>
    <w:rsid w:val="4115343E"/>
    <w:rsid w:val="4115FF4F"/>
    <w:rsid w:val="411EF73C"/>
    <w:rsid w:val="4122913D"/>
    <w:rsid w:val="4124DC50"/>
    <w:rsid w:val="41272E79"/>
    <w:rsid w:val="41277E7C"/>
    <w:rsid w:val="4127EC85"/>
    <w:rsid w:val="41317F54"/>
    <w:rsid w:val="41383D14"/>
    <w:rsid w:val="413A1D7A"/>
    <w:rsid w:val="413C45F4"/>
    <w:rsid w:val="414754A0"/>
    <w:rsid w:val="4148F8D4"/>
    <w:rsid w:val="414CD680"/>
    <w:rsid w:val="414FF79C"/>
    <w:rsid w:val="4154FB75"/>
    <w:rsid w:val="415A4FA4"/>
    <w:rsid w:val="415AD0EB"/>
    <w:rsid w:val="415C3DFB"/>
    <w:rsid w:val="415DBAF7"/>
    <w:rsid w:val="416B4AC9"/>
    <w:rsid w:val="416D1C0C"/>
    <w:rsid w:val="417083AF"/>
    <w:rsid w:val="41895520"/>
    <w:rsid w:val="418E8106"/>
    <w:rsid w:val="41A9ACBB"/>
    <w:rsid w:val="41AEDB59"/>
    <w:rsid w:val="41B64B0B"/>
    <w:rsid w:val="41D4167A"/>
    <w:rsid w:val="41D88AA9"/>
    <w:rsid w:val="41D8B321"/>
    <w:rsid w:val="41D8F452"/>
    <w:rsid w:val="41E98A27"/>
    <w:rsid w:val="41EB25EF"/>
    <w:rsid w:val="41EB5AE2"/>
    <w:rsid w:val="41EC09E7"/>
    <w:rsid w:val="41EC9FC4"/>
    <w:rsid w:val="41F34F04"/>
    <w:rsid w:val="41F69FEF"/>
    <w:rsid w:val="41FFABEC"/>
    <w:rsid w:val="421ECEAB"/>
    <w:rsid w:val="42270B58"/>
    <w:rsid w:val="422C1154"/>
    <w:rsid w:val="422C41D9"/>
    <w:rsid w:val="4231C0A7"/>
    <w:rsid w:val="4235D417"/>
    <w:rsid w:val="42402DE7"/>
    <w:rsid w:val="42408E69"/>
    <w:rsid w:val="42419CAC"/>
    <w:rsid w:val="424247F6"/>
    <w:rsid w:val="4243651E"/>
    <w:rsid w:val="4257AFD5"/>
    <w:rsid w:val="4262BC48"/>
    <w:rsid w:val="4262F323"/>
    <w:rsid w:val="426A28F5"/>
    <w:rsid w:val="4270B79E"/>
    <w:rsid w:val="4274F5FA"/>
    <w:rsid w:val="427C12AD"/>
    <w:rsid w:val="4281FAAE"/>
    <w:rsid w:val="4286568D"/>
    <w:rsid w:val="42915C3F"/>
    <w:rsid w:val="429C7D68"/>
    <w:rsid w:val="42AAD014"/>
    <w:rsid w:val="42AD30C1"/>
    <w:rsid w:val="42B112CF"/>
    <w:rsid w:val="42B48B4F"/>
    <w:rsid w:val="42B5FC36"/>
    <w:rsid w:val="42B9CF65"/>
    <w:rsid w:val="42BE2A76"/>
    <w:rsid w:val="42C0BA58"/>
    <w:rsid w:val="42D038FF"/>
    <w:rsid w:val="42D71685"/>
    <w:rsid w:val="42D9BE9A"/>
    <w:rsid w:val="42E4A69E"/>
    <w:rsid w:val="42E6E6C9"/>
    <w:rsid w:val="42F5DE9D"/>
    <w:rsid w:val="42FB2E2F"/>
    <w:rsid w:val="4304F4C9"/>
    <w:rsid w:val="431661A5"/>
    <w:rsid w:val="431BBDCC"/>
    <w:rsid w:val="432E45E3"/>
    <w:rsid w:val="4337E2E4"/>
    <w:rsid w:val="43471678"/>
    <w:rsid w:val="43483B74"/>
    <w:rsid w:val="43487C6D"/>
    <w:rsid w:val="434F684B"/>
    <w:rsid w:val="435FEB58"/>
    <w:rsid w:val="43603824"/>
    <w:rsid w:val="436D311C"/>
    <w:rsid w:val="436D694E"/>
    <w:rsid w:val="4371E221"/>
    <w:rsid w:val="4375DCB2"/>
    <w:rsid w:val="4379DADC"/>
    <w:rsid w:val="437B94D7"/>
    <w:rsid w:val="438BB19A"/>
    <w:rsid w:val="438BED22"/>
    <w:rsid w:val="438C5A60"/>
    <w:rsid w:val="438EC437"/>
    <w:rsid w:val="439A7C0A"/>
    <w:rsid w:val="43A13760"/>
    <w:rsid w:val="43A57B7D"/>
    <w:rsid w:val="43AB7119"/>
    <w:rsid w:val="43AC64BA"/>
    <w:rsid w:val="43B00A05"/>
    <w:rsid w:val="43B23A9B"/>
    <w:rsid w:val="43B52E45"/>
    <w:rsid w:val="43B713BA"/>
    <w:rsid w:val="43BCF58C"/>
    <w:rsid w:val="43C0C909"/>
    <w:rsid w:val="43C5D6B7"/>
    <w:rsid w:val="43C7C1B5"/>
    <w:rsid w:val="43D34C7D"/>
    <w:rsid w:val="43D6C48F"/>
    <w:rsid w:val="43DC34C1"/>
    <w:rsid w:val="43DCBEAC"/>
    <w:rsid w:val="43F34FE9"/>
    <w:rsid w:val="44006DF0"/>
    <w:rsid w:val="44016278"/>
    <w:rsid w:val="4411374A"/>
    <w:rsid w:val="4412222B"/>
    <w:rsid w:val="44129575"/>
    <w:rsid w:val="44233DEE"/>
    <w:rsid w:val="442C137A"/>
    <w:rsid w:val="44322222"/>
    <w:rsid w:val="4436CCF9"/>
    <w:rsid w:val="443BB873"/>
    <w:rsid w:val="4440DA4F"/>
    <w:rsid w:val="4452609A"/>
    <w:rsid w:val="4454EEDD"/>
    <w:rsid w:val="4457EB31"/>
    <w:rsid w:val="445888B6"/>
    <w:rsid w:val="445C91C4"/>
    <w:rsid w:val="445E5562"/>
    <w:rsid w:val="446EF3D7"/>
    <w:rsid w:val="44716BA0"/>
    <w:rsid w:val="44771051"/>
    <w:rsid w:val="4479E8CA"/>
    <w:rsid w:val="448202E6"/>
    <w:rsid w:val="44951E4D"/>
    <w:rsid w:val="449C5BBE"/>
    <w:rsid w:val="449FBF65"/>
    <w:rsid w:val="449FDB5B"/>
    <w:rsid w:val="44A2975C"/>
    <w:rsid w:val="44A626B0"/>
    <w:rsid w:val="44A717EC"/>
    <w:rsid w:val="44ABC7D3"/>
    <w:rsid w:val="44AC0E6B"/>
    <w:rsid w:val="44B30D97"/>
    <w:rsid w:val="44B48609"/>
    <w:rsid w:val="44B49C20"/>
    <w:rsid w:val="44BCE670"/>
    <w:rsid w:val="44BE2A8F"/>
    <w:rsid w:val="44CA5BDF"/>
    <w:rsid w:val="44D39972"/>
    <w:rsid w:val="44D48CD6"/>
    <w:rsid w:val="44D667F7"/>
    <w:rsid w:val="44D96ED4"/>
    <w:rsid w:val="44DE0A7E"/>
    <w:rsid w:val="44E56135"/>
    <w:rsid w:val="44E640B9"/>
    <w:rsid w:val="44E67164"/>
    <w:rsid w:val="44EF9214"/>
    <w:rsid w:val="44FAB40F"/>
    <w:rsid w:val="45037778"/>
    <w:rsid w:val="450B50F1"/>
    <w:rsid w:val="450CA784"/>
    <w:rsid w:val="45158943"/>
    <w:rsid w:val="4519FC3C"/>
    <w:rsid w:val="451AF618"/>
    <w:rsid w:val="451B9DAC"/>
    <w:rsid w:val="451C58A0"/>
    <w:rsid w:val="453507D7"/>
    <w:rsid w:val="45362533"/>
    <w:rsid w:val="4542D8C1"/>
    <w:rsid w:val="4547FB7B"/>
    <w:rsid w:val="4554CD2C"/>
    <w:rsid w:val="456227EB"/>
    <w:rsid w:val="4563BE08"/>
    <w:rsid w:val="45660053"/>
    <w:rsid w:val="4567FF88"/>
    <w:rsid w:val="45704E95"/>
    <w:rsid w:val="457CB350"/>
    <w:rsid w:val="45908F84"/>
    <w:rsid w:val="459381FD"/>
    <w:rsid w:val="4599AE2E"/>
    <w:rsid w:val="45A745D7"/>
    <w:rsid w:val="45B0F727"/>
    <w:rsid w:val="45B31E41"/>
    <w:rsid w:val="45B6F97D"/>
    <w:rsid w:val="45B870AA"/>
    <w:rsid w:val="45BE497A"/>
    <w:rsid w:val="45C59423"/>
    <w:rsid w:val="45C6A866"/>
    <w:rsid w:val="45CDC3D7"/>
    <w:rsid w:val="45DBE5F0"/>
    <w:rsid w:val="45DE8FF0"/>
    <w:rsid w:val="45E246E1"/>
    <w:rsid w:val="45EAF6CD"/>
    <w:rsid w:val="45F2DA47"/>
    <w:rsid w:val="45F33D56"/>
    <w:rsid w:val="45F925FC"/>
    <w:rsid w:val="45F961E2"/>
    <w:rsid w:val="45F9C9FF"/>
    <w:rsid w:val="46000A1E"/>
    <w:rsid w:val="460D5355"/>
    <w:rsid w:val="460D77C2"/>
    <w:rsid w:val="46144503"/>
    <w:rsid w:val="461586B3"/>
    <w:rsid w:val="4620300D"/>
    <w:rsid w:val="4622056E"/>
    <w:rsid w:val="462818BF"/>
    <w:rsid w:val="46374507"/>
    <w:rsid w:val="463C033B"/>
    <w:rsid w:val="464112E9"/>
    <w:rsid w:val="4649A726"/>
    <w:rsid w:val="4652A9CA"/>
    <w:rsid w:val="4658A579"/>
    <w:rsid w:val="465B8CF3"/>
    <w:rsid w:val="465DF2B2"/>
    <w:rsid w:val="4663CB95"/>
    <w:rsid w:val="46672C1A"/>
    <w:rsid w:val="4667CE6F"/>
    <w:rsid w:val="466E32F5"/>
    <w:rsid w:val="466F6526"/>
    <w:rsid w:val="46700234"/>
    <w:rsid w:val="4674B8A9"/>
    <w:rsid w:val="468A932F"/>
    <w:rsid w:val="4696E2DF"/>
    <w:rsid w:val="469DD54F"/>
    <w:rsid w:val="46A062E0"/>
    <w:rsid w:val="46A0CADB"/>
    <w:rsid w:val="46A4244E"/>
    <w:rsid w:val="46A69A97"/>
    <w:rsid w:val="46B0DD9D"/>
    <w:rsid w:val="46B362E9"/>
    <w:rsid w:val="46BCA559"/>
    <w:rsid w:val="46C7F82C"/>
    <w:rsid w:val="46CC1E01"/>
    <w:rsid w:val="46D59503"/>
    <w:rsid w:val="46D86E87"/>
    <w:rsid w:val="46E4E0CA"/>
    <w:rsid w:val="46EAEE95"/>
    <w:rsid w:val="46EB0BB1"/>
    <w:rsid w:val="46F5E3B0"/>
    <w:rsid w:val="46F9375C"/>
    <w:rsid w:val="47062CED"/>
    <w:rsid w:val="47099530"/>
    <w:rsid w:val="4719917F"/>
    <w:rsid w:val="471E9774"/>
    <w:rsid w:val="4721070A"/>
    <w:rsid w:val="4721B76E"/>
    <w:rsid w:val="4723E1AC"/>
    <w:rsid w:val="472838BC"/>
    <w:rsid w:val="472B2037"/>
    <w:rsid w:val="472F09B4"/>
    <w:rsid w:val="472F79D1"/>
    <w:rsid w:val="473259C8"/>
    <w:rsid w:val="4732F196"/>
    <w:rsid w:val="473F491A"/>
    <w:rsid w:val="474306A5"/>
    <w:rsid w:val="474B35D5"/>
    <w:rsid w:val="474C3092"/>
    <w:rsid w:val="474F1B43"/>
    <w:rsid w:val="475D2884"/>
    <w:rsid w:val="475FFD35"/>
    <w:rsid w:val="4760A7DC"/>
    <w:rsid w:val="47611A94"/>
    <w:rsid w:val="476EACC9"/>
    <w:rsid w:val="4779C1D1"/>
    <w:rsid w:val="477A971E"/>
    <w:rsid w:val="477ADC64"/>
    <w:rsid w:val="47859815"/>
    <w:rsid w:val="4798C59C"/>
    <w:rsid w:val="479F2EE7"/>
    <w:rsid w:val="47A9F0C4"/>
    <w:rsid w:val="47AD7C9F"/>
    <w:rsid w:val="47C0008E"/>
    <w:rsid w:val="47C405BE"/>
    <w:rsid w:val="47CA6ED6"/>
    <w:rsid w:val="47CAC9EE"/>
    <w:rsid w:val="47CAF0B2"/>
    <w:rsid w:val="47D39425"/>
    <w:rsid w:val="47D3BC25"/>
    <w:rsid w:val="47D3E4F5"/>
    <w:rsid w:val="47D487F1"/>
    <w:rsid w:val="47D4FD7E"/>
    <w:rsid w:val="47D8E44B"/>
    <w:rsid w:val="47DE522C"/>
    <w:rsid w:val="47EBA562"/>
    <w:rsid w:val="47EF4041"/>
    <w:rsid w:val="47F84C75"/>
    <w:rsid w:val="47FCA5D0"/>
    <w:rsid w:val="47FFD5B3"/>
    <w:rsid w:val="48011701"/>
    <w:rsid w:val="4803617D"/>
    <w:rsid w:val="4808CB07"/>
    <w:rsid w:val="4809B928"/>
    <w:rsid w:val="480A0CFB"/>
    <w:rsid w:val="480D2AFE"/>
    <w:rsid w:val="4811B784"/>
    <w:rsid w:val="4814A2E2"/>
    <w:rsid w:val="48250222"/>
    <w:rsid w:val="4825A44F"/>
    <w:rsid w:val="482681D4"/>
    <w:rsid w:val="4826C22E"/>
    <w:rsid w:val="483000C4"/>
    <w:rsid w:val="4830A8E4"/>
    <w:rsid w:val="48403817"/>
    <w:rsid w:val="484322AA"/>
    <w:rsid w:val="484413FF"/>
    <w:rsid w:val="48466076"/>
    <w:rsid w:val="48499B37"/>
    <w:rsid w:val="485118C6"/>
    <w:rsid w:val="48573E41"/>
    <w:rsid w:val="48574F3E"/>
    <w:rsid w:val="4862FDDE"/>
    <w:rsid w:val="48658924"/>
    <w:rsid w:val="4869AFCA"/>
    <w:rsid w:val="486C83F9"/>
    <w:rsid w:val="486CFEB3"/>
    <w:rsid w:val="4873E8A9"/>
    <w:rsid w:val="487D5CAD"/>
    <w:rsid w:val="488608B3"/>
    <w:rsid w:val="48868D07"/>
    <w:rsid w:val="4886A03A"/>
    <w:rsid w:val="488CBFF9"/>
    <w:rsid w:val="488F2DA3"/>
    <w:rsid w:val="489A04A7"/>
    <w:rsid w:val="489D5456"/>
    <w:rsid w:val="48A08D8C"/>
    <w:rsid w:val="48A8E3CA"/>
    <w:rsid w:val="48B09F01"/>
    <w:rsid w:val="48B53698"/>
    <w:rsid w:val="48C7DD3B"/>
    <w:rsid w:val="48CCD9EF"/>
    <w:rsid w:val="48CF8921"/>
    <w:rsid w:val="48D010DD"/>
    <w:rsid w:val="48D16EFA"/>
    <w:rsid w:val="48DB1F69"/>
    <w:rsid w:val="48E2D1F5"/>
    <w:rsid w:val="48E96C3D"/>
    <w:rsid w:val="48ED515F"/>
    <w:rsid w:val="48EF4479"/>
    <w:rsid w:val="48F375CF"/>
    <w:rsid w:val="48F6499B"/>
    <w:rsid w:val="48FC36A6"/>
    <w:rsid w:val="48FE688F"/>
    <w:rsid w:val="4902ED19"/>
    <w:rsid w:val="490D84E9"/>
    <w:rsid w:val="491ABD66"/>
    <w:rsid w:val="492ECEF6"/>
    <w:rsid w:val="493E0C55"/>
    <w:rsid w:val="494905AC"/>
    <w:rsid w:val="494BBB27"/>
    <w:rsid w:val="4950648E"/>
    <w:rsid w:val="4953FB6B"/>
    <w:rsid w:val="49551168"/>
    <w:rsid w:val="495622B1"/>
    <w:rsid w:val="495812AA"/>
    <w:rsid w:val="495A1288"/>
    <w:rsid w:val="496BC139"/>
    <w:rsid w:val="496C3099"/>
    <w:rsid w:val="49787307"/>
    <w:rsid w:val="4986290E"/>
    <w:rsid w:val="498AC70A"/>
    <w:rsid w:val="498D531B"/>
    <w:rsid w:val="49909E5B"/>
    <w:rsid w:val="49921E5A"/>
    <w:rsid w:val="499847C1"/>
    <w:rsid w:val="49A4E300"/>
    <w:rsid w:val="49A5CABC"/>
    <w:rsid w:val="49B01862"/>
    <w:rsid w:val="49B05821"/>
    <w:rsid w:val="49B89FA7"/>
    <w:rsid w:val="49B9FEC7"/>
    <w:rsid w:val="49BA0267"/>
    <w:rsid w:val="49BE6C6E"/>
    <w:rsid w:val="49C07455"/>
    <w:rsid w:val="49CF7AE3"/>
    <w:rsid w:val="49DA80E8"/>
    <w:rsid w:val="49E4810D"/>
    <w:rsid w:val="49E90EB0"/>
    <w:rsid w:val="49EBA641"/>
    <w:rsid w:val="49F00EA0"/>
    <w:rsid w:val="49F170BD"/>
    <w:rsid w:val="49F67DA0"/>
    <w:rsid w:val="4A0EE696"/>
    <w:rsid w:val="4A156646"/>
    <w:rsid w:val="4A1ADEC2"/>
    <w:rsid w:val="4A1B2B10"/>
    <w:rsid w:val="4A279DD4"/>
    <w:rsid w:val="4A398EBA"/>
    <w:rsid w:val="4A3C5C01"/>
    <w:rsid w:val="4A3C9BC3"/>
    <w:rsid w:val="4A407A93"/>
    <w:rsid w:val="4A446CBF"/>
    <w:rsid w:val="4A4DE669"/>
    <w:rsid w:val="4A4F6C51"/>
    <w:rsid w:val="4A5526C3"/>
    <w:rsid w:val="4A55886D"/>
    <w:rsid w:val="4A5603CC"/>
    <w:rsid w:val="4A5747BA"/>
    <w:rsid w:val="4A68EBF7"/>
    <w:rsid w:val="4A6A5798"/>
    <w:rsid w:val="4A6F7FB4"/>
    <w:rsid w:val="4A75554F"/>
    <w:rsid w:val="4A7BCC04"/>
    <w:rsid w:val="4A7E6DAB"/>
    <w:rsid w:val="4A82B5F7"/>
    <w:rsid w:val="4A8341BC"/>
    <w:rsid w:val="4A979F09"/>
    <w:rsid w:val="4A9A4C64"/>
    <w:rsid w:val="4A9DF351"/>
    <w:rsid w:val="4ABE42AD"/>
    <w:rsid w:val="4ACA4840"/>
    <w:rsid w:val="4AD51671"/>
    <w:rsid w:val="4AD8C51A"/>
    <w:rsid w:val="4AE2D30F"/>
    <w:rsid w:val="4AEE666B"/>
    <w:rsid w:val="4AF279D5"/>
    <w:rsid w:val="4AF60965"/>
    <w:rsid w:val="4B009B00"/>
    <w:rsid w:val="4B018D27"/>
    <w:rsid w:val="4B045346"/>
    <w:rsid w:val="4B05866E"/>
    <w:rsid w:val="4B07DA37"/>
    <w:rsid w:val="4B099034"/>
    <w:rsid w:val="4B1203EA"/>
    <w:rsid w:val="4B134F10"/>
    <w:rsid w:val="4B2924D5"/>
    <w:rsid w:val="4B29589C"/>
    <w:rsid w:val="4B31FA8E"/>
    <w:rsid w:val="4B3B2012"/>
    <w:rsid w:val="4B419196"/>
    <w:rsid w:val="4B4352C6"/>
    <w:rsid w:val="4B46DA60"/>
    <w:rsid w:val="4B4DC0D0"/>
    <w:rsid w:val="4B58F982"/>
    <w:rsid w:val="4B5BBB51"/>
    <w:rsid w:val="4B6167A8"/>
    <w:rsid w:val="4B6A8AB3"/>
    <w:rsid w:val="4B828D02"/>
    <w:rsid w:val="4B860CC9"/>
    <w:rsid w:val="4B89CA4D"/>
    <w:rsid w:val="4B8D2F1B"/>
    <w:rsid w:val="4B904C6C"/>
    <w:rsid w:val="4B948BEB"/>
    <w:rsid w:val="4B9AB1DB"/>
    <w:rsid w:val="4BA821A3"/>
    <w:rsid w:val="4BAC6C2E"/>
    <w:rsid w:val="4BB27CC0"/>
    <w:rsid w:val="4BC38F14"/>
    <w:rsid w:val="4BD0E513"/>
    <w:rsid w:val="4BD33AB6"/>
    <w:rsid w:val="4BDCACE0"/>
    <w:rsid w:val="4BDF573D"/>
    <w:rsid w:val="4BEBFBCE"/>
    <w:rsid w:val="4BF18A43"/>
    <w:rsid w:val="4BFECEA9"/>
    <w:rsid w:val="4C012BF2"/>
    <w:rsid w:val="4C053994"/>
    <w:rsid w:val="4C0583AA"/>
    <w:rsid w:val="4C12F4B0"/>
    <w:rsid w:val="4C17EBD3"/>
    <w:rsid w:val="4C1900B6"/>
    <w:rsid w:val="4C1B863F"/>
    <w:rsid w:val="4C20FF0D"/>
    <w:rsid w:val="4C2A545A"/>
    <w:rsid w:val="4C2B49C7"/>
    <w:rsid w:val="4C37B0EB"/>
    <w:rsid w:val="4C3CB72D"/>
    <w:rsid w:val="4C44091A"/>
    <w:rsid w:val="4C4417C2"/>
    <w:rsid w:val="4C478C14"/>
    <w:rsid w:val="4C4A060A"/>
    <w:rsid w:val="4C563FC0"/>
    <w:rsid w:val="4C5D6B24"/>
    <w:rsid w:val="4C67C5D5"/>
    <w:rsid w:val="4C723332"/>
    <w:rsid w:val="4C7AFC8D"/>
    <w:rsid w:val="4C7B56A1"/>
    <w:rsid w:val="4C7BC144"/>
    <w:rsid w:val="4C86B838"/>
    <w:rsid w:val="4C8BC038"/>
    <w:rsid w:val="4C8F547A"/>
    <w:rsid w:val="4C9CF6A3"/>
    <w:rsid w:val="4CA5648B"/>
    <w:rsid w:val="4CAC5B1F"/>
    <w:rsid w:val="4CAC7BE1"/>
    <w:rsid w:val="4CAE90DF"/>
    <w:rsid w:val="4CAF26AA"/>
    <w:rsid w:val="4CB13EC5"/>
    <w:rsid w:val="4CB28F1A"/>
    <w:rsid w:val="4CB40AED"/>
    <w:rsid w:val="4CB6A029"/>
    <w:rsid w:val="4CB7EF20"/>
    <w:rsid w:val="4CC06959"/>
    <w:rsid w:val="4CC1F126"/>
    <w:rsid w:val="4CC261F0"/>
    <w:rsid w:val="4CC3E886"/>
    <w:rsid w:val="4CC5B27A"/>
    <w:rsid w:val="4CC6DB9D"/>
    <w:rsid w:val="4CCAAF8B"/>
    <w:rsid w:val="4CCC404C"/>
    <w:rsid w:val="4CD40158"/>
    <w:rsid w:val="4CE2D161"/>
    <w:rsid w:val="4CE3B563"/>
    <w:rsid w:val="4CE60264"/>
    <w:rsid w:val="4CEB6E36"/>
    <w:rsid w:val="4CF20E27"/>
    <w:rsid w:val="4CF4E923"/>
    <w:rsid w:val="4CF77EEA"/>
    <w:rsid w:val="4CFC8B16"/>
    <w:rsid w:val="4D1D5FF4"/>
    <w:rsid w:val="4D1DE677"/>
    <w:rsid w:val="4D1F0194"/>
    <w:rsid w:val="4D3B802A"/>
    <w:rsid w:val="4D3C6160"/>
    <w:rsid w:val="4D3D180F"/>
    <w:rsid w:val="4D45795B"/>
    <w:rsid w:val="4D47D037"/>
    <w:rsid w:val="4D4B4487"/>
    <w:rsid w:val="4D4F8216"/>
    <w:rsid w:val="4D508D16"/>
    <w:rsid w:val="4D5415DB"/>
    <w:rsid w:val="4D5787E6"/>
    <w:rsid w:val="4D5B01CC"/>
    <w:rsid w:val="4D5BE742"/>
    <w:rsid w:val="4D78DB3B"/>
    <w:rsid w:val="4D822C96"/>
    <w:rsid w:val="4D825C2B"/>
    <w:rsid w:val="4D83D179"/>
    <w:rsid w:val="4D92F82F"/>
    <w:rsid w:val="4D9690FD"/>
    <w:rsid w:val="4DA48FAA"/>
    <w:rsid w:val="4DA6198C"/>
    <w:rsid w:val="4DABAD08"/>
    <w:rsid w:val="4DABF188"/>
    <w:rsid w:val="4DAC5A5E"/>
    <w:rsid w:val="4DB4697C"/>
    <w:rsid w:val="4DB4C5E4"/>
    <w:rsid w:val="4DBAAE3B"/>
    <w:rsid w:val="4DBBEEEC"/>
    <w:rsid w:val="4DC45E55"/>
    <w:rsid w:val="4DC8063D"/>
    <w:rsid w:val="4DC82A11"/>
    <w:rsid w:val="4DD32256"/>
    <w:rsid w:val="4DD6E1EA"/>
    <w:rsid w:val="4DDCE9D7"/>
    <w:rsid w:val="4DE4DBDA"/>
    <w:rsid w:val="4DEC0E95"/>
    <w:rsid w:val="4DF39508"/>
    <w:rsid w:val="4DF71403"/>
    <w:rsid w:val="4DF77AAA"/>
    <w:rsid w:val="4DFEBF82"/>
    <w:rsid w:val="4E05E09B"/>
    <w:rsid w:val="4E060AFD"/>
    <w:rsid w:val="4E0C841E"/>
    <w:rsid w:val="4E0EA487"/>
    <w:rsid w:val="4E18A2DD"/>
    <w:rsid w:val="4E1DF7C1"/>
    <w:rsid w:val="4E2120C4"/>
    <w:rsid w:val="4E26B334"/>
    <w:rsid w:val="4E376537"/>
    <w:rsid w:val="4E492E4C"/>
    <w:rsid w:val="4E507FAF"/>
    <w:rsid w:val="4E584A9B"/>
    <w:rsid w:val="4E625729"/>
    <w:rsid w:val="4E6BE0FC"/>
    <w:rsid w:val="4E6F27C9"/>
    <w:rsid w:val="4E741B1A"/>
    <w:rsid w:val="4E7A94A8"/>
    <w:rsid w:val="4E830745"/>
    <w:rsid w:val="4E8AD45B"/>
    <w:rsid w:val="4E943CCB"/>
    <w:rsid w:val="4E9446DC"/>
    <w:rsid w:val="4E98CED5"/>
    <w:rsid w:val="4E9AB1EF"/>
    <w:rsid w:val="4EA1A4E2"/>
    <w:rsid w:val="4EA26C80"/>
    <w:rsid w:val="4EA88A9D"/>
    <w:rsid w:val="4EA8BF25"/>
    <w:rsid w:val="4EB66ABD"/>
    <w:rsid w:val="4EB7A08D"/>
    <w:rsid w:val="4EBEDB64"/>
    <w:rsid w:val="4EC03A8B"/>
    <w:rsid w:val="4ED4FBE7"/>
    <w:rsid w:val="4EDA984F"/>
    <w:rsid w:val="4EDDFBFD"/>
    <w:rsid w:val="4EE26626"/>
    <w:rsid w:val="4EEAA1D9"/>
    <w:rsid w:val="4EF5633B"/>
    <w:rsid w:val="4EFEBD67"/>
    <w:rsid w:val="4F09F7AA"/>
    <w:rsid w:val="4F0E998E"/>
    <w:rsid w:val="4F0FFE10"/>
    <w:rsid w:val="4F111A84"/>
    <w:rsid w:val="4F173547"/>
    <w:rsid w:val="4F174D55"/>
    <w:rsid w:val="4F1BF40B"/>
    <w:rsid w:val="4F1F860E"/>
    <w:rsid w:val="4F25FD65"/>
    <w:rsid w:val="4F28AE2B"/>
    <w:rsid w:val="4F2912A9"/>
    <w:rsid w:val="4F318DFB"/>
    <w:rsid w:val="4F3B1D62"/>
    <w:rsid w:val="4F3BFBB6"/>
    <w:rsid w:val="4F3C0267"/>
    <w:rsid w:val="4F3DA334"/>
    <w:rsid w:val="4F4A0381"/>
    <w:rsid w:val="4F4B560E"/>
    <w:rsid w:val="4F4F7CE2"/>
    <w:rsid w:val="4F57D908"/>
    <w:rsid w:val="4F5AFB32"/>
    <w:rsid w:val="4F5E3F30"/>
    <w:rsid w:val="4F669ACE"/>
    <w:rsid w:val="4F6939FF"/>
    <w:rsid w:val="4F695DB2"/>
    <w:rsid w:val="4F954F4C"/>
    <w:rsid w:val="4F9AA8B4"/>
    <w:rsid w:val="4FA2DC15"/>
    <w:rsid w:val="4FA6E8D5"/>
    <w:rsid w:val="4FAEB957"/>
    <w:rsid w:val="4FB1031E"/>
    <w:rsid w:val="4FB4F2A7"/>
    <w:rsid w:val="4FB5917C"/>
    <w:rsid w:val="4FBC8E83"/>
    <w:rsid w:val="4FC1329C"/>
    <w:rsid w:val="4FCF6513"/>
    <w:rsid w:val="4FD1352E"/>
    <w:rsid w:val="4FD803DD"/>
    <w:rsid w:val="4FDC769F"/>
    <w:rsid w:val="4FE24782"/>
    <w:rsid w:val="4FE28BE8"/>
    <w:rsid w:val="4FED6D80"/>
    <w:rsid w:val="4FEDBCAD"/>
    <w:rsid w:val="50050E42"/>
    <w:rsid w:val="50075B0F"/>
    <w:rsid w:val="500E0C7D"/>
    <w:rsid w:val="500E4CF7"/>
    <w:rsid w:val="50180007"/>
    <w:rsid w:val="5018B4C9"/>
    <w:rsid w:val="5018F95D"/>
    <w:rsid w:val="50286F74"/>
    <w:rsid w:val="5030BBB5"/>
    <w:rsid w:val="5034783E"/>
    <w:rsid w:val="503AB21D"/>
    <w:rsid w:val="50415F7F"/>
    <w:rsid w:val="5043E670"/>
    <w:rsid w:val="5051ADD1"/>
    <w:rsid w:val="506943D3"/>
    <w:rsid w:val="506B913E"/>
    <w:rsid w:val="50737304"/>
    <w:rsid w:val="5083F56E"/>
    <w:rsid w:val="508E0A16"/>
    <w:rsid w:val="50911928"/>
    <w:rsid w:val="5093FEB4"/>
    <w:rsid w:val="50A4219B"/>
    <w:rsid w:val="50A49119"/>
    <w:rsid w:val="50B035C3"/>
    <w:rsid w:val="50B4D0AC"/>
    <w:rsid w:val="50BE3B44"/>
    <w:rsid w:val="50C3CFF5"/>
    <w:rsid w:val="50C5E412"/>
    <w:rsid w:val="50D23D8E"/>
    <w:rsid w:val="50D8846F"/>
    <w:rsid w:val="50DB8E03"/>
    <w:rsid w:val="50ED257B"/>
    <w:rsid w:val="50F25BB2"/>
    <w:rsid w:val="50F3FBD9"/>
    <w:rsid w:val="50F41EE8"/>
    <w:rsid w:val="50F5A1CB"/>
    <w:rsid w:val="50FF0C06"/>
    <w:rsid w:val="5105388C"/>
    <w:rsid w:val="51099D9E"/>
    <w:rsid w:val="5115AC06"/>
    <w:rsid w:val="51172470"/>
    <w:rsid w:val="5119BCCF"/>
    <w:rsid w:val="511C07E5"/>
    <w:rsid w:val="511C448B"/>
    <w:rsid w:val="5122D4E2"/>
    <w:rsid w:val="51282FB5"/>
    <w:rsid w:val="51354E23"/>
    <w:rsid w:val="5141F4F7"/>
    <w:rsid w:val="51533618"/>
    <w:rsid w:val="51546D37"/>
    <w:rsid w:val="515F4F44"/>
    <w:rsid w:val="51716A62"/>
    <w:rsid w:val="517531E1"/>
    <w:rsid w:val="51773E7B"/>
    <w:rsid w:val="5193BCE5"/>
    <w:rsid w:val="5197D16C"/>
    <w:rsid w:val="519D2C8F"/>
    <w:rsid w:val="51A1083E"/>
    <w:rsid w:val="51A94402"/>
    <w:rsid w:val="51B31546"/>
    <w:rsid w:val="51BAF225"/>
    <w:rsid w:val="51C4DBA4"/>
    <w:rsid w:val="51D84ECD"/>
    <w:rsid w:val="51DFE7D3"/>
    <w:rsid w:val="51DFF0AE"/>
    <w:rsid w:val="51E9D91E"/>
    <w:rsid w:val="51F310C4"/>
    <w:rsid w:val="51F57A83"/>
    <w:rsid w:val="51FF0AD2"/>
    <w:rsid w:val="520090BE"/>
    <w:rsid w:val="5201699B"/>
    <w:rsid w:val="5202781B"/>
    <w:rsid w:val="520C9C3C"/>
    <w:rsid w:val="520FDE21"/>
    <w:rsid w:val="521601A4"/>
    <w:rsid w:val="5218F115"/>
    <w:rsid w:val="52261B6F"/>
    <w:rsid w:val="522EB054"/>
    <w:rsid w:val="523BFE9A"/>
    <w:rsid w:val="523FA771"/>
    <w:rsid w:val="524268DA"/>
    <w:rsid w:val="52507016"/>
    <w:rsid w:val="5254E943"/>
    <w:rsid w:val="525D32A9"/>
    <w:rsid w:val="525D69AB"/>
    <w:rsid w:val="525DC924"/>
    <w:rsid w:val="525E3051"/>
    <w:rsid w:val="52601F23"/>
    <w:rsid w:val="5262BB76"/>
    <w:rsid w:val="526D1BD0"/>
    <w:rsid w:val="526D72A0"/>
    <w:rsid w:val="527B36B5"/>
    <w:rsid w:val="52843494"/>
    <w:rsid w:val="529D8660"/>
    <w:rsid w:val="529E6BEF"/>
    <w:rsid w:val="52A0BD61"/>
    <w:rsid w:val="52A355AD"/>
    <w:rsid w:val="52A45BAA"/>
    <w:rsid w:val="52B2179E"/>
    <w:rsid w:val="52BBE81E"/>
    <w:rsid w:val="52C08D2C"/>
    <w:rsid w:val="52C4E065"/>
    <w:rsid w:val="52D09320"/>
    <w:rsid w:val="52E266B9"/>
    <w:rsid w:val="52E43E51"/>
    <w:rsid w:val="52FF2528"/>
    <w:rsid w:val="5307006E"/>
    <w:rsid w:val="530FBF33"/>
    <w:rsid w:val="53109C73"/>
    <w:rsid w:val="531F7A15"/>
    <w:rsid w:val="532482BF"/>
    <w:rsid w:val="5324A603"/>
    <w:rsid w:val="532A38BD"/>
    <w:rsid w:val="53392D35"/>
    <w:rsid w:val="533EB76E"/>
    <w:rsid w:val="534DA6A4"/>
    <w:rsid w:val="535BA163"/>
    <w:rsid w:val="535FB191"/>
    <w:rsid w:val="5362EA6E"/>
    <w:rsid w:val="53654AC1"/>
    <w:rsid w:val="5369136A"/>
    <w:rsid w:val="536E8051"/>
    <w:rsid w:val="53761C26"/>
    <w:rsid w:val="53789014"/>
    <w:rsid w:val="537980FB"/>
    <w:rsid w:val="5384C8DB"/>
    <w:rsid w:val="53865CD4"/>
    <w:rsid w:val="5390CA93"/>
    <w:rsid w:val="53910FB9"/>
    <w:rsid w:val="5392FF25"/>
    <w:rsid w:val="539D60BF"/>
    <w:rsid w:val="539DE3B3"/>
    <w:rsid w:val="53A60C42"/>
    <w:rsid w:val="53A6D076"/>
    <w:rsid w:val="53A72892"/>
    <w:rsid w:val="53AA7B36"/>
    <w:rsid w:val="53AAD557"/>
    <w:rsid w:val="53B2129F"/>
    <w:rsid w:val="53BB62F3"/>
    <w:rsid w:val="53BD905A"/>
    <w:rsid w:val="53C50629"/>
    <w:rsid w:val="53C794AF"/>
    <w:rsid w:val="53CE21EA"/>
    <w:rsid w:val="53D00C89"/>
    <w:rsid w:val="53D22987"/>
    <w:rsid w:val="53E2C741"/>
    <w:rsid w:val="53E6F24F"/>
    <w:rsid w:val="53EDF7EF"/>
    <w:rsid w:val="53F055D4"/>
    <w:rsid w:val="53F52879"/>
    <w:rsid w:val="53F6D945"/>
    <w:rsid w:val="53F756D8"/>
    <w:rsid w:val="5408ECF8"/>
    <w:rsid w:val="5413C4A7"/>
    <w:rsid w:val="5414E429"/>
    <w:rsid w:val="5415092C"/>
    <w:rsid w:val="54159CBC"/>
    <w:rsid w:val="541EE60C"/>
    <w:rsid w:val="5420D351"/>
    <w:rsid w:val="54284322"/>
    <w:rsid w:val="542E6D2F"/>
    <w:rsid w:val="5439B7A2"/>
    <w:rsid w:val="54450CCA"/>
    <w:rsid w:val="54462602"/>
    <w:rsid w:val="544764C6"/>
    <w:rsid w:val="5454BF01"/>
    <w:rsid w:val="5456C7DB"/>
    <w:rsid w:val="545E25AA"/>
    <w:rsid w:val="545F4407"/>
    <w:rsid w:val="54687DDA"/>
    <w:rsid w:val="5469FDAB"/>
    <w:rsid w:val="546C27BE"/>
    <w:rsid w:val="546F19CE"/>
    <w:rsid w:val="546FAC5A"/>
    <w:rsid w:val="5476C792"/>
    <w:rsid w:val="547DCEC3"/>
    <w:rsid w:val="5480EA27"/>
    <w:rsid w:val="5488402E"/>
    <w:rsid w:val="548F0058"/>
    <w:rsid w:val="548F8DED"/>
    <w:rsid w:val="5493616B"/>
    <w:rsid w:val="549D3948"/>
    <w:rsid w:val="54A172C6"/>
    <w:rsid w:val="54A1BFE0"/>
    <w:rsid w:val="54A3D802"/>
    <w:rsid w:val="54A88059"/>
    <w:rsid w:val="54AB1EC2"/>
    <w:rsid w:val="54ACA48F"/>
    <w:rsid w:val="54B57D41"/>
    <w:rsid w:val="54B9EC9C"/>
    <w:rsid w:val="54BB79E4"/>
    <w:rsid w:val="54BD9F29"/>
    <w:rsid w:val="54CB5932"/>
    <w:rsid w:val="54D48947"/>
    <w:rsid w:val="54D9F332"/>
    <w:rsid w:val="54E74F25"/>
    <w:rsid w:val="54EB5E4C"/>
    <w:rsid w:val="54F28064"/>
    <w:rsid w:val="54F8F422"/>
    <w:rsid w:val="54FB6DF2"/>
    <w:rsid w:val="5506B26C"/>
    <w:rsid w:val="550A71E3"/>
    <w:rsid w:val="55296B05"/>
    <w:rsid w:val="55297A16"/>
    <w:rsid w:val="552FD298"/>
    <w:rsid w:val="5535BD90"/>
    <w:rsid w:val="5537A6E1"/>
    <w:rsid w:val="55520F37"/>
    <w:rsid w:val="55536F8D"/>
    <w:rsid w:val="555675D5"/>
    <w:rsid w:val="555C3A98"/>
    <w:rsid w:val="55685E05"/>
    <w:rsid w:val="556F39A3"/>
    <w:rsid w:val="55779588"/>
    <w:rsid w:val="557A1C0B"/>
    <w:rsid w:val="557FE786"/>
    <w:rsid w:val="5585B7EC"/>
    <w:rsid w:val="5588DB64"/>
    <w:rsid w:val="559BC234"/>
    <w:rsid w:val="559E92C6"/>
    <w:rsid w:val="55A8F7E4"/>
    <w:rsid w:val="55AB81F2"/>
    <w:rsid w:val="55AEB0D7"/>
    <w:rsid w:val="55AF98F5"/>
    <w:rsid w:val="55B9DBCC"/>
    <w:rsid w:val="55D605B7"/>
    <w:rsid w:val="55D6FA59"/>
    <w:rsid w:val="55DBA06E"/>
    <w:rsid w:val="55E13C2C"/>
    <w:rsid w:val="55EE0874"/>
    <w:rsid w:val="55F4C9B5"/>
    <w:rsid w:val="55F93B92"/>
    <w:rsid w:val="55FC0590"/>
    <w:rsid w:val="5608BD8A"/>
    <w:rsid w:val="560A06E8"/>
    <w:rsid w:val="560F4F9A"/>
    <w:rsid w:val="56174B4A"/>
    <w:rsid w:val="561B386A"/>
    <w:rsid w:val="5620EB67"/>
    <w:rsid w:val="56258A00"/>
    <w:rsid w:val="5627264A"/>
    <w:rsid w:val="562C51C9"/>
    <w:rsid w:val="563090CF"/>
    <w:rsid w:val="56320D13"/>
    <w:rsid w:val="563C0535"/>
    <w:rsid w:val="564467FE"/>
    <w:rsid w:val="5644DEBD"/>
    <w:rsid w:val="5650F55F"/>
    <w:rsid w:val="5652009D"/>
    <w:rsid w:val="56569DC8"/>
    <w:rsid w:val="5659E3DD"/>
    <w:rsid w:val="565CFB8D"/>
    <w:rsid w:val="566352BF"/>
    <w:rsid w:val="56694090"/>
    <w:rsid w:val="566959BB"/>
    <w:rsid w:val="5678866C"/>
    <w:rsid w:val="567F8088"/>
    <w:rsid w:val="5683241B"/>
    <w:rsid w:val="568B17B8"/>
    <w:rsid w:val="568D5E41"/>
    <w:rsid w:val="56941252"/>
    <w:rsid w:val="569530E4"/>
    <w:rsid w:val="569FE476"/>
    <w:rsid w:val="56B123A1"/>
    <w:rsid w:val="56B198C1"/>
    <w:rsid w:val="56B6EE93"/>
    <w:rsid w:val="56B93398"/>
    <w:rsid w:val="56B9A359"/>
    <w:rsid w:val="56BCE8C8"/>
    <w:rsid w:val="56CD0F4B"/>
    <w:rsid w:val="56DDBC7F"/>
    <w:rsid w:val="56E006AA"/>
    <w:rsid w:val="56E91B7C"/>
    <w:rsid w:val="56F365E3"/>
    <w:rsid w:val="56F41CBB"/>
    <w:rsid w:val="56F94096"/>
    <w:rsid w:val="56FF862D"/>
    <w:rsid w:val="57071E20"/>
    <w:rsid w:val="57198D15"/>
    <w:rsid w:val="572BD40B"/>
    <w:rsid w:val="572DEC34"/>
    <w:rsid w:val="573A3998"/>
    <w:rsid w:val="57434992"/>
    <w:rsid w:val="574AC053"/>
    <w:rsid w:val="574C3174"/>
    <w:rsid w:val="574D7EB7"/>
    <w:rsid w:val="5756C653"/>
    <w:rsid w:val="57573516"/>
    <w:rsid w:val="575C999C"/>
    <w:rsid w:val="5778B8BC"/>
    <w:rsid w:val="57860D4C"/>
    <w:rsid w:val="57874D6B"/>
    <w:rsid w:val="5787E977"/>
    <w:rsid w:val="5789D600"/>
    <w:rsid w:val="5791EB93"/>
    <w:rsid w:val="579927E2"/>
    <w:rsid w:val="57AC1229"/>
    <w:rsid w:val="57AD04AD"/>
    <w:rsid w:val="57B1D6C6"/>
    <w:rsid w:val="57C14F43"/>
    <w:rsid w:val="57D341C3"/>
    <w:rsid w:val="57D59B7F"/>
    <w:rsid w:val="57D6BC6A"/>
    <w:rsid w:val="57DC77D1"/>
    <w:rsid w:val="57E73116"/>
    <w:rsid w:val="57E75F7F"/>
    <w:rsid w:val="57F02228"/>
    <w:rsid w:val="57F5A20D"/>
    <w:rsid w:val="5806F9B8"/>
    <w:rsid w:val="580EA80B"/>
    <w:rsid w:val="58196189"/>
    <w:rsid w:val="581FE9B3"/>
    <w:rsid w:val="58217E13"/>
    <w:rsid w:val="5825B6A1"/>
    <w:rsid w:val="582AB968"/>
    <w:rsid w:val="583023CE"/>
    <w:rsid w:val="5833E6D7"/>
    <w:rsid w:val="5838BA31"/>
    <w:rsid w:val="583FA32A"/>
    <w:rsid w:val="5841D83A"/>
    <w:rsid w:val="58444613"/>
    <w:rsid w:val="58454F57"/>
    <w:rsid w:val="584C272B"/>
    <w:rsid w:val="58588127"/>
    <w:rsid w:val="585A49A2"/>
    <w:rsid w:val="5864FA2F"/>
    <w:rsid w:val="58667750"/>
    <w:rsid w:val="587794B1"/>
    <w:rsid w:val="5877DB37"/>
    <w:rsid w:val="587D9F0D"/>
    <w:rsid w:val="58850D6F"/>
    <w:rsid w:val="588FED15"/>
    <w:rsid w:val="5894F862"/>
    <w:rsid w:val="58AD009B"/>
    <w:rsid w:val="58B2BFEA"/>
    <w:rsid w:val="58B49394"/>
    <w:rsid w:val="58B719EC"/>
    <w:rsid w:val="58BB8FE5"/>
    <w:rsid w:val="58BD252E"/>
    <w:rsid w:val="58C19162"/>
    <w:rsid w:val="58CDA354"/>
    <w:rsid w:val="58DBCF5B"/>
    <w:rsid w:val="58DE8390"/>
    <w:rsid w:val="58F50FC1"/>
    <w:rsid w:val="58F536AA"/>
    <w:rsid w:val="590ADE0D"/>
    <w:rsid w:val="590AF8B0"/>
    <w:rsid w:val="591294D8"/>
    <w:rsid w:val="5923CAA1"/>
    <w:rsid w:val="592596F9"/>
    <w:rsid w:val="59278E4D"/>
    <w:rsid w:val="592C816B"/>
    <w:rsid w:val="5933CE15"/>
    <w:rsid w:val="59491792"/>
    <w:rsid w:val="59553DF6"/>
    <w:rsid w:val="595B85ED"/>
    <w:rsid w:val="596366E2"/>
    <w:rsid w:val="596460C0"/>
    <w:rsid w:val="59744BAB"/>
    <w:rsid w:val="597A982A"/>
    <w:rsid w:val="598F51AD"/>
    <w:rsid w:val="5990D561"/>
    <w:rsid w:val="5990D9AD"/>
    <w:rsid w:val="5995E8D8"/>
    <w:rsid w:val="599AF83C"/>
    <w:rsid w:val="59A49377"/>
    <w:rsid w:val="59B0C0F1"/>
    <w:rsid w:val="59B94477"/>
    <w:rsid w:val="59BEB23D"/>
    <w:rsid w:val="59C37476"/>
    <w:rsid w:val="59C8DDAF"/>
    <w:rsid w:val="59CF1DE4"/>
    <w:rsid w:val="59DF4B65"/>
    <w:rsid w:val="59E3A8F2"/>
    <w:rsid w:val="59E50738"/>
    <w:rsid w:val="59F07782"/>
    <w:rsid w:val="59F4F35C"/>
    <w:rsid w:val="59FC1AC3"/>
    <w:rsid w:val="5A01CF0E"/>
    <w:rsid w:val="5A0A4FAC"/>
    <w:rsid w:val="5A158F90"/>
    <w:rsid w:val="5A1FF107"/>
    <w:rsid w:val="5A22788B"/>
    <w:rsid w:val="5A2CB03B"/>
    <w:rsid w:val="5A2E86FC"/>
    <w:rsid w:val="5A2F1D1C"/>
    <w:rsid w:val="5A335E6C"/>
    <w:rsid w:val="5A47F574"/>
    <w:rsid w:val="5A49AEC8"/>
    <w:rsid w:val="5A4E348B"/>
    <w:rsid w:val="5A63EC7D"/>
    <w:rsid w:val="5A687127"/>
    <w:rsid w:val="5A6DD16B"/>
    <w:rsid w:val="5A6FF8B2"/>
    <w:rsid w:val="5A731E8B"/>
    <w:rsid w:val="5A73B155"/>
    <w:rsid w:val="5A746606"/>
    <w:rsid w:val="5A79F5CF"/>
    <w:rsid w:val="5A870739"/>
    <w:rsid w:val="5A8E8FFE"/>
    <w:rsid w:val="5A90B1FF"/>
    <w:rsid w:val="5A961D4D"/>
    <w:rsid w:val="5A9A5C81"/>
    <w:rsid w:val="5A9E5F50"/>
    <w:rsid w:val="5AA4DB4C"/>
    <w:rsid w:val="5AA78627"/>
    <w:rsid w:val="5AAC59F1"/>
    <w:rsid w:val="5AB940F5"/>
    <w:rsid w:val="5AC11242"/>
    <w:rsid w:val="5AC19FA8"/>
    <w:rsid w:val="5ACDAC0B"/>
    <w:rsid w:val="5AD47975"/>
    <w:rsid w:val="5AD63D94"/>
    <w:rsid w:val="5AD861D9"/>
    <w:rsid w:val="5ADF64BF"/>
    <w:rsid w:val="5AEBF034"/>
    <w:rsid w:val="5AEC8425"/>
    <w:rsid w:val="5AED289A"/>
    <w:rsid w:val="5AF0AA04"/>
    <w:rsid w:val="5AF1C148"/>
    <w:rsid w:val="5AF44B8C"/>
    <w:rsid w:val="5AF9DA83"/>
    <w:rsid w:val="5AFEAA4E"/>
    <w:rsid w:val="5B0027AF"/>
    <w:rsid w:val="5B006E66"/>
    <w:rsid w:val="5B00A1DA"/>
    <w:rsid w:val="5B090965"/>
    <w:rsid w:val="5B0DEE23"/>
    <w:rsid w:val="5B170D36"/>
    <w:rsid w:val="5B224ED3"/>
    <w:rsid w:val="5B2A5EDE"/>
    <w:rsid w:val="5B2C86A7"/>
    <w:rsid w:val="5B2F865F"/>
    <w:rsid w:val="5B3092D9"/>
    <w:rsid w:val="5B30B32E"/>
    <w:rsid w:val="5B326AF0"/>
    <w:rsid w:val="5B32A9D9"/>
    <w:rsid w:val="5B332BBC"/>
    <w:rsid w:val="5B34A5AA"/>
    <w:rsid w:val="5B362703"/>
    <w:rsid w:val="5B42A4D0"/>
    <w:rsid w:val="5B4A1E88"/>
    <w:rsid w:val="5B4E6B21"/>
    <w:rsid w:val="5B4F5A6E"/>
    <w:rsid w:val="5B5E42AE"/>
    <w:rsid w:val="5B6030D6"/>
    <w:rsid w:val="5B641820"/>
    <w:rsid w:val="5B7089F2"/>
    <w:rsid w:val="5B8B7C5F"/>
    <w:rsid w:val="5B99710C"/>
    <w:rsid w:val="5B9C6D3B"/>
    <w:rsid w:val="5BA80A43"/>
    <w:rsid w:val="5BA94493"/>
    <w:rsid w:val="5BA999F8"/>
    <w:rsid w:val="5BBA4EEA"/>
    <w:rsid w:val="5BBCBB3C"/>
    <w:rsid w:val="5BBCD11D"/>
    <w:rsid w:val="5BDBEE34"/>
    <w:rsid w:val="5BE22C22"/>
    <w:rsid w:val="5BE6A491"/>
    <w:rsid w:val="5BED853B"/>
    <w:rsid w:val="5BFE0F03"/>
    <w:rsid w:val="5C071618"/>
    <w:rsid w:val="5C086DCC"/>
    <w:rsid w:val="5C140133"/>
    <w:rsid w:val="5C187E4E"/>
    <w:rsid w:val="5C1B2E83"/>
    <w:rsid w:val="5C23CE89"/>
    <w:rsid w:val="5C315076"/>
    <w:rsid w:val="5C319339"/>
    <w:rsid w:val="5C31C7CF"/>
    <w:rsid w:val="5C3498D6"/>
    <w:rsid w:val="5C3DD26E"/>
    <w:rsid w:val="5C4BC1D9"/>
    <w:rsid w:val="5C4E9F11"/>
    <w:rsid w:val="5C58CA21"/>
    <w:rsid w:val="5C60544E"/>
    <w:rsid w:val="5C6A44D2"/>
    <w:rsid w:val="5C6C9D37"/>
    <w:rsid w:val="5C72244E"/>
    <w:rsid w:val="5C7648D0"/>
    <w:rsid w:val="5C7C94D0"/>
    <w:rsid w:val="5C87AB24"/>
    <w:rsid w:val="5CABC284"/>
    <w:rsid w:val="5CACCA94"/>
    <w:rsid w:val="5CAD7A3C"/>
    <w:rsid w:val="5CB02C0E"/>
    <w:rsid w:val="5CB274B9"/>
    <w:rsid w:val="5CB4E667"/>
    <w:rsid w:val="5CC2BF09"/>
    <w:rsid w:val="5CCAEB9B"/>
    <w:rsid w:val="5CCAF13B"/>
    <w:rsid w:val="5CD917AF"/>
    <w:rsid w:val="5CE1F56A"/>
    <w:rsid w:val="5CE1FCED"/>
    <w:rsid w:val="5CE5ED9E"/>
    <w:rsid w:val="5CE6D230"/>
    <w:rsid w:val="5CE8F8EA"/>
    <w:rsid w:val="5CE9C2DA"/>
    <w:rsid w:val="5CFCF502"/>
    <w:rsid w:val="5D02B66F"/>
    <w:rsid w:val="5D066CD2"/>
    <w:rsid w:val="5D22DDF3"/>
    <w:rsid w:val="5D345328"/>
    <w:rsid w:val="5D395F06"/>
    <w:rsid w:val="5D3D521E"/>
    <w:rsid w:val="5D411BF4"/>
    <w:rsid w:val="5D53A4DA"/>
    <w:rsid w:val="5D5490A0"/>
    <w:rsid w:val="5D578636"/>
    <w:rsid w:val="5D677ECD"/>
    <w:rsid w:val="5D759A13"/>
    <w:rsid w:val="5D84FC89"/>
    <w:rsid w:val="5D87DE88"/>
    <w:rsid w:val="5D8A14E9"/>
    <w:rsid w:val="5D8CBD9F"/>
    <w:rsid w:val="5D93B5A4"/>
    <w:rsid w:val="5D95AA09"/>
    <w:rsid w:val="5DA48B7D"/>
    <w:rsid w:val="5DA6F98B"/>
    <w:rsid w:val="5DAB2EF3"/>
    <w:rsid w:val="5DBD727A"/>
    <w:rsid w:val="5DC303D7"/>
    <w:rsid w:val="5DC3789E"/>
    <w:rsid w:val="5DE6E56D"/>
    <w:rsid w:val="5DE74882"/>
    <w:rsid w:val="5DEA65EE"/>
    <w:rsid w:val="5DFC2817"/>
    <w:rsid w:val="5DFE9B5B"/>
    <w:rsid w:val="5E055C2F"/>
    <w:rsid w:val="5E0E6872"/>
    <w:rsid w:val="5E105EC9"/>
    <w:rsid w:val="5E10FD80"/>
    <w:rsid w:val="5E20D500"/>
    <w:rsid w:val="5E2393E0"/>
    <w:rsid w:val="5E26A4A9"/>
    <w:rsid w:val="5E2D7782"/>
    <w:rsid w:val="5E32E66C"/>
    <w:rsid w:val="5E384EEF"/>
    <w:rsid w:val="5E3EE053"/>
    <w:rsid w:val="5E46892A"/>
    <w:rsid w:val="5E4F7184"/>
    <w:rsid w:val="5E5CB404"/>
    <w:rsid w:val="5E61FF00"/>
    <w:rsid w:val="5E6DE924"/>
    <w:rsid w:val="5E7031D4"/>
    <w:rsid w:val="5E736B99"/>
    <w:rsid w:val="5E7624A4"/>
    <w:rsid w:val="5E77F57E"/>
    <w:rsid w:val="5E7847A5"/>
    <w:rsid w:val="5E7A327A"/>
    <w:rsid w:val="5E87FAA4"/>
    <w:rsid w:val="5EAB063A"/>
    <w:rsid w:val="5EC192B2"/>
    <w:rsid w:val="5EC69A5E"/>
    <w:rsid w:val="5ECA89AA"/>
    <w:rsid w:val="5ED5BE41"/>
    <w:rsid w:val="5ED6C7BD"/>
    <w:rsid w:val="5ED7D60C"/>
    <w:rsid w:val="5EDA219B"/>
    <w:rsid w:val="5EE8B8DC"/>
    <w:rsid w:val="5F0DAE4F"/>
    <w:rsid w:val="5F1E014F"/>
    <w:rsid w:val="5F24E154"/>
    <w:rsid w:val="5F2828EF"/>
    <w:rsid w:val="5F2CC373"/>
    <w:rsid w:val="5F3A9CE3"/>
    <w:rsid w:val="5F40A5A7"/>
    <w:rsid w:val="5F4DC99B"/>
    <w:rsid w:val="5F4F7CE5"/>
    <w:rsid w:val="5F50EF49"/>
    <w:rsid w:val="5F52116D"/>
    <w:rsid w:val="5F58F936"/>
    <w:rsid w:val="5F5CBD3D"/>
    <w:rsid w:val="5F64A9E0"/>
    <w:rsid w:val="5F71DC1E"/>
    <w:rsid w:val="5F795B0B"/>
    <w:rsid w:val="5F7C56F0"/>
    <w:rsid w:val="5F88E5FC"/>
    <w:rsid w:val="5F8EFBEB"/>
    <w:rsid w:val="5F901DE5"/>
    <w:rsid w:val="5F9371DE"/>
    <w:rsid w:val="5F94D513"/>
    <w:rsid w:val="5F97A3C0"/>
    <w:rsid w:val="5FA1CE97"/>
    <w:rsid w:val="5FB3AFA2"/>
    <w:rsid w:val="5FB71AFE"/>
    <w:rsid w:val="5FBAF63B"/>
    <w:rsid w:val="5FC3B8BC"/>
    <w:rsid w:val="5FCDA3FE"/>
    <w:rsid w:val="5FD19521"/>
    <w:rsid w:val="5FD19BE2"/>
    <w:rsid w:val="5FD223F2"/>
    <w:rsid w:val="5FD31AC8"/>
    <w:rsid w:val="5FD679D2"/>
    <w:rsid w:val="5FE30D0A"/>
    <w:rsid w:val="5FE34A41"/>
    <w:rsid w:val="5FEC1493"/>
    <w:rsid w:val="5FF3471A"/>
    <w:rsid w:val="5FF3D136"/>
    <w:rsid w:val="5FFE2C0C"/>
    <w:rsid w:val="6002223E"/>
    <w:rsid w:val="600370EB"/>
    <w:rsid w:val="60096B8D"/>
    <w:rsid w:val="600E4B3B"/>
    <w:rsid w:val="601717DF"/>
    <w:rsid w:val="601C2DA8"/>
    <w:rsid w:val="601E2724"/>
    <w:rsid w:val="6024D4C8"/>
    <w:rsid w:val="6025D76C"/>
    <w:rsid w:val="602EE63B"/>
    <w:rsid w:val="60366DAB"/>
    <w:rsid w:val="603D3C3D"/>
    <w:rsid w:val="6047A56B"/>
    <w:rsid w:val="6048C8D2"/>
    <w:rsid w:val="604CA550"/>
    <w:rsid w:val="6058CEB0"/>
    <w:rsid w:val="605D76C2"/>
    <w:rsid w:val="606371DC"/>
    <w:rsid w:val="6064533D"/>
    <w:rsid w:val="606DBD82"/>
    <w:rsid w:val="607206AC"/>
    <w:rsid w:val="607224D8"/>
    <w:rsid w:val="60787CB3"/>
    <w:rsid w:val="607E0990"/>
    <w:rsid w:val="6080AEFB"/>
    <w:rsid w:val="6084D9E4"/>
    <w:rsid w:val="6086398B"/>
    <w:rsid w:val="6088DAEA"/>
    <w:rsid w:val="608A6D81"/>
    <w:rsid w:val="60916BDB"/>
    <w:rsid w:val="60AD9FD4"/>
    <w:rsid w:val="60B4D98D"/>
    <w:rsid w:val="60CA89EE"/>
    <w:rsid w:val="60D051FF"/>
    <w:rsid w:val="60D2B29A"/>
    <w:rsid w:val="60DF03C9"/>
    <w:rsid w:val="60E29F60"/>
    <w:rsid w:val="60F15D42"/>
    <w:rsid w:val="61034EF9"/>
    <w:rsid w:val="610F726D"/>
    <w:rsid w:val="61147695"/>
    <w:rsid w:val="611BBF08"/>
    <w:rsid w:val="61200790"/>
    <w:rsid w:val="6124E843"/>
    <w:rsid w:val="61252286"/>
    <w:rsid w:val="6128DC3F"/>
    <w:rsid w:val="612A5EAE"/>
    <w:rsid w:val="61387CDA"/>
    <w:rsid w:val="6139BC7F"/>
    <w:rsid w:val="613A1E34"/>
    <w:rsid w:val="614D20D1"/>
    <w:rsid w:val="6150B9EF"/>
    <w:rsid w:val="6155AA97"/>
    <w:rsid w:val="615A6BD9"/>
    <w:rsid w:val="615B6AAB"/>
    <w:rsid w:val="615B6D7C"/>
    <w:rsid w:val="615DE296"/>
    <w:rsid w:val="615F75B8"/>
    <w:rsid w:val="61652BC0"/>
    <w:rsid w:val="61663DAC"/>
    <w:rsid w:val="616675C0"/>
    <w:rsid w:val="617A792C"/>
    <w:rsid w:val="6183D345"/>
    <w:rsid w:val="6185610F"/>
    <w:rsid w:val="618B24C7"/>
    <w:rsid w:val="619269CE"/>
    <w:rsid w:val="6198EB83"/>
    <w:rsid w:val="619D1C23"/>
    <w:rsid w:val="619F3A17"/>
    <w:rsid w:val="61A1B8EB"/>
    <w:rsid w:val="61AC0032"/>
    <w:rsid w:val="61AC1B3A"/>
    <w:rsid w:val="61C04B1C"/>
    <w:rsid w:val="61C065B2"/>
    <w:rsid w:val="61C2B078"/>
    <w:rsid w:val="61C6D4CD"/>
    <w:rsid w:val="61D23749"/>
    <w:rsid w:val="61D33369"/>
    <w:rsid w:val="61DA96FA"/>
    <w:rsid w:val="61DAA180"/>
    <w:rsid w:val="61DB17D6"/>
    <w:rsid w:val="61E21F5D"/>
    <w:rsid w:val="62012292"/>
    <w:rsid w:val="622AE6DC"/>
    <w:rsid w:val="62392C0B"/>
    <w:rsid w:val="623BD825"/>
    <w:rsid w:val="62434138"/>
    <w:rsid w:val="62572DF6"/>
    <w:rsid w:val="625BA37C"/>
    <w:rsid w:val="625BD532"/>
    <w:rsid w:val="6260456A"/>
    <w:rsid w:val="626510D9"/>
    <w:rsid w:val="6265B11D"/>
    <w:rsid w:val="6273F26D"/>
    <w:rsid w:val="62751BDA"/>
    <w:rsid w:val="62775F42"/>
    <w:rsid w:val="62776508"/>
    <w:rsid w:val="6277A73D"/>
    <w:rsid w:val="6281D786"/>
    <w:rsid w:val="6283BB29"/>
    <w:rsid w:val="629D0F9B"/>
    <w:rsid w:val="62A14CCC"/>
    <w:rsid w:val="62A790FD"/>
    <w:rsid w:val="62AED001"/>
    <w:rsid w:val="62C17F35"/>
    <w:rsid w:val="62C253E0"/>
    <w:rsid w:val="62C79531"/>
    <w:rsid w:val="62D2414D"/>
    <w:rsid w:val="62D5E2F4"/>
    <w:rsid w:val="62E9AD7A"/>
    <w:rsid w:val="62EA9082"/>
    <w:rsid w:val="630A9C7B"/>
    <w:rsid w:val="630C43B0"/>
    <w:rsid w:val="630DA037"/>
    <w:rsid w:val="631055C6"/>
    <w:rsid w:val="6312C5B5"/>
    <w:rsid w:val="6313B1F3"/>
    <w:rsid w:val="631F3A8A"/>
    <w:rsid w:val="632530AA"/>
    <w:rsid w:val="632604E5"/>
    <w:rsid w:val="632C2851"/>
    <w:rsid w:val="63426220"/>
    <w:rsid w:val="634BACD8"/>
    <w:rsid w:val="634CAC45"/>
    <w:rsid w:val="63514968"/>
    <w:rsid w:val="635C0A13"/>
    <w:rsid w:val="635F9C4D"/>
    <w:rsid w:val="6366E2BB"/>
    <w:rsid w:val="6368B322"/>
    <w:rsid w:val="636D944F"/>
    <w:rsid w:val="6373365D"/>
    <w:rsid w:val="63742BA6"/>
    <w:rsid w:val="63754CFE"/>
    <w:rsid w:val="637AF336"/>
    <w:rsid w:val="63801654"/>
    <w:rsid w:val="6382FAB2"/>
    <w:rsid w:val="6389EAB3"/>
    <w:rsid w:val="63923C95"/>
    <w:rsid w:val="639CFD71"/>
    <w:rsid w:val="639E1ECA"/>
    <w:rsid w:val="63A2BD2A"/>
    <w:rsid w:val="63AD213C"/>
    <w:rsid w:val="63AD8656"/>
    <w:rsid w:val="63B56F6A"/>
    <w:rsid w:val="63BFD6C1"/>
    <w:rsid w:val="63C593B6"/>
    <w:rsid w:val="63CE3682"/>
    <w:rsid w:val="63D02EE1"/>
    <w:rsid w:val="63DA2A2F"/>
    <w:rsid w:val="63DC004C"/>
    <w:rsid w:val="63E0758E"/>
    <w:rsid w:val="63ED6E64"/>
    <w:rsid w:val="63EDD6EA"/>
    <w:rsid w:val="63F98520"/>
    <w:rsid w:val="64005B8C"/>
    <w:rsid w:val="6403A499"/>
    <w:rsid w:val="640A35B9"/>
    <w:rsid w:val="64182799"/>
    <w:rsid w:val="641C1583"/>
    <w:rsid w:val="6422D220"/>
    <w:rsid w:val="6428ED17"/>
    <w:rsid w:val="6430BABA"/>
    <w:rsid w:val="644C289B"/>
    <w:rsid w:val="6454F87B"/>
    <w:rsid w:val="645E794D"/>
    <w:rsid w:val="6464B9F3"/>
    <w:rsid w:val="64687E4F"/>
    <w:rsid w:val="64695413"/>
    <w:rsid w:val="646DE51D"/>
    <w:rsid w:val="64744BAF"/>
    <w:rsid w:val="64776153"/>
    <w:rsid w:val="6478B232"/>
    <w:rsid w:val="648A43D8"/>
    <w:rsid w:val="648B0A65"/>
    <w:rsid w:val="6498F4F1"/>
    <w:rsid w:val="649B591A"/>
    <w:rsid w:val="649C2068"/>
    <w:rsid w:val="649D4F6B"/>
    <w:rsid w:val="64A2B022"/>
    <w:rsid w:val="64A37A73"/>
    <w:rsid w:val="64AC62C5"/>
    <w:rsid w:val="64AE382E"/>
    <w:rsid w:val="64AE4EDB"/>
    <w:rsid w:val="64AF26F6"/>
    <w:rsid w:val="64B13807"/>
    <w:rsid w:val="64B18E82"/>
    <w:rsid w:val="64B2A4FC"/>
    <w:rsid w:val="64B657B1"/>
    <w:rsid w:val="64BAABAF"/>
    <w:rsid w:val="64BD95B5"/>
    <w:rsid w:val="64C46D30"/>
    <w:rsid w:val="64C9DA56"/>
    <w:rsid w:val="64D00A66"/>
    <w:rsid w:val="64D22A70"/>
    <w:rsid w:val="64D73496"/>
    <w:rsid w:val="64DC2868"/>
    <w:rsid w:val="64EE0E8A"/>
    <w:rsid w:val="64EF963A"/>
    <w:rsid w:val="64FA27A8"/>
    <w:rsid w:val="64FFEFAF"/>
    <w:rsid w:val="650841B2"/>
    <w:rsid w:val="6508C12E"/>
    <w:rsid w:val="65099ABA"/>
    <w:rsid w:val="650DC5E5"/>
    <w:rsid w:val="65104997"/>
    <w:rsid w:val="651065CB"/>
    <w:rsid w:val="65132C48"/>
    <w:rsid w:val="6514204B"/>
    <w:rsid w:val="6519CFF3"/>
    <w:rsid w:val="651AFF76"/>
    <w:rsid w:val="65259DF2"/>
    <w:rsid w:val="652852F2"/>
    <w:rsid w:val="6531E21B"/>
    <w:rsid w:val="65352853"/>
    <w:rsid w:val="6539AF6B"/>
    <w:rsid w:val="654909F2"/>
    <w:rsid w:val="654D7D32"/>
    <w:rsid w:val="654F51DE"/>
    <w:rsid w:val="6553379C"/>
    <w:rsid w:val="6553668A"/>
    <w:rsid w:val="655C53AF"/>
    <w:rsid w:val="657C1866"/>
    <w:rsid w:val="65875C59"/>
    <w:rsid w:val="659A7830"/>
    <w:rsid w:val="659E44A7"/>
    <w:rsid w:val="65A7FEC8"/>
    <w:rsid w:val="65AB15F6"/>
    <w:rsid w:val="65B17BB0"/>
    <w:rsid w:val="65B1C49B"/>
    <w:rsid w:val="65B496CB"/>
    <w:rsid w:val="65B526E0"/>
    <w:rsid w:val="65B75DF9"/>
    <w:rsid w:val="65B95847"/>
    <w:rsid w:val="65BD5843"/>
    <w:rsid w:val="65BDD66C"/>
    <w:rsid w:val="65BDE41D"/>
    <w:rsid w:val="65C9AAD5"/>
    <w:rsid w:val="65CADE50"/>
    <w:rsid w:val="65D61873"/>
    <w:rsid w:val="65D7CFA3"/>
    <w:rsid w:val="65D9E889"/>
    <w:rsid w:val="65DAEB40"/>
    <w:rsid w:val="65E03DB1"/>
    <w:rsid w:val="65E3E6A8"/>
    <w:rsid w:val="65E9B94C"/>
    <w:rsid w:val="65EA2B5A"/>
    <w:rsid w:val="65EDF4AE"/>
    <w:rsid w:val="65FCB61E"/>
    <w:rsid w:val="6601DC61"/>
    <w:rsid w:val="6610F416"/>
    <w:rsid w:val="6611D708"/>
    <w:rsid w:val="6618AC5B"/>
    <w:rsid w:val="66223280"/>
    <w:rsid w:val="6625D4DD"/>
    <w:rsid w:val="66314996"/>
    <w:rsid w:val="663AA14E"/>
    <w:rsid w:val="663FBEA1"/>
    <w:rsid w:val="664B77AB"/>
    <w:rsid w:val="664C808E"/>
    <w:rsid w:val="664F2313"/>
    <w:rsid w:val="665827CD"/>
    <w:rsid w:val="6662DAC9"/>
    <w:rsid w:val="667DFAA8"/>
    <w:rsid w:val="6680DA1D"/>
    <w:rsid w:val="6691D312"/>
    <w:rsid w:val="669BD198"/>
    <w:rsid w:val="669F82CC"/>
    <w:rsid w:val="66B39464"/>
    <w:rsid w:val="66B70613"/>
    <w:rsid w:val="66B7092F"/>
    <w:rsid w:val="66B9CF57"/>
    <w:rsid w:val="66BD32FB"/>
    <w:rsid w:val="66C9F866"/>
    <w:rsid w:val="66CAFB47"/>
    <w:rsid w:val="66D9CCAD"/>
    <w:rsid w:val="66EBED9F"/>
    <w:rsid w:val="66EC9D28"/>
    <w:rsid w:val="66F18613"/>
    <w:rsid w:val="66F3DC07"/>
    <w:rsid w:val="66FCE19E"/>
    <w:rsid w:val="670774AC"/>
    <w:rsid w:val="6709889E"/>
    <w:rsid w:val="670A8391"/>
    <w:rsid w:val="670BE4F2"/>
    <w:rsid w:val="670C8826"/>
    <w:rsid w:val="670E0D24"/>
    <w:rsid w:val="670EDF9C"/>
    <w:rsid w:val="671D0080"/>
    <w:rsid w:val="671FE4F7"/>
    <w:rsid w:val="67212735"/>
    <w:rsid w:val="67230A66"/>
    <w:rsid w:val="672B69EC"/>
    <w:rsid w:val="67507BD1"/>
    <w:rsid w:val="6751A7E3"/>
    <w:rsid w:val="67558634"/>
    <w:rsid w:val="6756D609"/>
    <w:rsid w:val="675D5D49"/>
    <w:rsid w:val="675E0ABF"/>
    <w:rsid w:val="67726A6F"/>
    <w:rsid w:val="6772F396"/>
    <w:rsid w:val="67761F7B"/>
    <w:rsid w:val="67796C1D"/>
    <w:rsid w:val="67897CE5"/>
    <w:rsid w:val="67945C71"/>
    <w:rsid w:val="679EA80D"/>
    <w:rsid w:val="67A32525"/>
    <w:rsid w:val="67AAFACE"/>
    <w:rsid w:val="67AC70C7"/>
    <w:rsid w:val="67B1C48A"/>
    <w:rsid w:val="67BE45FF"/>
    <w:rsid w:val="67BF13D6"/>
    <w:rsid w:val="67C6FAF8"/>
    <w:rsid w:val="67C73A78"/>
    <w:rsid w:val="67D1453F"/>
    <w:rsid w:val="67D4A42B"/>
    <w:rsid w:val="67D8EBAB"/>
    <w:rsid w:val="67DA1755"/>
    <w:rsid w:val="67DCE8C4"/>
    <w:rsid w:val="67DD50D7"/>
    <w:rsid w:val="67E0C91A"/>
    <w:rsid w:val="67EF6485"/>
    <w:rsid w:val="67F54808"/>
    <w:rsid w:val="67FAB153"/>
    <w:rsid w:val="67FF887C"/>
    <w:rsid w:val="68000AE6"/>
    <w:rsid w:val="680EF329"/>
    <w:rsid w:val="680F2615"/>
    <w:rsid w:val="681C8027"/>
    <w:rsid w:val="681FBF1B"/>
    <w:rsid w:val="6835CB89"/>
    <w:rsid w:val="68406600"/>
    <w:rsid w:val="68488F4B"/>
    <w:rsid w:val="684F87C9"/>
    <w:rsid w:val="6852BBDE"/>
    <w:rsid w:val="685A9191"/>
    <w:rsid w:val="685A9637"/>
    <w:rsid w:val="6867FE4B"/>
    <w:rsid w:val="68742F7A"/>
    <w:rsid w:val="6874CC07"/>
    <w:rsid w:val="68752C58"/>
    <w:rsid w:val="6892FA18"/>
    <w:rsid w:val="689DB50F"/>
    <w:rsid w:val="68B58B80"/>
    <w:rsid w:val="68B81446"/>
    <w:rsid w:val="68BEE678"/>
    <w:rsid w:val="68C31A4C"/>
    <w:rsid w:val="68CA76B2"/>
    <w:rsid w:val="68CBA491"/>
    <w:rsid w:val="68D0A2A3"/>
    <w:rsid w:val="68D8D0B3"/>
    <w:rsid w:val="68D933E8"/>
    <w:rsid w:val="68DE9349"/>
    <w:rsid w:val="68ED8E44"/>
    <w:rsid w:val="68F3C8F5"/>
    <w:rsid w:val="68F7EEA9"/>
    <w:rsid w:val="690A3126"/>
    <w:rsid w:val="690CEDE0"/>
    <w:rsid w:val="6910F962"/>
    <w:rsid w:val="691A6884"/>
    <w:rsid w:val="69211EC7"/>
    <w:rsid w:val="69228386"/>
    <w:rsid w:val="69235EBA"/>
    <w:rsid w:val="69289B55"/>
    <w:rsid w:val="692A7023"/>
    <w:rsid w:val="6932A1B9"/>
    <w:rsid w:val="6934A4AD"/>
    <w:rsid w:val="69355807"/>
    <w:rsid w:val="6939C9AE"/>
    <w:rsid w:val="69402DE0"/>
    <w:rsid w:val="694441B4"/>
    <w:rsid w:val="694BF16A"/>
    <w:rsid w:val="694C2102"/>
    <w:rsid w:val="6961CB75"/>
    <w:rsid w:val="696C5398"/>
    <w:rsid w:val="696F252A"/>
    <w:rsid w:val="69769919"/>
    <w:rsid w:val="69770B8C"/>
    <w:rsid w:val="698BB5CD"/>
    <w:rsid w:val="698E8374"/>
    <w:rsid w:val="69946E2D"/>
    <w:rsid w:val="6997C032"/>
    <w:rsid w:val="69987816"/>
    <w:rsid w:val="69A4776D"/>
    <w:rsid w:val="69AED16F"/>
    <w:rsid w:val="69B14406"/>
    <w:rsid w:val="69B6C1E6"/>
    <w:rsid w:val="69B8F9D5"/>
    <w:rsid w:val="69B9F1FD"/>
    <w:rsid w:val="69BFFD24"/>
    <w:rsid w:val="69C11C89"/>
    <w:rsid w:val="69C847A7"/>
    <w:rsid w:val="69CCE8CD"/>
    <w:rsid w:val="69CFAC5A"/>
    <w:rsid w:val="69D6F861"/>
    <w:rsid w:val="69DA826D"/>
    <w:rsid w:val="69E020B5"/>
    <w:rsid w:val="69E3279E"/>
    <w:rsid w:val="69E93E1D"/>
    <w:rsid w:val="69F9E23A"/>
    <w:rsid w:val="69FAECDC"/>
    <w:rsid w:val="6A0C178B"/>
    <w:rsid w:val="6A0FC7AA"/>
    <w:rsid w:val="6A13E70B"/>
    <w:rsid w:val="6A185351"/>
    <w:rsid w:val="6A1D4EB5"/>
    <w:rsid w:val="6A1FB9C5"/>
    <w:rsid w:val="6A3059BC"/>
    <w:rsid w:val="6A30CE96"/>
    <w:rsid w:val="6A3689C8"/>
    <w:rsid w:val="6A3D90FA"/>
    <w:rsid w:val="6A3FB568"/>
    <w:rsid w:val="6A479155"/>
    <w:rsid w:val="6A4A012A"/>
    <w:rsid w:val="6A4FC56B"/>
    <w:rsid w:val="6A575FD2"/>
    <w:rsid w:val="6A5896FF"/>
    <w:rsid w:val="6A595ED6"/>
    <w:rsid w:val="6A5E3CFF"/>
    <w:rsid w:val="6A617855"/>
    <w:rsid w:val="6A6617FA"/>
    <w:rsid w:val="6A6662A8"/>
    <w:rsid w:val="6A6B0D88"/>
    <w:rsid w:val="6A74AFA9"/>
    <w:rsid w:val="6A81D47A"/>
    <w:rsid w:val="6A83C79D"/>
    <w:rsid w:val="6A8A156C"/>
    <w:rsid w:val="6A97D232"/>
    <w:rsid w:val="6A9AA560"/>
    <w:rsid w:val="6AA357B4"/>
    <w:rsid w:val="6AA894A6"/>
    <w:rsid w:val="6AAA9008"/>
    <w:rsid w:val="6AB0FD5F"/>
    <w:rsid w:val="6AC9813A"/>
    <w:rsid w:val="6AC9B53B"/>
    <w:rsid w:val="6ACEF78D"/>
    <w:rsid w:val="6AD08543"/>
    <w:rsid w:val="6ADB40FA"/>
    <w:rsid w:val="6ADF1126"/>
    <w:rsid w:val="6AE1201E"/>
    <w:rsid w:val="6AED382F"/>
    <w:rsid w:val="6AEF58CB"/>
    <w:rsid w:val="6AF0FD18"/>
    <w:rsid w:val="6B0EE19F"/>
    <w:rsid w:val="6B185C85"/>
    <w:rsid w:val="6B1CA850"/>
    <w:rsid w:val="6B2C41BD"/>
    <w:rsid w:val="6B3426A3"/>
    <w:rsid w:val="6B34F7C5"/>
    <w:rsid w:val="6B356135"/>
    <w:rsid w:val="6B367CAE"/>
    <w:rsid w:val="6B3D7556"/>
    <w:rsid w:val="6B3F8462"/>
    <w:rsid w:val="6B45CCC4"/>
    <w:rsid w:val="6B509700"/>
    <w:rsid w:val="6B55A21E"/>
    <w:rsid w:val="6B5C9B14"/>
    <w:rsid w:val="6B64C9DB"/>
    <w:rsid w:val="6B65A1EE"/>
    <w:rsid w:val="6B66B687"/>
    <w:rsid w:val="6B683DCD"/>
    <w:rsid w:val="6B6FFF26"/>
    <w:rsid w:val="6B70F415"/>
    <w:rsid w:val="6B736FCF"/>
    <w:rsid w:val="6B76C4DF"/>
    <w:rsid w:val="6B7F2742"/>
    <w:rsid w:val="6B936371"/>
    <w:rsid w:val="6B947CFD"/>
    <w:rsid w:val="6B9C8519"/>
    <w:rsid w:val="6BAB17E9"/>
    <w:rsid w:val="6BB425A0"/>
    <w:rsid w:val="6BB8B3EE"/>
    <w:rsid w:val="6BBBFE62"/>
    <w:rsid w:val="6BC28EAD"/>
    <w:rsid w:val="6BC8F231"/>
    <w:rsid w:val="6BD8366C"/>
    <w:rsid w:val="6BE546A6"/>
    <w:rsid w:val="6BE62386"/>
    <w:rsid w:val="6BE69544"/>
    <w:rsid w:val="6BE8CF52"/>
    <w:rsid w:val="6BEA2918"/>
    <w:rsid w:val="6BEE44DD"/>
    <w:rsid w:val="6BEE5E1C"/>
    <w:rsid w:val="6BFC21E8"/>
    <w:rsid w:val="6BFC4D48"/>
    <w:rsid w:val="6BFFC81C"/>
    <w:rsid w:val="6C0055A3"/>
    <w:rsid w:val="6C038318"/>
    <w:rsid w:val="6C083101"/>
    <w:rsid w:val="6C095C79"/>
    <w:rsid w:val="6C0E9BB6"/>
    <w:rsid w:val="6C173CE0"/>
    <w:rsid w:val="6C1B24FE"/>
    <w:rsid w:val="6C22D865"/>
    <w:rsid w:val="6C266D6F"/>
    <w:rsid w:val="6C28807D"/>
    <w:rsid w:val="6C303B6B"/>
    <w:rsid w:val="6C3510A5"/>
    <w:rsid w:val="6C351D8E"/>
    <w:rsid w:val="6C367878"/>
    <w:rsid w:val="6C3C79F9"/>
    <w:rsid w:val="6C40F047"/>
    <w:rsid w:val="6C44C413"/>
    <w:rsid w:val="6C49E4FE"/>
    <w:rsid w:val="6C4C9818"/>
    <w:rsid w:val="6C4F8B7A"/>
    <w:rsid w:val="6C61C918"/>
    <w:rsid w:val="6C64164B"/>
    <w:rsid w:val="6C6C5118"/>
    <w:rsid w:val="6C6F11EF"/>
    <w:rsid w:val="6C74C8D6"/>
    <w:rsid w:val="6C83E9A8"/>
    <w:rsid w:val="6C87ABB8"/>
    <w:rsid w:val="6C9405B4"/>
    <w:rsid w:val="6C9B2B07"/>
    <w:rsid w:val="6CAEC6C0"/>
    <w:rsid w:val="6CB66994"/>
    <w:rsid w:val="6CBB8D88"/>
    <w:rsid w:val="6CBC8ADC"/>
    <w:rsid w:val="6CBCDB14"/>
    <w:rsid w:val="6CBF6F3C"/>
    <w:rsid w:val="6CD04C43"/>
    <w:rsid w:val="6CD0E349"/>
    <w:rsid w:val="6CDB60AA"/>
    <w:rsid w:val="6CE1972F"/>
    <w:rsid w:val="6CE8084F"/>
    <w:rsid w:val="6CE8C42F"/>
    <w:rsid w:val="6CEA851D"/>
    <w:rsid w:val="6CED9696"/>
    <w:rsid w:val="6CF1484C"/>
    <w:rsid w:val="6D0E698B"/>
    <w:rsid w:val="6D0EA06E"/>
    <w:rsid w:val="6D179BD7"/>
    <w:rsid w:val="6D18D2C5"/>
    <w:rsid w:val="6D1A43B0"/>
    <w:rsid w:val="6D26800D"/>
    <w:rsid w:val="6D2D167C"/>
    <w:rsid w:val="6D314916"/>
    <w:rsid w:val="6D321B7E"/>
    <w:rsid w:val="6D3263C4"/>
    <w:rsid w:val="6D3AB381"/>
    <w:rsid w:val="6D4295E6"/>
    <w:rsid w:val="6D455562"/>
    <w:rsid w:val="6D473634"/>
    <w:rsid w:val="6D49F88C"/>
    <w:rsid w:val="6D4DDDF2"/>
    <w:rsid w:val="6D4DDE82"/>
    <w:rsid w:val="6D53B628"/>
    <w:rsid w:val="6D546270"/>
    <w:rsid w:val="6D588957"/>
    <w:rsid w:val="6D5E7C8F"/>
    <w:rsid w:val="6D6018E2"/>
    <w:rsid w:val="6D69A8C6"/>
    <w:rsid w:val="6D70338F"/>
    <w:rsid w:val="6D7AE88C"/>
    <w:rsid w:val="6D7E8553"/>
    <w:rsid w:val="6D85A24E"/>
    <w:rsid w:val="6D85AF60"/>
    <w:rsid w:val="6D8FDFD3"/>
    <w:rsid w:val="6D9160C2"/>
    <w:rsid w:val="6D955C52"/>
    <w:rsid w:val="6D9893C6"/>
    <w:rsid w:val="6DA197E8"/>
    <w:rsid w:val="6DA32066"/>
    <w:rsid w:val="6DAC034C"/>
    <w:rsid w:val="6DB1B5A2"/>
    <w:rsid w:val="6DB4A125"/>
    <w:rsid w:val="6DB78505"/>
    <w:rsid w:val="6DBD670C"/>
    <w:rsid w:val="6DC47A6E"/>
    <w:rsid w:val="6DCBB60C"/>
    <w:rsid w:val="6DCE947C"/>
    <w:rsid w:val="6DD7AEED"/>
    <w:rsid w:val="6DD8887C"/>
    <w:rsid w:val="6DD9C0CB"/>
    <w:rsid w:val="6DDEEDBE"/>
    <w:rsid w:val="6DE1F3D0"/>
    <w:rsid w:val="6DEBD6A2"/>
    <w:rsid w:val="6DF5CF81"/>
    <w:rsid w:val="6DF99114"/>
    <w:rsid w:val="6E02D56B"/>
    <w:rsid w:val="6E0B6372"/>
    <w:rsid w:val="6E0C7561"/>
    <w:rsid w:val="6E22E3A1"/>
    <w:rsid w:val="6E2EF7EA"/>
    <w:rsid w:val="6E33DFEB"/>
    <w:rsid w:val="6E57E1F4"/>
    <w:rsid w:val="6E5A4196"/>
    <w:rsid w:val="6E6229FB"/>
    <w:rsid w:val="6E631FF7"/>
    <w:rsid w:val="6E66A1E0"/>
    <w:rsid w:val="6E69C805"/>
    <w:rsid w:val="6E7168D2"/>
    <w:rsid w:val="6E7521F3"/>
    <w:rsid w:val="6E7B25E9"/>
    <w:rsid w:val="6E7FDAE3"/>
    <w:rsid w:val="6E8AA12F"/>
    <w:rsid w:val="6E9000A0"/>
    <w:rsid w:val="6E96E8DC"/>
    <w:rsid w:val="6E96FE48"/>
    <w:rsid w:val="6E9987F9"/>
    <w:rsid w:val="6EA0CDEC"/>
    <w:rsid w:val="6EA56E60"/>
    <w:rsid w:val="6EBEAC27"/>
    <w:rsid w:val="6EC8215D"/>
    <w:rsid w:val="6ECE52D3"/>
    <w:rsid w:val="6ED653D7"/>
    <w:rsid w:val="6EDBE7F7"/>
    <w:rsid w:val="6EE00907"/>
    <w:rsid w:val="6EE4D441"/>
    <w:rsid w:val="6EEF1674"/>
    <w:rsid w:val="6EEF2C58"/>
    <w:rsid w:val="6EF23438"/>
    <w:rsid w:val="6EF64D95"/>
    <w:rsid w:val="6EF83EEF"/>
    <w:rsid w:val="6EFDABE3"/>
    <w:rsid w:val="6F006C6A"/>
    <w:rsid w:val="6F08F98F"/>
    <w:rsid w:val="6F11DB66"/>
    <w:rsid w:val="6F15B71A"/>
    <w:rsid w:val="6F16179E"/>
    <w:rsid w:val="6F253804"/>
    <w:rsid w:val="6F2A2489"/>
    <w:rsid w:val="6F2A7381"/>
    <w:rsid w:val="6F30634B"/>
    <w:rsid w:val="6F31838F"/>
    <w:rsid w:val="6F44D79A"/>
    <w:rsid w:val="6F474238"/>
    <w:rsid w:val="6F4EC395"/>
    <w:rsid w:val="6F501E7C"/>
    <w:rsid w:val="6F518B53"/>
    <w:rsid w:val="6F5324CB"/>
    <w:rsid w:val="6F552FC7"/>
    <w:rsid w:val="6F55635F"/>
    <w:rsid w:val="6F693D4E"/>
    <w:rsid w:val="6F6967F6"/>
    <w:rsid w:val="6F713B87"/>
    <w:rsid w:val="6F714FDF"/>
    <w:rsid w:val="6F7534E2"/>
    <w:rsid w:val="6F76CDC7"/>
    <w:rsid w:val="6F7A5E2B"/>
    <w:rsid w:val="6F8301A4"/>
    <w:rsid w:val="6F8964DA"/>
    <w:rsid w:val="6F98BE8E"/>
    <w:rsid w:val="6F995CBD"/>
    <w:rsid w:val="6F9A6312"/>
    <w:rsid w:val="6F9BAD52"/>
    <w:rsid w:val="6FA4BA4F"/>
    <w:rsid w:val="6FACF8F9"/>
    <w:rsid w:val="6FC8FD80"/>
    <w:rsid w:val="6FCED07C"/>
    <w:rsid w:val="6FD4056B"/>
    <w:rsid w:val="6FDB4043"/>
    <w:rsid w:val="6FE4971E"/>
    <w:rsid w:val="6FEEAD13"/>
    <w:rsid w:val="6FEFEEC9"/>
    <w:rsid w:val="6FF29B1F"/>
    <w:rsid w:val="6FF8FDDC"/>
    <w:rsid w:val="6FFAFBEA"/>
    <w:rsid w:val="7003911C"/>
    <w:rsid w:val="700F9358"/>
    <w:rsid w:val="7013C396"/>
    <w:rsid w:val="7015DBF7"/>
    <w:rsid w:val="70272FF3"/>
    <w:rsid w:val="703BCB59"/>
    <w:rsid w:val="703D68AC"/>
    <w:rsid w:val="7040622C"/>
    <w:rsid w:val="70465A59"/>
    <w:rsid w:val="705A85D0"/>
    <w:rsid w:val="705C89E1"/>
    <w:rsid w:val="706974D8"/>
    <w:rsid w:val="706B5B4C"/>
    <w:rsid w:val="706B74CA"/>
    <w:rsid w:val="7072FF6C"/>
    <w:rsid w:val="707B3EFB"/>
    <w:rsid w:val="707B8748"/>
    <w:rsid w:val="707D999A"/>
    <w:rsid w:val="707DAF6A"/>
    <w:rsid w:val="70856480"/>
    <w:rsid w:val="708EE088"/>
    <w:rsid w:val="709083AE"/>
    <w:rsid w:val="709BD418"/>
    <w:rsid w:val="70A46C63"/>
    <w:rsid w:val="70A93399"/>
    <w:rsid w:val="70B02A9A"/>
    <w:rsid w:val="70B9A95C"/>
    <w:rsid w:val="70C0425C"/>
    <w:rsid w:val="70C15732"/>
    <w:rsid w:val="70E29816"/>
    <w:rsid w:val="70E5F019"/>
    <w:rsid w:val="70EEAC3F"/>
    <w:rsid w:val="70F4077E"/>
    <w:rsid w:val="70FE8559"/>
    <w:rsid w:val="70FF344C"/>
    <w:rsid w:val="7117F158"/>
    <w:rsid w:val="711BB61E"/>
    <w:rsid w:val="711DDDC7"/>
    <w:rsid w:val="712513A9"/>
    <w:rsid w:val="713051C3"/>
    <w:rsid w:val="7132693B"/>
    <w:rsid w:val="7135126D"/>
    <w:rsid w:val="713AE149"/>
    <w:rsid w:val="713CCB62"/>
    <w:rsid w:val="714FC5AA"/>
    <w:rsid w:val="71587BA5"/>
    <w:rsid w:val="715E0B61"/>
    <w:rsid w:val="715E8B94"/>
    <w:rsid w:val="716257BA"/>
    <w:rsid w:val="71632CCD"/>
    <w:rsid w:val="7181E5BD"/>
    <w:rsid w:val="71834B21"/>
    <w:rsid w:val="71860BE3"/>
    <w:rsid w:val="718F4AE9"/>
    <w:rsid w:val="7194569F"/>
    <w:rsid w:val="7194CD67"/>
    <w:rsid w:val="7196C3AB"/>
    <w:rsid w:val="719912A8"/>
    <w:rsid w:val="719BDF22"/>
    <w:rsid w:val="719E945A"/>
    <w:rsid w:val="71A904A2"/>
    <w:rsid w:val="71A934EA"/>
    <w:rsid w:val="71A9D52D"/>
    <w:rsid w:val="71ABFDA1"/>
    <w:rsid w:val="71AE973F"/>
    <w:rsid w:val="71B8B3C7"/>
    <w:rsid w:val="71BE36E8"/>
    <w:rsid w:val="71C2D41C"/>
    <w:rsid w:val="71C5422E"/>
    <w:rsid w:val="71C71175"/>
    <w:rsid w:val="71C8D3BD"/>
    <w:rsid w:val="71DF4B8C"/>
    <w:rsid w:val="71DF76C3"/>
    <w:rsid w:val="71E1BF61"/>
    <w:rsid w:val="71E31A28"/>
    <w:rsid w:val="71E53397"/>
    <w:rsid w:val="71F477A9"/>
    <w:rsid w:val="7201BF5F"/>
    <w:rsid w:val="7202689A"/>
    <w:rsid w:val="72077ABB"/>
    <w:rsid w:val="72088C56"/>
    <w:rsid w:val="7212B7B1"/>
    <w:rsid w:val="721E0094"/>
    <w:rsid w:val="7222358F"/>
    <w:rsid w:val="72348273"/>
    <w:rsid w:val="7234BD5F"/>
    <w:rsid w:val="7238E839"/>
    <w:rsid w:val="7240BF82"/>
    <w:rsid w:val="7242B3BE"/>
    <w:rsid w:val="724885F5"/>
    <w:rsid w:val="72498BD1"/>
    <w:rsid w:val="724E5E57"/>
    <w:rsid w:val="72588033"/>
    <w:rsid w:val="725E6B75"/>
    <w:rsid w:val="72613414"/>
    <w:rsid w:val="7263DF5B"/>
    <w:rsid w:val="72825CC1"/>
    <w:rsid w:val="728F90A7"/>
    <w:rsid w:val="729BF95D"/>
    <w:rsid w:val="72AC96CE"/>
    <w:rsid w:val="72ADB61B"/>
    <w:rsid w:val="72B71590"/>
    <w:rsid w:val="72B96094"/>
    <w:rsid w:val="72C1E883"/>
    <w:rsid w:val="72C454B6"/>
    <w:rsid w:val="72C5C19C"/>
    <w:rsid w:val="72CABEED"/>
    <w:rsid w:val="72CBC157"/>
    <w:rsid w:val="72CD1520"/>
    <w:rsid w:val="72D0C0CF"/>
    <w:rsid w:val="72D36562"/>
    <w:rsid w:val="72D7025C"/>
    <w:rsid w:val="72D7C58C"/>
    <w:rsid w:val="72D82317"/>
    <w:rsid w:val="72F14D48"/>
    <w:rsid w:val="72F269BC"/>
    <w:rsid w:val="72F31F52"/>
    <w:rsid w:val="72F7F71F"/>
    <w:rsid w:val="7300047B"/>
    <w:rsid w:val="730156A1"/>
    <w:rsid w:val="730C5BE0"/>
    <w:rsid w:val="730F1CBC"/>
    <w:rsid w:val="731E6DCF"/>
    <w:rsid w:val="73323755"/>
    <w:rsid w:val="7334525B"/>
    <w:rsid w:val="733A6CC8"/>
    <w:rsid w:val="733B44AE"/>
    <w:rsid w:val="733EFE21"/>
    <w:rsid w:val="7340C7E7"/>
    <w:rsid w:val="7342A2E4"/>
    <w:rsid w:val="734D9927"/>
    <w:rsid w:val="7351D073"/>
    <w:rsid w:val="7365A2D9"/>
    <w:rsid w:val="736915C1"/>
    <w:rsid w:val="736C041E"/>
    <w:rsid w:val="736EA9E2"/>
    <w:rsid w:val="736FC33D"/>
    <w:rsid w:val="737F9B50"/>
    <w:rsid w:val="73807108"/>
    <w:rsid w:val="73866A1D"/>
    <w:rsid w:val="738E6FD6"/>
    <w:rsid w:val="73A01CE2"/>
    <w:rsid w:val="73A6A48A"/>
    <w:rsid w:val="73A8CF22"/>
    <w:rsid w:val="73AE4A41"/>
    <w:rsid w:val="73B54B02"/>
    <w:rsid w:val="73C59688"/>
    <w:rsid w:val="73C8F2C4"/>
    <w:rsid w:val="73CC59EC"/>
    <w:rsid w:val="73CD81E6"/>
    <w:rsid w:val="73DB6EA9"/>
    <w:rsid w:val="73DD592C"/>
    <w:rsid w:val="73DF8EAC"/>
    <w:rsid w:val="73E24945"/>
    <w:rsid w:val="73E2B58A"/>
    <w:rsid w:val="73E4F69C"/>
    <w:rsid w:val="73E8BE16"/>
    <w:rsid w:val="73EC3CED"/>
    <w:rsid w:val="73F8B537"/>
    <w:rsid w:val="73FAFDDD"/>
    <w:rsid w:val="73FDDE81"/>
    <w:rsid w:val="73FE5DED"/>
    <w:rsid w:val="7402D932"/>
    <w:rsid w:val="741D354B"/>
    <w:rsid w:val="742B38BC"/>
    <w:rsid w:val="743DE50E"/>
    <w:rsid w:val="743E90B4"/>
    <w:rsid w:val="744F6A21"/>
    <w:rsid w:val="744FF319"/>
    <w:rsid w:val="745147D1"/>
    <w:rsid w:val="745E23DE"/>
    <w:rsid w:val="74616171"/>
    <w:rsid w:val="74640DC0"/>
    <w:rsid w:val="746EEFFB"/>
    <w:rsid w:val="746FCBFA"/>
    <w:rsid w:val="7475C40A"/>
    <w:rsid w:val="7476E091"/>
    <w:rsid w:val="7477DAEA"/>
    <w:rsid w:val="747F4AC8"/>
    <w:rsid w:val="748362F3"/>
    <w:rsid w:val="74861359"/>
    <w:rsid w:val="749EB3A9"/>
    <w:rsid w:val="749F1944"/>
    <w:rsid w:val="74A0AE7A"/>
    <w:rsid w:val="74A695E5"/>
    <w:rsid w:val="74A6BC54"/>
    <w:rsid w:val="74AC2824"/>
    <w:rsid w:val="74AD9C74"/>
    <w:rsid w:val="74B2770E"/>
    <w:rsid w:val="74B2B082"/>
    <w:rsid w:val="74BA87C8"/>
    <w:rsid w:val="74BD0CD6"/>
    <w:rsid w:val="74C1C573"/>
    <w:rsid w:val="74CA3A08"/>
    <w:rsid w:val="74D0DF53"/>
    <w:rsid w:val="74DCE289"/>
    <w:rsid w:val="74E5DB93"/>
    <w:rsid w:val="74E5F5E6"/>
    <w:rsid w:val="74E6950B"/>
    <w:rsid w:val="74F848CA"/>
    <w:rsid w:val="74FB726B"/>
    <w:rsid w:val="74FF7600"/>
    <w:rsid w:val="7504136C"/>
    <w:rsid w:val="7505B951"/>
    <w:rsid w:val="750AEA24"/>
    <w:rsid w:val="750EEA51"/>
    <w:rsid w:val="7517D84F"/>
    <w:rsid w:val="7523EFEE"/>
    <w:rsid w:val="752993F2"/>
    <w:rsid w:val="752FF4E8"/>
    <w:rsid w:val="75311E58"/>
    <w:rsid w:val="7531CB3D"/>
    <w:rsid w:val="753B944F"/>
    <w:rsid w:val="753C358D"/>
    <w:rsid w:val="753CFA05"/>
    <w:rsid w:val="75456CF8"/>
    <w:rsid w:val="75471AED"/>
    <w:rsid w:val="7548AFCE"/>
    <w:rsid w:val="7548FA4A"/>
    <w:rsid w:val="7549641E"/>
    <w:rsid w:val="754B6FFE"/>
    <w:rsid w:val="754D5042"/>
    <w:rsid w:val="754DB859"/>
    <w:rsid w:val="755145F7"/>
    <w:rsid w:val="756A76A9"/>
    <w:rsid w:val="75748FCA"/>
    <w:rsid w:val="758804D7"/>
    <w:rsid w:val="7595266D"/>
    <w:rsid w:val="75A8EAC0"/>
    <w:rsid w:val="75ABF368"/>
    <w:rsid w:val="75ADE057"/>
    <w:rsid w:val="75B69E68"/>
    <w:rsid w:val="75B8B080"/>
    <w:rsid w:val="75B9023E"/>
    <w:rsid w:val="75D248C1"/>
    <w:rsid w:val="75D6467A"/>
    <w:rsid w:val="75E10866"/>
    <w:rsid w:val="75E6D308"/>
    <w:rsid w:val="75E7A011"/>
    <w:rsid w:val="75E87DCD"/>
    <w:rsid w:val="75F0FE33"/>
    <w:rsid w:val="7601B8A2"/>
    <w:rsid w:val="7607AE2F"/>
    <w:rsid w:val="760CE04A"/>
    <w:rsid w:val="760FD0B0"/>
    <w:rsid w:val="7610C427"/>
    <w:rsid w:val="7615117E"/>
    <w:rsid w:val="7626192B"/>
    <w:rsid w:val="762D6A7A"/>
    <w:rsid w:val="764A5859"/>
    <w:rsid w:val="764EDCDD"/>
    <w:rsid w:val="7651E216"/>
    <w:rsid w:val="7654EB4A"/>
    <w:rsid w:val="766139CF"/>
    <w:rsid w:val="76631CAA"/>
    <w:rsid w:val="7664C20B"/>
    <w:rsid w:val="7668358E"/>
    <w:rsid w:val="7668859E"/>
    <w:rsid w:val="76719268"/>
    <w:rsid w:val="7671DFE3"/>
    <w:rsid w:val="7679EB5E"/>
    <w:rsid w:val="767A7056"/>
    <w:rsid w:val="767C9036"/>
    <w:rsid w:val="7681E1DB"/>
    <w:rsid w:val="76870EEA"/>
    <w:rsid w:val="768EB9C1"/>
    <w:rsid w:val="7692DA0C"/>
    <w:rsid w:val="7699BD35"/>
    <w:rsid w:val="769A3862"/>
    <w:rsid w:val="769CDA5A"/>
    <w:rsid w:val="769E59E3"/>
    <w:rsid w:val="76AE4DBB"/>
    <w:rsid w:val="76B173EB"/>
    <w:rsid w:val="76B2DBF7"/>
    <w:rsid w:val="76B726A0"/>
    <w:rsid w:val="76B8050D"/>
    <w:rsid w:val="76B88E39"/>
    <w:rsid w:val="76B93444"/>
    <w:rsid w:val="76C2B374"/>
    <w:rsid w:val="76C88949"/>
    <w:rsid w:val="76D0435B"/>
    <w:rsid w:val="76D7A486"/>
    <w:rsid w:val="76DAE330"/>
    <w:rsid w:val="76DDB54E"/>
    <w:rsid w:val="76ECA00C"/>
    <w:rsid w:val="76F0A91B"/>
    <w:rsid w:val="76F35293"/>
    <w:rsid w:val="76F9AFF9"/>
    <w:rsid w:val="77000747"/>
    <w:rsid w:val="77027C4E"/>
    <w:rsid w:val="770752C3"/>
    <w:rsid w:val="7713A606"/>
    <w:rsid w:val="7717AF60"/>
    <w:rsid w:val="77197940"/>
    <w:rsid w:val="7719ED1A"/>
    <w:rsid w:val="7726AE9B"/>
    <w:rsid w:val="7726CB09"/>
    <w:rsid w:val="772F5A1F"/>
    <w:rsid w:val="77368A07"/>
    <w:rsid w:val="77379716"/>
    <w:rsid w:val="774396DA"/>
    <w:rsid w:val="7745F335"/>
    <w:rsid w:val="774E1AAC"/>
    <w:rsid w:val="7756C6E3"/>
    <w:rsid w:val="775FFFC6"/>
    <w:rsid w:val="7765DFBC"/>
    <w:rsid w:val="776653C3"/>
    <w:rsid w:val="77674FCB"/>
    <w:rsid w:val="77731341"/>
    <w:rsid w:val="777852F5"/>
    <w:rsid w:val="777EB315"/>
    <w:rsid w:val="778EF062"/>
    <w:rsid w:val="778FBF0E"/>
    <w:rsid w:val="7790312E"/>
    <w:rsid w:val="77A3A840"/>
    <w:rsid w:val="77A69A89"/>
    <w:rsid w:val="77B8588A"/>
    <w:rsid w:val="77CCDFC3"/>
    <w:rsid w:val="77D3B306"/>
    <w:rsid w:val="77D72AAD"/>
    <w:rsid w:val="77E4F46B"/>
    <w:rsid w:val="77E65109"/>
    <w:rsid w:val="77EF3329"/>
    <w:rsid w:val="78030688"/>
    <w:rsid w:val="780DF41A"/>
    <w:rsid w:val="780F6F7F"/>
    <w:rsid w:val="781A9481"/>
    <w:rsid w:val="781E3B87"/>
    <w:rsid w:val="7821BE34"/>
    <w:rsid w:val="7822557D"/>
    <w:rsid w:val="7830E825"/>
    <w:rsid w:val="78321E53"/>
    <w:rsid w:val="7839C161"/>
    <w:rsid w:val="783CF68F"/>
    <w:rsid w:val="783F0097"/>
    <w:rsid w:val="784619CE"/>
    <w:rsid w:val="784BFB0E"/>
    <w:rsid w:val="7855E441"/>
    <w:rsid w:val="785EECBE"/>
    <w:rsid w:val="7861F01B"/>
    <w:rsid w:val="786F69C1"/>
    <w:rsid w:val="786FC314"/>
    <w:rsid w:val="78770BF9"/>
    <w:rsid w:val="787823FB"/>
    <w:rsid w:val="787F1B3C"/>
    <w:rsid w:val="788DC19D"/>
    <w:rsid w:val="7892D73F"/>
    <w:rsid w:val="789B6944"/>
    <w:rsid w:val="78A0A318"/>
    <w:rsid w:val="78B01B89"/>
    <w:rsid w:val="78B05CE3"/>
    <w:rsid w:val="78B07C8F"/>
    <w:rsid w:val="78B2AB63"/>
    <w:rsid w:val="78B4889B"/>
    <w:rsid w:val="78BF09EC"/>
    <w:rsid w:val="78C1B7CB"/>
    <w:rsid w:val="78C2AC4D"/>
    <w:rsid w:val="78C94604"/>
    <w:rsid w:val="78D21206"/>
    <w:rsid w:val="78D3EB8F"/>
    <w:rsid w:val="78D417A7"/>
    <w:rsid w:val="78D65D01"/>
    <w:rsid w:val="78E15B43"/>
    <w:rsid w:val="78E28117"/>
    <w:rsid w:val="78F1B26F"/>
    <w:rsid w:val="78F376EB"/>
    <w:rsid w:val="78F9610F"/>
    <w:rsid w:val="78F9615C"/>
    <w:rsid w:val="791720BD"/>
    <w:rsid w:val="791A1AF3"/>
    <w:rsid w:val="791CF48B"/>
    <w:rsid w:val="7927FC72"/>
    <w:rsid w:val="79298CDE"/>
    <w:rsid w:val="79387CDB"/>
    <w:rsid w:val="7939ABD9"/>
    <w:rsid w:val="79441EB8"/>
    <w:rsid w:val="794F0309"/>
    <w:rsid w:val="7953C720"/>
    <w:rsid w:val="7954E7DE"/>
    <w:rsid w:val="7957859D"/>
    <w:rsid w:val="7958B6CB"/>
    <w:rsid w:val="795A2AC9"/>
    <w:rsid w:val="795A372D"/>
    <w:rsid w:val="795C6F5D"/>
    <w:rsid w:val="795FA3A1"/>
    <w:rsid w:val="795FB7A6"/>
    <w:rsid w:val="796B1A70"/>
    <w:rsid w:val="796F3234"/>
    <w:rsid w:val="79716DA0"/>
    <w:rsid w:val="7975BA75"/>
    <w:rsid w:val="79766BCE"/>
    <w:rsid w:val="7977FAD6"/>
    <w:rsid w:val="7978CD53"/>
    <w:rsid w:val="79845318"/>
    <w:rsid w:val="798C8ECF"/>
    <w:rsid w:val="79904CE4"/>
    <w:rsid w:val="79910CE9"/>
    <w:rsid w:val="7992906E"/>
    <w:rsid w:val="79933165"/>
    <w:rsid w:val="7997A706"/>
    <w:rsid w:val="799E207A"/>
    <w:rsid w:val="79A1C2C2"/>
    <w:rsid w:val="79A6FD0C"/>
    <w:rsid w:val="79AFFB09"/>
    <w:rsid w:val="79B81E54"/>
    <w:rsid w:val="79CBB138"/>
    <w:rsid w:val="79CD6571"/>
    <w:rsid w:val="79DD52ED"/>
    <w:rsid w:val="79DE0D4A"/>
    <w:rsid w:val="79E13F2A"/>
    <w:rsid w:val="79E4B316"/>
    <w:rsid w:val="79E9DB47"/>
    <w:rsid w:val="79ECE1E9"/>
    <w:rsid w:val="79F2D2E4"/>
    <w:rsid w:val="79F50EF5"/>
    <w:rsid w:val="79FF988A"/>
    <w:rsid w:val="7A02FEC6"/>
    <w:rsid w:val="7A0A5342"/>
    <w:rsid w:val="7A10A81D"/>
    <w:rsid w:val="7A1370A0"/>
    <w:rsid w:val="7A1D1EF8"/>
    <w:rsid w:val="7A292BD8"/>
    <w:rsid w:val="7A29CE20"/>
    <w:rsid w:val="7A2C8025"/>
    <w:rsid w:val="7A2DC12E"/>
    <w:rsid w:val="7A40D848"/>
    <w:rsid w:val="7A52DC1A"/>
    <w:rsid w:val="7A63797E"/>
    <w:rsid w:val="7A649F05"/>
    <w:rsid w:val="7A6EF720"/>
    <w:rsid w:val="7A70000B"/>
    <w:rsid w:val="7A76988B"/>
    <w:rsid w:val="7A76FB31"/>
    <w:rsid w:val="7A7751E0"/>
    <w:rsid w:val="7A78FCBD"/>
    <w:rsid w:val="7A870453"/>
    <w:rsid w:val="7A895E6F"/>
    <w:rsid w:val="7A91EF92"/>
    <w:rsid w:val="7A9405BF"/>
    <w:rsid w:val="7A9688F6"/>
    <w:rsid w:val="7A97D9E9"/>
    <w:rsid w:val="7AA526A5"/>
    <w:rsid w:val="7AAD3343"/>
    <w:rsid w:val="7AB07EDB"/>
    <w:rsid w:val="7AB84967"/>
    <w:rsid w:val="7ABC3DAC"/>
    <w:rsid w:val="7AC3EABC"/>
    <w:rsid w:val="7AD19A19"/>
    <w:rsid w:val="7AD28CEC"/>
    <w:rsid w:val="7AD79087"/>
    <w:rsid w:val="7ADE75AD"/>
    <w:rsid w:val="7AE954FE"/>
    <w:rsid w:val="7AEEB8D6"/>
    <w:rsid w:val="7AEF5B82"/>
    <w:rsid w:val="7AF44675"/>
    <w:rsid w:val="7AF53CCB"/>
    <w:rsid w:val="7AFCE5DB"/>
    <w:rsid w:val="7B09A212"/>
    <w:rsid w:val="7B11B273"/>
    <w:rsid w:val="7B173A3B"/>
    <w:rsid w:val="7B1D40F3"/>
    <w:rsid w:val="7B2093C6"/>
    <w:rsid w:val="7B24525E"/>
    <w:rsid w:val="7B265B4F"/>
    <w:rsid w:val="7B39027B"/>
    <w:rsid w:val="7B40F4B3"/>
    <w:rsid w:val="7B45CC3E"/>
    <w:rsid w:val="7B475BED"/>
    <w:rsid w:val="7B4A8E95"/>
    <w:rsid w:val="7B4D78D8"/>
    <w:rsid w:val="7B511E51"/>
    <w:rsid w:val="7B51FD0A"/>
    <w:rsid w:val="7B5F36A9"/>
    <w:rsid w:val="7B6BF3FE"/>
    <w:rsid w:val="7B7161A3"/>
    <w:rsid w:val="7B7CC3D0"/>
    <w:rsid w:val="7B7D87DD"/>
    <w:rsid w:val="7B869E73"/>
    <w:rsid w:val="7B8D4D4C"/>
    <w:rsid w:val="7BA780BE"/>
    <w:rsid w:val="7BABAA88"/>
    <w:rsid w:val="7BB2CE93"/>
    <w:rsid w:val="7BBB91AC"/>
    <w:rsid w:val="7BC2DFA3"/>
    <w:rsid w:val="7BC479C9"/>
    <w:rsid w:val="7BD79036"/>
    <w:rsid w:val="7BDA294E"/>
    <w:rsid w:val="7BE8EA22"/>
    <w:rsid w:val="7BED4F96"/>
    <w:rsid w:val="7BEFB2AF"/>
    <w:rsid w:val="7BF377D8"/>
    <w:rsid w:val="7C0372EB"/>
    <w:rsid w:val="7C05B95A"/>
    <w:rsid w:val="7C07924D"/>
    <w:rsid w:val="7C093DD2"/>
    <w:rsid w:val="7C0C4A16"/>
    <w:rsid w:val="7C134003"/>
    <w:rsid w:val="7C243F7C"/>
    <w:rsid w:val="7C2572E6"/>
    <w:rsid w:val="7C389276"/>
    <w:rsid w:val="7C408B44"/>
    <w:rsid w:val="7C42C269"/>
    <w:rsid w:val="7C5D5A39"/>
    <w:rsid w:val="7C60587B"/>
    <w:rsid w:val="7C680C0C"/>
    <w:rsid w:val="7C75EC16"/>
    <w:rsid w:val="7C7CB599"/>
    <w:rsid w:val="7C7E4B61"/>
    <w:rsid w:val="7C7EA6AC"/>
    <w:rsid w:val="7C7FDDDC"/>
    <w:rsid w:val="7C80A24B"/>
    <w:rsid w:val="7C89C8A2"/>
    <w:rsid w:val="7C9C1A1E"/>
    <w:rsid w:val="7C9C31FA"/>
    <w:rsid w:val="7C9FFD38"/>
    <w:rsid w:val="7CA3EB66"/>
    <w:rsid w:val="7CA5E4D5"/>
    <w:rsid w:val="7CB65F85"/>
    <w:rsid w:val="7CB7486E"/>
    <w:rsid w:val="7CB9772F"/>
    <w:rsid w:val="7CBDB2E9"/>
    <w:rsid w:val="7CBDEB8E"/>
    <w:rsid w:val="7CC2C927"/>
    <w:rsid w:val="7CC50EE4"/>
    <w:rsid w:val="7CCA28BB"/>
    <w:rsid w:val="7CCED611"/>
    <w:rsid w:val="7CCFD096"/>
    <w:rsid w:val="7CD5B584"/>
    <w:rsid w:val="7CE58586"/>
    <w:rsid w:val="7CF3ED7B"/>
    <w:rsid w:val="7D0848F2"/>
    <w:rsid w:val="7D0D44F6"/>
    <w:rsid w:val="7D0E9AA3"/>
    <w:rsid w:val="7D120477"/>
    <w:rsid w:val="7D174D1D"/>
    <w:rsid w:val="7D2524D0"/>
    <w:rsid w:val="7D2A76D0"/>
    <w:rsid w:val="7D2D5CE1"/>
    <w:rsid w:val="7D3261D8"/>
    <w:rsid w:val="7D326D6F"/>
    <w:rsid w:val="7D41D932"/>
    <w:rsid w:val="7D4A0BF5"/>
    <w:rsid w:val="7D719158"/>
    <w:rsid w:val="7D7D41A6"/>
    <w:rsid w:val="7D844C2F"/>
    <w:rsid w:val="7D894944"/>
    <w:rsid w:val="7D90DB98"/>
    <w:rsid w:val="7DADDA6A"/>
    <w:rsid w:val="7DBDF9B4"/>
    <w:rsid w:val="7DC21C11"/>
    <w:rsid w:val="7DC6CD10"/>
    <w:rsid w:val="7DD16227"/>
    <w:rsid w:val="7DD28FF8"/>
    <w:rsid w:val="7DD8C714"/>
    <w:rsid w:val="7DDBAEE4"/>
    <w:rsid w:val="7DE31DB4"/>
    <w:rsid w:val="7DE7D4AF"/>
    <w:rsid w:val="7DE9AE4C"/>
    <w:rsid w:val="7DEC1EAC"/>
    <w:rsid w:val="7DF1ED52"/>
    <w:rsid w:val="7DF27D89"/>
    <w:rsid w:val="7DF328C9"/>
    <w:rsid w:val="7DFAABA4"/>
    <w:rsid w:val="7E00EE1F"/>
    <w:rsid w:val="7E066E1E"/>
    <w:rsid w:val="7E093940"/>
    <w:rsid w:val="7E0FBC58"/>
    <w:rsid w:val="7E1C3224"/>
    <w:rsid w:val="7E1E4646"/>
    <w:rsid w:val="7E1E7833"/>
    <w:rsid w:val="7E2AC2C9"/>
    <w:rsid w:val="7E2C2D92"/>
    <w:rsid w:val="7E2CA222"/>
    <w:rsid w:val="7E2E04B4"/>
    <w:rsid w:val="7E336310"/>
    <w:rsid w:val="7E3DACAB"/>
    <w:rsid w:val="7E4078FB"/>
    <w:rsid w:val="7E48E368"/>
    <w:rsid w:val="7E4CF1CF"/>
    <w:rsid w:val="7E511B33"/>
    <w:rsid w:val="7E54A6BD"/>
    <w:rsid w:val="7E5B0ACC"/>
    <w:rsid w:val="7E7226FA"/>
    <w:rsid w:val="7E762389"/>
    <w:rsid w:val="7E7ACD65"/>
    <w:rsid w:val="7E92CBCB"/>
    <w:rsid w:val="7E9ED727"/>
    <w:rsid w:val="7EA067FE"/>
    <w:rsid w:val="7EAF20D8"/>
    <w:rsid w:val="7EBE2F07"/>
    <w:rsid w:val="7EC289B8"/>
    <w:rsid w:val="7EC6308A"/>
    <w:rsid w:val="7ECF6363"/>
    <w:rsid w:val="7ED4F70C"/>
    <w:rsid w:val="7EE4C1EF"/>
    <w:rsid w:val="7EE599CD"/>
    <w:rsid w:val="7EE6906E"/>
    <w:rsid w:val="7EED6A6D"/>
    <w:rsid w:val="7F02A5D0"/>
    <w:rsid w:val="7F043255"/>
    <w:rsid w:val="7F070EE8"/>
    <w:rsid w:val="7F0D4F51"/>
    <w:rsid w:val="7F1B1AC7"/>
    <w:rsid w:val="7F2DA86A"/>
    <w:rsid w:val="7F4B9508"/>
    <w:rsid w:val="7F4C15BB"/>
    <w:rsid w:val="7F537FB2"/>
    <w:rsid w:val="7F55F639"/>
    <w:rsid w:val="7F55FF8B"/>
    <w:rsid w:val="7F57B25F"/>
    <w:rsid w:val="7F608012"/>
    <w:rsid w:val="7F61078C"/>
    <w:rsid w:val="7F63F69D"/>
    <w:rsid w:val="7F64ABD6"/>
    <w:rsid w:val="7F6A22A8"/>
    <w:rsid w:val="7F6DAD00"/>
    <w:rsid w:val="7F7F534D"/>
    <w:rsid w:val="7F8B83E4"/>
    <w:rsid w:val="7F8C9516"/>
    <w:rsid w:val="7F8E9477"/>
    <w:rsid w:val="7F8F21D6"/>
    <w:rsid w:val="7F9FD682"/>
    <w:rsid w:val="7FA668DB"/>
    <w:rsid w:val="7FA728AA"/>
    <w:rsid w:val="7FBDFCFE"/>
    <w:rsid w:val="7FBE8D6F"/>
    <w:rsid w:val="7FC1EC78"/>
    <w:rsid w:val="7FC2DF2B"/>
    <w:rsid w:val="7FC86C9F"/>
    <w:rsid w:val="7FCF4295"/>
    <w:rsid w:val="7FE15451"/>
    <w:rsid w:val="7FE93FC4"/>
    <w:rsid w:val="7FF52442"/>
    <w:rsid w:val="7FF7ADF6"/>
    <w:rsid w:val="7FFB3C47"/>
    <w:rsid w:val="7FFB5B15"/>
    <w:rsid w:val="7FFCC090"/>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ECC8A2"/>
  <w15:chartTrackingRefBased/>
  <w15:docId w15:val="{D9FFA276-BE35-4DE6-919F-929CD12E4C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F700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F700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F700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F700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F700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F700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F700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F700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F700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F700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F700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F700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F700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F700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F700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F700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F700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F7009"/>
    <w:rPr>
      <w:rFonts w:eastAsiaTheme="majorEastAsia" w:cstheme="majorBidi"/>
      <w:color w:val="272727" w:themeColor="text1" w:themeTint="D8"/>
    </w:rPr>
  </w:style>
  <w:style w:type="paragraph" w:styleId="Title">
    <w:name w:val="Title"/>
    <w:basedOn w:val="Normal"/>
    <w:next w:val="Normal"/>
    <w:link w:val="TitleChar"/>
    <w:uiPriority w:val="10"/>
    <w:qFormat/>
    <w:rsid w:val="007F700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F700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F700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F700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F7009"/>
    <w:pPr>
      <w:spacing w:before="160"/>
      <w:jc w:val="center"/>
    </w:pPr>
    <w:rPr>
      <w:i/>
      <w:iCs/>
      <w:color w:val="404040" w:themeColor="text1" w:themeTint="BF"/>
    </w:rPr>
  </w:style>
  <w:style w:type="character" w:customStyle="1" w:styleId="QuoteChar">
    <w:name w:val="Quote Char"/>
    <w:basedOn w:val="DefaultParagraphFont"/>
    <w:link w:val="Quote"/>
    <w:uiPriority w:val="29"/>
    <w:rsid w:val="007F7009"/>
    <w:rPr>
      <w:i/>
      <w:iCs/>
      <w:color w:val="404040" w:themeColor="text1" w:themeTint="BF"/>
    </w:rPr>
  </w:style>
  <w:style w:type="paragraph" w:styleId="ListParagraph">
    <w:name w:val="List Paragraph"/>
    <w:basedOn w:val="Normal"/>
    <w:uiPriority w:val="34"/>
    <w:qFormat/>
    <w:rsid w:val="007F7009"/>
    <w:pPr>
      <w:ind w:left="720"/>
      <w:contextualSpacing/>
    </w:pPr>
  </w:style>
  <w:style w:type="character" w:styleId="IntenseEmphasis">
    <w:name w:val="Intense Emphasis"/>
    <w:basedOn w:val="DefaultParagraphFont"/>
    <w:uiPriority w:val="21"/>
    <w:qFormat/>
    <w:rsid w:val="007F7009"/>
    <w:rPr>
      <w:i/>
      <w:iCs/>
      <w:color w:val="0F4761" w:themeColor="accent1" w:themeShade="BF"/>
    </w:rPr>
  </w:style>
  <w:style w:type="paragraph" w:styleId="IntenseQuote">
    <w:name w:val="Intense Quote"/>
    <w:basedOn w:val="Normal"/>
    <w:next w:val="Normal"/>
    <w:link w:val="IntenseQuoteChar"/>
    <w:uiPriority w:val="30"/>
    <w:qFormat/>
    <w:rsid w:val="007F700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F7009"/>
    <w:rPr>
      <w:i/>
      <w:iCs/>
      <w:color w:val="0F4761" w:themeColor="accent1" w:themeShade="BF"/>
    </w:rPr>
  </w:style>
  <w:style w:type="character" w:styleId="IntenseReference">
    <w:name w:val="Intense Reference"/>
    <w:basedOn w:val="DefaultParagraphFont"/>
    <w:uiPriority w:val="32"/>
    <w:qFormat/>
    <w:rsid w:val="007F7009"/>
    <w:rPr>
      <w:b/>
      <w:bCs/>
      <w:smallCaps/>
      <w:color w:val="0F4761" w:themeColor="accent1" w:themeShade="BF"/>
      <w:spacing w:val="5"/>
    </w:rPr>
  </w:style>
  <w:style w:type="character" w:styleId="Hyperlink">
    <w:name w:val="Hyperlink"/>
    <w:basedOn w:val="DefaultParagraphFont"/>
    <w:uiPriority w:val="99"/>
    <w:unhideWhenUsed/>
    <w:rsid w:val="680EF329"/>
    <w:rPr>
      <w:color w:val="467886"/>
      <w:u w:val="single"/>
    </w:rPr>
  </w:style>
  <w:style w:type="paragraph" w:styleId="Header">
    <w:name w:val="header"/>
    <w:basedOn w:val="Normal"/>
    <w:uiPriority w:val="99"/>
    <w:unhideWhenUsed/>
    <w:rsid w:val="09DFBBFF"/>
    <w:pPr>
      <w:tabs>
        <w:tab w:val="center" w:pos="4680"/>
        <w:tab w:val="right" w:pos="9360"/>
      </w:tabs>
      <w:spacing w:after="0" w:line="240" w:lineRule="auto"/>
    </w:pPr>
  </w:style>
  <w:style w:type="paragraph" w:styleId="Footer">
    <w:name w:val="footer"/>
    <w:basedOn w:val="Normal"/>
    <w:uiPriority w:val="99"/>
    <w:unhideWhenUsed/>
    <w:rsid w:val="09DFBBFF"/>
    <w:pPr>
      <w:tabs>
        <w:tab w:val="center" w:pos="4680"/>
        <w:tab w:val="right" w:pos="9360"/>
      </w:tabs>
      <w:spacing w:after="0" w:line="240" w:lineRule="auto"/>
    </w:p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doi.org/10.1038/s41598-025-97747-0" TargetMode="External"/><Relationship Id="rId21" Type="http://schemas.openxmlformats.org/officeDocument/2006/relationships/hyperlink" Target="https://doi.org/10.1080/24694452.2016.1194740" TargetMode="External"/><Relationship Id="rId42" Type="http://schemas.openxmlformats.org/officeDocument/2006/relationships/hyperlink" Target="https://doi.org/10.1007/BF02294842" TargetMode="External"/><Relationship Id="rId47" Type="http://schemas.openxmlformats.org/officeDocument/2006/relationships/hyperlink" Target="https://research.ebsco.com/c/zdnshz/viewer/pdf/4yx3o67qxb" TargetMode="External"/><Relationship Id="rId63" Type="http://schemas.openxmlformats.org/officeDocument/2006/relationships/hyperlink" Target="https://doi.org/10.1007/s11069-024-06785-w" TargetMode="External"/><Relationship Id="rId68" Type="http://schemas.openxmlformats.org/officeDocument/2006/relationships/hyperlink" Target="https://www.gao.gov/products/gao-19-232" TargetMode="External"/><Relationship Id="rId84" Type="http://schemas.microsoft.com/office/2020/10/relationships/intelligence" Target="intelligence2.xml"/><Relationship Id="rId16" Type="http://schemas.openxmlformats.org/officeDocument/2006/relationships/hyperlink" Target="https://doi.org/10.1108/IJPSM-07-2022-0168" TargetMode="External"/><Relationship Id="rId11" Type="http://schemas.openxmlformats.org/officeDocument/2006/relationships/image" Target="media/image5.png"/><Relationship Id="rId32" Type="http://schemas.openxmlformats.org/officeDocument/2006/relationships/hyperlink" Target="https://doi.org/10.1007/978-3-030-80519-7_1" TargetMode="External"/><Relationship Id="rId37" Type="http://schemas.openxmlformats.org/officeDocument/2006/relationships/hyperlink" Target="https://doi.org/10.34172/hpp.2020.30" TargetMode="External"/><Relationship Id="rId53" Type="http://schemas.openxmlformats.org/officeDocument/2006/relationships/hyperlink" Target="https://scholarship.law.stjohns.edu/faculty_publications/922/" TargetMode="External"/><Relationship Id="rId58" Type="http://schemas.openxmlformats.org/officeDocument/2006/relationships/hyperlink" Target="https://doi.org/10.1016/j.ijdrr.2020.101735" TargetMode="External"/><Relationship Id="rId74" Type="http://schemas.openxmlformats.org/officeDocument/2006/relationships/hyperlink" Target="https://doi.org/10.1080/10705511.2024.2354802" TargetMode="External"/><Relationship Id="rId79" Type="http://schemas.openxmlformats.org/officeDocument/2006/relationships/image" Target="media/image14.png"/><Relationship Id="rId5" Type="http://schemas.openxmlformats.org/officeDocument/2006/relationships/footnotes" Target="footnotes.xml"/><Relationship Id="rId61" Type="http://schemas.openxmlformats.org/officeDocument/2006/relationships/hyperlink" Target="https://doi.org/10.1111/risa.13186" TargetMode="External"/><Relationship Id="rId82" Type="http://schemas.openxmlformats.org/officeDocument/2006/relationships/fontTable" Target="fontTable.xml"/><Relationship Id="rId19" Type="http://schemas.openxmlformats.org/officeDocument/2006/relationships/hyperlink" Target="https://www.atsdr.cdc.gov/placeandhealth/svi/data_documentation_download.html" TargetMode="External"/><Relationship Id="rId14" Type="http://schemas.openxmlformats.org/officeDocument/2006/relationships/image" Target="media/image8.png"/><Relationship Id="rId22" Type="http://schemas.openxmlformats.org/officeDocument/2006/relationships/hyperlink" Target="https://www.enterprisecommunity.org/story/new-research-federal-recovery-funds-temper-rent-increases-after-disaster" TargetMode="External"/><Relationship Id="rId27" Type="http://schemas.openxmlformats.org/officeDocument/2006/relationships/hyperlink" Target="https://doi.org/10.69569/jip.2025.797" TargetMode="External"/><Relationship Id="rId30" Type="http://schemas.openxmlformats.org/officeDocument/2006/relationships/hyperlink" Target="https://doi.org/10.1038/s44284-025-00352-5" TargetMode="External"/><Relationship Id="rId35" Type="http://schemas.openxmlformats.org/officeDocument/2006/relationships/hyperlink" Target="https://doi.org/10.1108/IJDRBE-03-2013-0006" TargetMode="External"/><Relationship Id="rId43" Type="http://schemas.openxmlformats.org/officeDocument/2006/relationships/hyperlink" Target="https://budgetcounsel.com/wp-content/uploads/2017/12/crs-fema_s-disaster-relief-fund-overview-and-selected-issues-r43537-may-7-2014.pdf" TargetMode="External"/><Relationship Id="rId48" Type="http://schemas.openxmlformats.org/officeDocument/2006/relationships/hyperlink" Target="https://doi.org/10.1177/02750740241308272" TargetMode="External"/><Relationship Id="rId56" Type="http://schemas.openxmlformats.org/officeDocument/2006/relationships/hyperlink" Target="https://doi.org/10.1080/01944363.2014.980440" TargetMode="External"/><Relationship Id="rId64" Type="http://schemas.openxmlformats.org/officeDocument/2006/relationships/hyperlink" Target="https://doi.org/10.4172/2161-0525.1000304" TargetMode="External"/><Relationship Id="rId69" Type="http://schemas.openxmlformats.org/officeDocument/2006/relationships/hyperlink" Target="https://www.gao.gov/reports-testimonies" TargetMode="External"/><Relationship Id="rId77" Type="http://schemas.openxmlformats.org/officeDocument/2006/relationships/image" Target="media/image12.png"/><Relationship Id="rId8" Type="http://schemas.openxmlformats.org/officeDocument/2006/relationships/image" Target="media/image2.png"/><Relationship Id="rId51" Type="http://schemas.openxmlformats.org/officeDocument/2006/relationships/hyperlink" Target="https://doi.org/10.1007/s10462-024-10844-w" TargetMode="External"/><Relationship Id="rId72" Type="http://schemas.openxmlformats.org/officeDocument/2006/relationships/hyperlink" Target="https://doi.org/10.48550/arXiv.1905.01804" TargetMode="External"/><Relationship Id="rId80" Type="http://schemas.openxmlformats.org/officeDocument/2006/relationships/header" Target="header1.xml"/><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hyperlink" Target="https://doi.org/10.1080/01944363.2014.976585" TargetMode="External"/><Relationship Id="rId25" Type="http://schemas.openxmlformats.org/officeDocument/2006/relationships/hyperlink" Target="https://doi.org/10.1016/j.ghm.2024.03.001" TargetMode="External"/><Relationship Id="rId33" Type="http://schemas.openxmlformats.org/officeDocument/2006/relationships/hyperlink" Target="https://doi.org/10.1038/s41598-025-28467-8" TargetMode="External"/><Relationship Id="rId38" Type="http://schemas.openxmlformats.org/officeDocument/2006/relationships/hyperlink" Target="http://doi.org/10.5334/bc.65" TargetMode="External"/><Relationship Id="rId46" Type="http://schemas.openxmlformats.org/officeDocument/2006/relationships/hyperlink" Target="https://doi.org/10.1080/10511482.2021.1875258" TargetMode="External"/><Relationship Id="rId59" Type="http://schemas.openxmlformats.org/officeDocument/2006/relationships/hyperlink" Target="https://doi.org/10.1016/j.ijdrr.2021.102666" TargetMode="External"/><Relationship Id="rId67" Type="http://schemas.openxmlformats.org/officeDocument/2006/relationships/hyperlink" Target="https://www.hud.gov/hud-partners/community-cdbg-dr-reports" TargetMode="External"/><Relationship Id="rId20" Type="http://schemas.openxmlformats.org/officeDocument/2006/relationships/hyperlink" Target="http://dx.doi.org/10.2139/ssrn.6153946" TargetMode="External"/><Relationship Id="rId41" Type="http://schemas.openxmlformats.org/officeDocument/2006/relationships/hyperlink" Target="https://doi.org/10.1080/03003930.2019.1653284" TargetMode="External"/><Relationship Id="rId54" Type="http://schemas.openxmlformats.org/officeDocument/2006/relationships/hyperlink" Target="https://doi.org/10.52417/ojed.v1i2.163" TargetMode="External"/><Relationship Id="rId62" Type="http://schemas.openxmlformats.org/officeDocument/2006/relationships/hyperlink" Target="https://doi.org/10.1051/e3sconf/202560403004" TargetMode="External"/><Relationship Id="rId70" Type="http://schemas.openxmlformats.org/officeDocument/2006/relationships/hyperlink" Target="https://doi.org/10.1007/978-3-319-63254-4_20" TargetMode="External"/><Relationship Id="rId75" Type="http://schemas.openxmlformats.org/officeDocument/2006/relationships/image" Target="media/image10.png"/><Relationship Id="rId83"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9.png"/><Relationship Id="rId23" Type="http://schemas.openxmlformats.org/officeDocument/2006/relationships/hyperlink" Target="https://doi.org/10.1111/puar.13249" TargetMode="External"/><Relationship Id="rId28" Type="http://schemas.openxmlformats.org/officeDocument/2006/relationships/hyperlink" Target="https://www.gigasheet.com/sample-data/list-of-all-us-counties-and-cities-spreadsheet" TargetMode="External"/><Relationship Id="rId36" Type="http://schemas.openxmlformats.org/officeDocument/2006/relationships/hyperlink" Target="https://socialtrendsreview.com/index.php/journal/article/download/45/44" TargetMode="External"/><Relationship Id="rId49" Type="http://schemas.openxmlformats.org/officeDocument/2006/relationships/hyperlink" Target="https://doi.org/10.4324/9781315755649" TargetMode="External"/><Relationship Id="rId57" Type="http://schemas.openxmlformats.org/officeDocument/2006/relationships/hyperlink" Target="https://doi.org/10.1016/j.ijdrr.2021.102340" TargetMode="External"/><Relationship Id="rId10" Type="http://schemas.openxmlformats.org/officeDocument/2006/relationships/image" Target="media/image4.png"/><Relationship Id="rId31" Type="http://schemas.openxmlformats.org/officeDocument/2006/relationships/hyperlink" Target="https://hdl.handle.net/1969.1/155735" TargetMode="External"/><Relationship Id="rId44" Type="http://schemas.openxmlformats.org/officeDocument/2006/relationships/hyperlink" Target="https://www.urban.org/sites/default/files/publication/98463/the_evidence_base_on_how_cdbg-dr_works_for_state_and_local_stakeholders_0.pdf" TargetMode="External"/><Relationship Id="rId52" Type="http://schemas.openxmlformats.org/officeDocument/2006/relationships/hyperlink" Target="https://doi.org/10.1016/j.ijdrr.2025.105254" TargetMode="External"/><Relationship Id="rId60" Type="http://schemas.openxmlformats.org/officeDocument/2006/relationships/hyperlink" Target="https://doi.org/10.1016/j.ijdrr.2021.102535" TargetMode="External"/><Relationship Id="rId65" Type="http://schemas.openxmlformats.org/officeDocument/2006/relationships/hyperlink" Target="https://doi.org/10.1146/annurev-environ-020911-095618" TargetMode="External"/><Relationship Id="rId73" Type="http://schemas.openxmlformats.org/officeDocument/2006/relationships/hyperlink" Target="https://doi.org/10.1007/s11069-025-07741-y" TargetMode="External"/><Relationship Id="rId78" Type="http://schemas.openxmlformats.org/officeDocument/2006/relationships/image" Target="media/image13.png"/><Relationship Id="rId81"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3.png"/><Relationship Id="rId13" Type="http://schemas.openxmlformats.org/officeDocument/2006/relationships/image" Target="media/image7.png"/><Relationship Id="rId18" Type="http://schemas.openxmlformats.org/officeDocument/2006/relationships/hyperlink" Target="http://www.asasrms.org/Proceedings/y1965/Quasi-Experimental%20Design.pdf" TargetMode="External"/><Relationship Id="rId39" Type="http://schemas.openxmlformats.org/officeDocument/2006/relationships/hyperlink" Target="https://doi.org/10.1108/09653561011070367" TargetMode="External"/><Relationship Id="rId34" Type="http://schemas.openxmlformats.org/officeDocument/2006/relationships/hyperlink" Target="https://doi.org/10.1061/(ASCE)NH.1527-6996.000042" TargetMode="External"/><Relationship Id="rId50" Type="http://schemas.openxmlformats.org/officeDocument/2006/relationships/hyperlink" Target="https://doi.org/10.1371/journal.pone.0318170" TargetMode="External"/><Relationship Id="rId55" Type="http://schemas.openxmlformats.org/officeDocument/2006/relationships/hyperlink" Target="https://doi.org/10.1111/puar.12837" TargetMode="External"/><Relationship Id="rId76" Type="http://schemas.openxmlformats.org/officeDocument/2006/relationships/image" Target="media/image11.png"/><Relationship Id="rId7" Type="http://schemas.openxmlformats.org/officeDocument/2006/relationships/image" Target="media/image1.png"/><Relationship Id="rId71" Type="http://schemas.openxmlformats.org/officeDocument/2006/relationships/hyperlink" Target="https://doi.org/10.1073/pnas.2111997119" TargetMode="External"/><Relationship Id="rId2" Type="http://schemas.openxmlformats.org/officeDocument/2006/relationships/styles" Target="styles.xml"/><Relationship Id="rId29" Type="http://schemas.openxmlformats.org/officeDocument/2006/relationships/hyperlink" Target="https://doi.org/10.1142/S0218843003000838" TargetMode="External"/><Relationship Id="rId24" Type="http://schemas.openxmlformats.org/officeDocument/2006/relationships/hyperlink" Target="https://doi.org/10.1080/25741292.2019.1595916" TargetMode="External"/><Relationship Id="rId40" Type="http://schemas.openxmlformats.org/officeDocument/2006/relationships/hyperlink" Target="https://doi.org/10.1109/JPROC.2022.3223186" TargetMode="External"/><Relationship Id="rId45" Type="http://schemas.openxmlformats.org/officeDocument/2006/relationships/hyperlink" Target="https://www.urban.org/research/publication/housing-recovery-and-cdbg-dr" TargetMode="External"/><Relationship Id="rId66" Type="http://schemas.openxmlformats.org/officeDocument/2006/relationships/hyperlink" Target="https://www.bls.gov/cew/downloadable-data-files.h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48</Pages>
  <Words>12566</Words>
  <Characters>87604</Characters>
  <Application>Microsoft Office Word</Application>
  <DocSecurity>0</DocSecurity>
  <Lines>1475</Lines>
  <Paragraphs>423</Paragraphs>
  <ScaleCrop>false</ScaleCrop>
  <Company/>
  <LinksUpToDate>false</LinksUpToDate>
  <CharactersWithSpaces>99861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Nejat, Ali</dc:creator>
  <cp:keywords/>
  <dc:description/>
  <cp:lastModifiedBy>Jesse R. Andrews</cp:lastModifiedBy>
  <cp:revision>2</cp:revision>
  <dcterms:created xsi:type="dcterms:W3CDTF">2026-04-08T01:08:00Z</dcterms:created>
  <dcterms:modified xsi:type="dcterms:W3CDTF">2026-04-08T01:08:00Z</dcterms:modified>
</cp:coreProperties>
</file>