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 A: Data Description</w:t>
      </w:r>
    </w:p>
    <w:bookmarkStart w:id="24" w:name="a.1-data-sources"/>
    <w:p>
      <w:pPr>
        <w:pStyle w:val="Heading2"/>
      </w:pPr>
      <w:r>
        <w:t xml:space="preserve">A.1 Data Sources</w:t>
      </w:r>
    </w:p>
    <w:bookmarkStart w:id="20" w:name="quarterly-performance-reports-qpr"/>
    <w:p>
      <w:pPr>
        <w:pStyle w:val="Heading3"/>
      </w:pPr>
      <w:r>
        <w:t xml:space="preserve">Quarterly Performance Reports (QPR)</w:t>
      </w:r>
    </w:p>
    <w:p>
      <w:pPr>
        <w:pStyle w:val="FirstParagraph"/>
      </w:pPr>
      <w:r>
        <w:t xml:space="preserve">The QPR data is extracted from HUD’s DRGR (Disaster Recovery Grant Reporting) system. This administrative data captures:</w:t>
      </w:r>
    </w:p>
    <w:p>
      <w:pPr>
        <w:pStyle w:val="Compact"/>
        <w:numPr>
          <w:ilvl w:val="0"/>
          <w:numId w:val="1001"/>
        </w:numPr>
      </w:pPr>
      <w:r>
        <w:t xml:space="preserve">Fund allocations by appropriation</w:t>
      </w:r>
    </w:p>
    <w:p>
      <w:pPr>
        <w:pStyle w:val="Compact"/>
        <w:numPr>
          <w:ilvl w:val="0"/>
          <w:numId w:val="1001"/>
        </w:numPr>
      </w:pPr>
      <w:r>
        <w:t xml:space="preserve">Obligation, disbursement, and expenditure amounts</w:t>
      </w:r>
    </w:p>
    <w:p>
      <w:pPr>
        <w:pStyle w:val="Compact"/>
        <w:numPr>
          <w:ilvl w:val="0"/>
          <w:numId w:val="1001"/>
        </w:numPr>
      </w:pPr>
      <w:r>
        <w:t xml:space="preserve">Activity types (housing, infrastructure, economic development, planning, administration)</w:t>
      </w:r>
    </w:p>
    <w:p>
      <w:pPr>
        <w:pStyle w:val="Compact"/>
        <w:numPr>
          <w:ilvl w:val="0"/>
          <w:numId w:val="1001"/>
        </w:numPr>
      </w:pPr>
      <w:r>
        <w:t xml:space="preserve">Quarterly reporting periods (2003-2023)</w:t>
      </w:r>
    </w:p>
    <w:p>
      <w:pPr>
        <w:pStyle w:val="FirstParagraph"/>
      </w:pPr>
      <w:r>
        <w:t xml:space="preserve">The raw dataset contains 130,605 quarterly observations across 78 unique grantees and 206 grant allocations.</w:t>
      </w:r>
    </w:p>
    <w:bookmarkEnd w:id="20"/>
    <w:bookmarkStart w:id="21" w:name="population-data"/>
    <w:p>
      <w:pPr>
        <w:pStyle w:val="Heading3"/>
      </w:pPr>
      <w:r>
        <w:t xml:space="preserve">Population Data</w:t>
      </w:r>
    </w:p>
    <w:p>
      <w:pPr>
        <w:pStyle w:val="FirstParagraph"/>
      </w:pPr>
      <w:r>
        <w:t xml:space="preserve">Population figures are obtained from:</w:t>
      </w:r>
    </w:p>
    <w:p>
      <w:pPr>
        <w:pStyle w:val="Compact"/>
        <w:numPr>
          <w:ilvl w:val="0"/>
          <w:numId w:val="1002"/>
        </w:numPr>
      </w:pPr>
      <w:r>
        <w:t xml:space="preserve">U.S. Census Bureau decennial census (2000, 2010, 2020)</w:t>
      </w:r>
    </w:p>
    <w:p>
      <w:pPr>
        <w:pStyle w:val="Compact"/>
        <w:numPr>
          <w:ilvl w:val="0"/>
          <w:numId w:val="1002"/>
        </w:numPr>
      </w:pPr>
      <w:r>
        <w:t xml:space="preserve">American Community Survey estimates for intercensal years</w:t>
      </w:r>
    </w:p>
    <w:bookmarkEnd w:id="21"/>
    <w:bookmarkStart w:id="22" w:name="disaster-characteristics"/>
    <w:p>
      <w:pPr>
        <w:pStyle w:val="Heading3"/>
      </w:pPr>
      <w:r>
        <w:t xml:space="preserve">Disaster Characteristics</w:t>
      </w:r>
    </w:p>
    <w:p>
      <w:pPr>
        <w:pStyle w:val="FirstParagraph"/>
      </w:pPr>
      <w:r>
        <w:t xml:space="preserve">Disaster type classifications derive from:</w:t>
      </w:r>
    </w:p>
    <w:p>
      <w:pPr>
        <w:pStyle w:val="Compact"/>
        <w:numPr>
          <w:ilvl w:val="0"/>
          <w:numId w:val="1003"/>
        </w:numPr>
      </w:pPr>
      <w:r>
        <w:t xml:space="preserve">FEMA declared disaster data</w:t>
      </w:r>
    </w:p>
    <w:p>
      <w:pPr>
        <w:pStyle w:val="Compact"/>
        <w:numPr>
          <w:ilvl w:val="0"/>
          <w:numId w:val="1003"/>
        </w:numPr>
      </w:pPr>
      <w:r>
        <w:t xml:space="preserve">Primary hazard type (hurricane, wildfire, flood, other)</w:t>
      </w:r>
    </w:p>
    <w:p>
      <w:pPr>
        <w:pStyle w:val="Compact"/>
        <w:numPr>
          <w:ilvl w:val="0"/>
          <w:numId w:val="1003"/>
        </w:numPr>
      </w:pPr>
      <w:r>
        <w:t xml:space="preserve">Disaster declaration date for era classification</w:t>
      </w:r>
    </w:p>
    <w:bookmarkEnd w:id="22"/>
    <w:bookmarkStart w:id="23" w:name="experience-indicators"/>
    <w:p>
      <w:pPr>
        <w:pStyle w:val="Heading3"/>
      </w:pPr>
      <w:r>
        <w:t xml:space="preserve">Experience Indicators</w:t>
      </w:r>
    </w:p>
    <w:p>
      <w:pPr>
        <w:pStyle w:val="FirstParagraph"/>
      </w:pPr>
      <w:r>
        <w:t xml:space="preserve">Grantee experience measures are computed from:</w:t>
      </w:r>
    </w:p>
    <w:p>
      <w:pPr>
        <w:pStyle w:val="Compact"/>
        <w:numPr>
          <w:ilvl w:val="0"/>
          <w:numId w:val="1004"/>
        </w:numPr>
      </w:pPr>
      <w:r>
        <w:t xml:space="preserve">Count of prior CDBG-DR grants managed</w:t>
      </w:r>
    </w:p>
    <w:p>
      <w:pPr>
        <w:pStyle w:val="Compact"/>
        <w:numPr>
          <w:ilvl w:val="0"/>
          <w:numId w:val="1004"/>
        </w:numPr>
      </w:pPr>
      <w:r>
        <w:t xml:space="preserve">Binary classification: Novice (first CDBG-DR grant) vs. Experienced (2+ prior grants)</w:t>
      </w:r>
    </w:p>
    <w:bookmarkEnd w:id="23"/>
    <w:bookmarkEnd w:id="24"/>
    <w:bookmarkStart w:id="29" w:name="a.2-spending-velocity-construction"/>
    <w:p>
      <w:pPr>
        <w:pStyle w:val="Heading2"/>
      </w:pPr>
      <w:r>
        <w:t xml:space="preserve">A.2 Spending Velocity Construction</w:t>
      </w:r>
    </w:p>
    <w:bookmarkStart w:id="25" w:name="the-dynamic-denominator-problem"/>
    <w:p>
      <w:pPr>
        <w:pStyle w:val="Heading3"/>
      </w:pPr>
      <w:r>
        <w:t xml:space="preserve">The Dynamic Denominator Problem</w:t>
      </w:r>
    </w:p>
    <w:p>
      <w:pPr>
        <w:pStyle w:val="FirstParagraph"/>
      </w:pPr>
      <w:r>
        <w:t xml:space="preserve">Initial velocity calculations using period-specific denominators produced computational artifacts. When the denominator (obligated amount) changes across periods, apparent velocity changes reflect administrative adjustments rather than actual spending acceleration: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raw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Expended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Obligated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Expended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Obligated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formula produces spurious velocity when obligations change. For example, if</w:t>
      </w:r>
      <w:r>
        <w:t xml:space="preserve"> </w:t>
      </w:r>
      <m:oMath>
        <m:r>
          <m:rPr>
            <m:nor/>
            <m:sty m:val="p"/>
          </m:rPr>
          <m:t>Obligated</m:t>
        </m:r>
      </m:oMath>
      <w:r>
        <w:t xml:space="preserve"> </w:t>
      </w:r>
      <w:r>
        <w:t xml:space="preserve">doubles from quarter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nor/>
            <m:sty m:val="p"/>
          </m:rPr>
          <m:t>Expended</m:t>
        </m:r>
      </m:oMath>
      <w:r>
        <w:t xml:space="preserve"> </w:t>
      </w:r>
      <w:r>
        <w:t xml:space="preserve">increases moderately, the ratio drops despite actual spending increases.</w:t>
      </w:r>
    </w:p>
    <w:bookmarkEnd w:id="25"/>
    <w:bookmarkStart w:id="26" w:name="Xd130f94cfc781c56393a290fa362f353e65f661"/>
    <w:p>
      <w:pPr>
        <w:pStyle w:val="Heading3"/>
      </w:pPr>
      <w:r>
        <w:t xml:space="preserve">Standardized Velocity with Fixed Denominators</w:t>
      </w:r>
    </w:p>
    <w:p>
      <w:pPr>
        <w:pStyle w:val="FirstParagraph"/>
      </w:pPr>
      <w:r>
        <w:t xml:space="preserve">The standardized approach uses the final obligated amount as a stable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t>t</m:t>
              </m:r>
            </m:sub>
            <m:sup>
              <m:r>
                <m:rPr>
                  <m:nor/>
                  <m:sty m:val="p"/>
                </m:rPr>
                <m:t>std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Expended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Obligated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Expended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Obligated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ensures that velocity changes reflect only changes in the numerator (actual expenditure), not administrative adjustments to obligations.</w:t>
      </w:r>
    </w:p>
    <w:bookmarkEnd w:id="26"/>
    <w:bookmarkStart w:id="27" w:name="impact-of-standardization"/>
    <w:p>
      <w:pPr>
        <w:pStyle w:val="Heading3"/>
      </w:pPr>
      <w:r>
        <w:t xml:space="preserve">Impact of Standardization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Raw Velocity</w:t>
            </w:r>
          </w:p>
        </w:tc>
        <w:tc>
          <w:tcPr/>
          <w:p>
            <w:pPr>
              <w:pStyle w:val="Compact"/>
            </w:pPr>
            <w:r>
              <w:t xml:space="preserve">Standardized Velocity</w:t>
            </w:r>
          </w:p>
        </w:tc>
        <w:tc>
          <w:tcPr/>
          <w:p>
            <w:pPr>
              <w:pStyle w:val="Compact"/>
            </w:pPr>
            <w:r>
              <w:t xml:space="preserve">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 Dev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68.5%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Extreme values (&gt;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61.3%</w:t>
            </w:r>
          </w:p>
        </w:tc>
      </w:tr>
    </w:tbl>
    <w:p>
      <w:pPr>
        <w:pStyle w:val="BodyText"/>
      </w:pPr>
      <w:r>
        <w:t xml:space="preserve">The standardized approach dramatically reduces measurement noise while preserving meaningful velocity variation.</w:t>
      </w:r>
    </w:p>
    <w:bookmarkEnd w:id="27"/>
    <w:bookmarkStart w:id="28" w:name="winsorization"/>
    <w:p>
      <w:pPr>
        <w:pStyle w:val="Heading3"/>
      </w:pPr>
      <w:r>
        <w:t xml:space="preserve">Winsorization</w:t>
      </w:r>
    </w:p>
    <w:p>
      <w:pPr>
        <w:pStyle w:val="FirstParagraph"/>
      </w:pPr>
      <w:r>
        <w:t xml:space="preserve">Standardized velocity values are winsorized at the 1st and 99th percentiles to limit outlier influence: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Velocity</m:t>
              </m:r>
            </m:e>
            <m:sup>
              <m:r>
                <m:rPr>
                  <m:nor/>
                  <m:sty m:val="p"/>
                </m:rPr>
                <m:t>winsorized</m:t>
              </m:r>
            </m:sup>
          </m:s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</m:rPr>
                      <m:t>Velocity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99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</m:rPr>
                      <m:t>Velocity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99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Velocity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bounds extreme observations while preserving the full distribution shape.</w:t>
      </w:r>
    </w:p>
    <w:bookmarkEnd w:id="28"/>
    <w:bookmarkEnd w:id="29"/>
    <w:bookmarkStart w:id="30" w:name="a.3-phase-specific-velocity"/>
    <w:p>
      <w:pPr>
        <w:pStyle w:val="Heading2"/>
      </w:pPr>
      <w:r>
        <w:t xml:space="preserve">A.3 Phase-Specific Velocity</w:t>
      </w:r>
    </w:p>
    <w:p>
      <w:pPr>
        <w:pStyle w:val="FirstParagraph"/>
      </w:pPr>
      <w:r>
        <w:t xml:space="preserve">Programs are divided into temporal terciles based on elapsed quarters: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Early phase</w:t>
      </w:r>
      <w:r>
        <w:t xml:space="preserve">: Quarters 1 through</w:t>
      </w:r>
      <w:r>
        <w:t xml:space="preserve"> </w:t>
      </w:r>
      <m:oMath>
        <m:r>
          <m:rPr>
            <m:sty m:val="p"/>
          </m:rPr>
          <m:t>⌊</m:t>
        </m:r>
        <m:r>
          <m:t>T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⌋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Middle phase</w:t>
      </w:r>
      <w:r>
        <w:t xml:space="preserve">: Quarters</w:t>
      </w:r>
      <w:r>
        <w:t xml:space="preserve"> </w:t>
      </w:r>
      <m:oMath>
        <m:r>
          <m:rPr>
            <m:sty m:val="p"/>
          </m:rPr>
          <m:t>⌊</m:t>
        </m:r>
        <m:r>
          <m:t>T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⌊</m:t>
        </m:r>
        <m:r>
          <m:t>2</m:t>
        </m:r>
        <m:r>
          <m:t>T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⌋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Late phase</w:t>
      </w:r>
      <w:r>
        <w:t xml:space="preserve">: Quarters</w:t>
      </w:r>
      <w:r>
        <w:t xml:space="preserve"> </w:t>
      </w:r>
      <m:oMath>
        <m:r>
          <m:rPr>
            <m:sty m:val="p"/>
          </m:rPr>
          <m:t>⌊</m:t>
        </m:r>
        <m:r>
          <m:t>2</m:t>
        </m:r>
        <m:r>
          <m:t>T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T</m:t>
        </m:r>
      </m:oMath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total number of observed quarters.</w:t>
      </w:r>
    </w:p>
    <w:p>
      <w:pPr>
        <w:pStyle w:val="BodyText"/>
      </w:pPr>
      <w:r>
        <w:t xml:space="preserve">Mean velocity within each phase creates phase-specific measures: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Velocity</m:t>
              </m:r>
            </m:e>
            <m:sub>
              <m:r>
                <m:rPr>
                  <m:nor/>
                  <m:sty m:val="p"/>
                </m:rPr>
                <m:t>phase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phase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phase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Velocity</m:t>
                  </m:r>
                </m:e>
                <m:sub>
                  <m:r>
                    <m:t>t</m:t>
                  </m:r>
                </m:sub>
              </m:sSub>
            </m:e>
          </m:nary>
        </m:oMath>
      </m:oMathPara>
    </w:p>
    <w:bookmarkEnd w:id="30"/>
    <w:bookmarkStart w:id="37" w:name="a.4-sample-characteristics"/>
    <w:p>
      <w:pPr>
        <w:pStyle w:val="Heading2"/>
      </w:pPr>
      <w:r>
        <w:t xml:space="preserve">A.4 Sample Characteristics</w:t>
      </w:r>
    </w:p>
    <w:bookmarkStart w:id="31" w:name="overall-sample-composition"/>
    <w:p>
      <w:pPr>
        <w:pStyle w:val="Heading3"/>
      </w:pPr>
      <w:r>
        <w:t xml:space="preserve">Overall Sample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Observations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disaster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grant allocations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</w:tbl>
    <w:bookmarkEnd w:id="31"/>
    <w:bookmarkStart w:id="32" w:name="government-type-distribution"/>
    <w:p>
      <w:pPr>
        <w:pStyle w:val="Heading3"/>
      </w:pPr>
      <w:r>
        <w:t xml:space="preserve">Government Type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Government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governments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governments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Multiple/Mixed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</w:tr>
    </w:tbl>
    <w:bookmarkEnd w:id="32"/>
    <w:bookmarkStart w:id="33" w:name="disaster-type-distribution"/>
    <w:p>
      <w:pPr>
        <w:pStyle w:val="Heading3"/>
      </w:pPr>
      <w:r>
        <w:t xml:space="preserve">Disaster Type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Disaster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Hurricane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Wildfire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</w:tr>
    </w:tbl>
    <w:bookmarkEnd w:id="33"/>
    <w:bookmarkStart w:id="34" w:name="experience-distribution"/>
    <w:p>
      <w:pPr>
        <w:pStyle w:val="Heading3"/>
      </w:pPr>
      <w:r>
        <w:t xml:space="preserve">Experience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Experience Level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Novice (first CDBG-DR)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Experienced (2+ prior)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</w:tr>
    </w:tbl>
    <w:bookmarkEnd w:id="34"/>
    <w:bookmarkStart w:id="35" w:name="program-type-distribution"/>
    <w:p>
      <w:pPr>
        <w:pStyle w:val="Heading3"/>
      </w:pPr>
      <w:r>
        <w:t xml:space="preserve">Program Type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Program Type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</w:tr>
    </w:tbl>
    <w:bookmarkEnd w:id="35"/>
    <w:bookmarkStart w:id="36" w:name="censoring-status"/>
    <w:p>
      <w:pPr>
        <w:pStyle w:val="Heading3"/>
      </w:pPr>
      <w:r>
        <w:t xml:space="preserve">Censoring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(reached 95% expenditure)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Right-censored (not yet complete)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</w:tr>
    </w:tbl>
    <w:p>
      <w:pPr>
        <w:pStyle w:val="BodyText"/>
      </w:pPr>
      <w:r>
        <w:t xml:space="preserve">The high censoring rate (73.7%) motivates survival analysis methods. Standard regression approaches that drop censored observations would discard 112 of 152 observations, severely limiting statistical power and introducing selection bias.</w:t>
      </w:r>
    </w:p>
    <w:bookmarkEnd w:id="36"/>
    <w:bookmarkEnd w:id="37"/>
    <w:bookmarkStart w:id="38" w:name="a.5-velocity-summary-statistics"/>
    <w:p>
      <w:pPr>
        <w:pStyle w:val="Heading2"/>
      </w:pPr>
      <w:r>
        <w:t xml:space="preserve">A.5 Velocity Summary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803"/>
        <w:gridCol w:w="1147"/>
        <w:gridCol w:w="918"/>
        <w:gridCol w:w="1033"/>
        <w:gridCol w:w="1377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Velocity (pp/quarter)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Phase Velocity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Phase Velocity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Phase Velocity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(quarters, completed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Overall velocity</w:t>
      </w:r>
      <w:r>
        <w:t xml:space="preserve"> </w:t>
      </w:r>
      <w:r>
        <w:t xml:space="preserve">averages 2.14 percentage points per quarter, indicating that the typical grantee expends approximately 2% of their total allocation each quarter.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Phase pattern</w:t>
      </w:r>
      <w:r>
        <w:t xml:space="preserve">: Velocity is highest in early phases (2.89 pp/quarter) and declines through middle (1.92) and late (1.61) phases, consistent with front-loaded activity followed by closeout delays.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Substantial variation</w:t>
      </w:r>
      <w:r>
        <w:t xml:space="preserve"> </w:t>
      </w:r>
      <w:r>
        <w:t xml:space="preserve">exists across grantees (SD = 1.83 for overall velocity), providing analytic leverage for detecting velocity-completion associations.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Completion timing</w:t>
      </w:r>
      <w:r>
        <w:t xml:space="preserve">: Among the 40 completed programs, median time to 95% completion is 63.5 quarters (approximately 16 years).</w:t>
      </w:r>
    </w:p>
    <w:bookmarkEnd w:id="38"/>
    <w:bookmarkStart w:id="39" w:name="a.6-data-quality"/>
    <w:p>
      <w:pPr>
        <w:pStyle w:val="Heading2"/>
      </w:pPr>
      <w:r>
        <w:t xml:space="preserve">A.6 Data Quality</w:t>
      </w:r>
    </w:p>
    <w:p>
      <w:pPr>
        <w:pStyle w:val="FirstParagraph"/>
      </w:pPr>
      <w:r>
        <w:t xml:space="preserve">Quality assurance flags track potential measurement issues: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QA Flag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Extreme velocity (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10 pp/quarter)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obligation adjustment (&gt;25%)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expenditure adjustment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5.3%</w:t>
            </w:r>
          </w:p>
        </w:tc>
      </w:tr>
    </w:tbl>
    <w:p>
      <w:pPr>
        <w:pStyle w:val="BodyText"/>
      </w:pPr>
      <w:r>
        <w:t xml:space="preserve">Sensitivity analyses excluding flagged observations produce substantively similar results (see Appendix C).</w:t>
      </w:r>
    </w:p>
    <w:bookmarkEnd w:id="39"/>
    <w:bookmarkStart w:id="40" w:name="a.7-disaster-coverage"/>
    <w:p>
      <w:pPr>
        <w:pStyle w:val="Heading2"/>
      </w:pPr>
      <w:r>
        <w:t xml:space="preserve">A.7 Disaster Coverage</w:t>
      </w:r>
    </w:p>
    <w:p>
      <w:pPr>
        <w:pStyle w:val="FirstParagraph"/>
      </w:pPr>
      <w:r>
        <w:t xml:space="preserve">The sample covers 18 major disaster events from 2003 to 2023:</w:t>
      </w:r>
    </w:p>
    <w:p>
      <w:pPr>
        <w:pStyle w:val="BodyText"/>
      </w:pPr>
      <w:r>
        <w:rPr>
          <w:b/>
          <w:bCs/>
        </w:rPr>
        <w:t xml:space="preserve">Hurricane Events:</w:t>
      </w:r>
      <w:r>
        <w:t xml:space="preserve"> </w:t>
      </w:r>
      <w:r>
        <w:t xml:space="preserve">- Hurricane Katrina (2005): Gulf Coast states</w:t>
      </w:r>
      <w:r>
        <w:t xml:space="preserve"> </w:t>
      </w:r>
      <w:r>
        <w:t xml:space="preserve">- Superstorm Sandy (2012): Mid-Atlantic and Northeast</w:t>
      </w:r>
      <w:r>
        <w:t xml:space="preserve"> </w:t>
      </w:r>
      <w:r>
        <w:t xml:space="preserve">- Hurricane Harvey (2017): Texas coast</w:t>
      </w:r>
      <w:r>
        <w:t xml:space="preserve"> </w:t>
      </w:r>
      <w:r>
        <w:t xml:space="preserve">- Hurricane Maria (2017): Puerto Rico and U.S. Virgin Islands</w:t>
      </w:r>
      <w:r>
        <w:t xml:space="preserve"> </w:t>
      </w:r>
      <w:r>
        <w:t xml:space="preserve">- Hurricane Irma (2017): Florida and Caribbean</w:t>
      </w:r>
    </w:p>
    <w:p>
      <w:pPr>
        <w:pStyle w:val="BodyText"/>
      </w:pPr>
      <w:r>
        <w:rPr>
          <w:b/>
          <w:bCs/>
        </w:rPr>
        <w:t xml:space="preserve">Wildfire Events:</w:t>
      </w:r>
      <w:r>
        <w:t xml:space="preserve"> </w:t>
      </w:r>
      <w:r>
        <w:t xml:space="preserve">- California Wildfires (2017-2020): Multiple events</w:t>
      </w:r>
      <w:r>
        <w:t xml:space="preserve"> </w:t>
      </w:r>
      <w:r>
        <w:t xml:space="preserve">- Colorado Fires (2012-2013)</w:t>
      </w:r>
      <w:r>
        <w:t xml:space="preserve"> </w:t>
      </w:r>
      <w:r>
        <w:t xml:space="preserve">- Arizona Wildfires (2011)</w:t>
      </w:r>
    </w:p>
    <w:p>
      <w:pPr>
        <w:pStyle w:val="BodyText"/>
      </w:pPr>
      <w:r>
        <w:rPr>
          <w:b/>
          <w:bCs/>
        </w:rPr>
        <w:t xml:space="preserve">Flood Events:</w:t>
      </w:r>
      <w:r>
        <w:t xml:space="preserve"> </w:t>
      </w:r>
      <w:r>
        <w:t xml:space="preserve">- Louisiana Floods (2016)</w:t>
      </w:r>
      <w:r>
        <w:t xml:space="preserve"> </w:t>
      </w:r>
      <w:r>
        <w:t xml:space="preserve">- Colorado Floods (2013)</w:t>
      </w:r>
      <w:r>
        <w:t xml:space="preserve"> </w:t>
      </w:r>
      <w:r>
        <w:t xml:space="preserve">- Multiple smaller flood events</w:t>
      </w:r>
    </w:p>
    <w:p>
      <w:pPr>
        <w:pStyle w:val="BodyText"/>
      </w:pPr>
      <w:r>
        <w:rPr>
          <w:b/>
          <w:bCs/>
        </w:rPr>
        <w:t xml:space="preserve">Other Events:</w:t>
      </w:r>
      <w:r>
        <w:t xml:space="preserve"> </w:t>
      </w:r>
      <w:r>
        <w:t xml:space="preserve">- Joplin Tornado (2011)</w:t>
      </w:r>
      <w:r>
        <w:t xml:space="preserve"> </w:t>
      </w:r>
      <w:r>
        <w:t xml:space="preserve">- Oklahoma Tornadoes (2013)</w:t>
      </w:r>
      <w:r>
        <w:t xml:space="preserve"> </w:t>
      </w:r>
      <w:r>
        <w:t xml:space="preserve">- Various smaller disasters</w:t>
      </w:r>
    </w:p>
    <w:p>
      <w:pPr>
        <w:pStyle w:val="BodyText"/>
      </w:pPr>
      <w:r>
        <w:t xml:space="preserve">The diversity of disaster types, geographic locations, and governmental structures provides variation needed to test context-specific velocity effects.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A: Data Description</dc:title>
  <dc:creator/>
  <cp:keywords/>
  <dcterms:created xsi:type="dcterms:W3CDTF">2025-12-27T15:23:14Z</dcterms:created>
  <dcterms:modified xsi:type="dcterms:W3CDTF">2025-12-27T15:23:14Z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csl/chicago-author-date.csl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