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26.png" ContentType="image/png"/>
  <Override PartName="/word/media/rId35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 C: Full Heterogeneity Results</w:t>
      </w:r>
    </w:p>
    <w:bookmarkStart w:id="23" w:name="c.1-phase-specific-velocity-results"/>
    <w:p>
      <w:pPr>
        <w:pStyle w:val="Heading2"/>
      </w:pPr>
      <w:r>
        <w:t xml:space="preserve">C.1 Phase-Specific Velocity Results</w:t>
      </w:r>
    </w:p>
    <w:bookmarkStart w:id="20" w:name="univariate-phase-models"/>
    <w:p>
      <w:pPr>
        <w:pStyle w:val="Heading3"/>
      </w:pPr>
      <w:r>
        <w:t xml:space="preserve">Univariate Phase Models</w:t>
      </w:r>
    </w:p>
    <w:p>
      <w:pPr>
        <w:pStyle w:val="FirstParagraph"/>
      </w:pPr>
      <w:r>
        <w:t xml:space="preserve">Each phase velocity tested separately: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 Lower</w:t>
            </w:r>
          </w:p>
        </w:tc>
        <w:tc>
          <w:tcPr/>
          <w:p>
            <w:pPr>
              <w:pStyle w:val="Compact"/>
            </w:pPr>
            <w:r>
              <w:t xml:space="preserve">95% CI Upper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N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</w:t>
            </w:r>
          </w:p>
        </w:tc>
        <w:tc>
          <w:tcPr/>
          <w:p>
            <w:pPr>
              <w:pStyle w:val="Compact"/>
            </w:pPr>
            <w:r>
              <w:t xml:space="preserve">2.51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</w:p>
        </w:tc>
        <w:tc>
          <w:tcPr/>
          <w:p>
            <w:pPr>
              <w:pStyle w:val="Compact"/>
            </w:pPr>
            <w:r>
              <w:t xml:space="preserve">4.96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1.89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3.89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</w:p>
        </w:tc>
        <w:tc>
          <w:tcPr/>
          <w:p>
            <w:pPr>
              <w:pStyle w:val="Compact"/>
            </w:pPr>
            <w:r>
              <w:t xml:space="preserve">3.24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  <w:tc>
          <w:tcPr/>
          <w:p>
            <w:pPr>
              <w:pStyle w:val="Compact"/>
            </w:pPr>
            <w:r>
              <w:t xml:space="preserve">6.82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bookmarkEnd w:id="20"/>
    <w:bookmarkStart w:id="21" w:name="multivariate-phase-model"/>
    <w:p>
      <w:pPr>
        <w:pStyle w:val="Heading3"/>
      </w:pPr>
      <w:r>
        <w:t xml:space="preserve">Multivariate Phase Model</w:t>
      </w:r>
    </w:p>
    <w:p>
      <w:pPr>
        <w:pStyle w:val="FirstParagraph"/>
      </w:pPr>
      <w:r>
        <w:t xml:space="preserve">All three phases included simultaneously: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 Lower</w:t>
            </w:r>
          </w:p>
        </w:tc>
        <w:tc>
          <w:tcPr/>
          <w:p>
            <w:pPr>
              <w:pStyle w:val="Compact"/>
            </w:pPr>
            <w:r>
              <w:t xml:space="preserve">95% CI Upper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</w:t>
            </w:r>
          </w:p>
        </w:tc>
        <w:tc>
          <w:tcPr/>
          <w:p>
            <w:pPr>
              <w:pStyle w:val="Compact"/>
            </w:pPr>
            <w:r>
              <w:t xml:space="preserve">2.04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5.51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23.31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When all phases compete, only late-phase velocity retains significance. The middle-phase coefficient becomes negative (protective), suggesting that mid-phase velocity is correlated with but not causally related to completion.</w:t>
      </w:r>
    </w:p>
    <w:bookmarkEnd w:id="21"/>
    <w:bookmarkStart w:id="22" w:name="velocity-acceleration"/>
    <w:p>
      <w:pPr>
        <w:pStyle w:val="Heading3"/>
      </w:pPr>
      <w:r>
        <w:t xml:space="preserve">Velocity Acceleration</w:t>
      </w:r>
    </w:p>
    <w:p>
      <w:pPr>
        <w:pStyle w:val="FirstParagraph"/>
      </w:pPr>
      <w:r>
        <w:t xml:space="preserve">Change in velocity from early to late phase: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Acceleration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Velocity</m:t>
              </m:r>
            </m:e>
            <m:sub>
              <m:r>
                <m:rPr>
                  <m:nor/>
                  <m:sty m:val="p"/>
                </m:rPr>
                <m:t>Late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Velocity</m:t>
              </m:r>
            </m:e>
            <m:sub>
              <m:r>
                <m:rPr>
                  <m:nor/>
                  <m:sty m:val="p"/>
                </m:rPr>
                <m:t>Early</m:t>
              </m:r>
            </m:sub>
          </m:sSub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5"/>
        <w:gridCol w:w="349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Acceleration Tercile</w:t>
            </w:r>
          </w:p>
        </w:tc>
        <w:tc>
          <w:tcPr/>
          <w:p>
            <w:pPr>
              <w:pStyle w:val="Compact"/>
            </w:pPr>
            <w:r>
              <w:t xml:space="preserve">Median Completion (quarters)</w:t>
            </w:r>
          </w:p>
        </w:tc>
        <w:tc>
          <w:tcPr/>
          <w:p>
            <w:pPr>
              <w:pStyle w:val="Compact"/>
            </w:pPr>
            <w:r>
              <w:t xml:space="preserve">Completion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Decelerating (&lt; -0.5 pp)</w:t>
            </w:r>
          </w:p>
        </w:tc>
        <w:tc>
          <w:tcPr/>
          <w:p>
            <w:pPr>
              <w:pStyle w:val="Compact"/>
            </w:pPr>
            <w:r>
              <w:t xml:space="preserve">78.2</w:t>
            </w:r>
          </w:p>
        </w:tc>
        <w:tc>
          <w:tcPr/>
          <w:p>
            <w:pPr>
              <w:pStyle w:val="Compact"/>
            </w:pPr>
            <w:r>
              <w:t xml:space="preserve">21.4%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 (-0.5 to +0.5 pp)</w:t>
            </w:r>
          </w:p>
        </w:tc>
        <w:tc>
          <w:tcPr/>
          <w:p>
            <w:pPr>
              <w:pStyle w:val="Compact"/>
            </w:pPr>
            <w:r>
              <w:t xml:space="preserve">65.4</w:t>
            </w:r>
          </w:p>
        </w:tc>
        <w:tc>
          <w:tcPr/>
          <w:p>
            <w:pPr>
              <w:pStyle w:val="Compact"/>
            </w:pPr>
            <w:r>
              <w:t xml:space="preserve">28.1%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Accelerating (&gt; +0.5 pp)</w:t>
            </w:r>
          </w:p>
        </w:tc>
        <w:tc>
          <w:tcPr/>
          <w:p>
            <w:pPr>
              <w:pStyle w:val="Compact"/>
            </w:pPr>
            <w:r>
              <w:t xml:space="preserve">52.8</w:t>
            </w:r>
          </w:p>
        </w:tc>
        <w:tc>
          <w:tcPr/>
          <w:p>
            <w:pPr>
              <w:pStyle w:val="Compact"/>
            </w:pPr>
            <w:r>
              <w:t xml:space="preserve">34.2%</w:t>
            </w:r>
          </w:p>
        </w:tc>
      </w:tr>
    </w:tbl>
    <w:p>
      <w:pPr>
        <w:pStyle w:val="BodyText"/>
      </w:pPr>
      <w:r>
        <w:t xml:space="preserve">Programs that accelerate through the lifecycle complete faster than those that decelerate.</w:t>
      </w:r>
    </w:p>
    <w:bookmarkEnd w:id="22"/>
    <w:bookmarkEnd w:id="23"/>
    <w:bookmarkStart w:id="32" w:name="c.2-trajectory-cluster-results"/>
    <w:p>
      <w:pPr>
        <w:pStyle w:val="Heading2"/>
      </w:pPr>
      <w:r>
        <w:t xml:space="preserve">C.2 Trajectory Cluster Results</w:t>
      </w:r>
    </w:p>
    <w:bookmarkStart w:id="25" w:name="cluster-characteristics"/>
    <w:p>
      <w:pPr>
        <w:pStyle w:val="Heading3"/>
      </w:pPr>
      <w:r>
        <w:t xml:space="preserve">Cluster Characteristics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clust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Velocity Trajectory Cluster Characteristics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| Trajectory_Label   |   N |   N_Events |   Median_Duration |   Median_Survival_Time |   Completion_Rate |</w:t>
            </w:r>
            <w:r>
              <w:br/>
            </w:r>
            <w:r>
              <w:rPr>
                <w:rStyle w:val="VerbatimChar"/>
              </w:rPr>
              <w:t xml:space="preserve">|:-------------------|----:|-----------:|------------------:|-----------------------:|------------------:|</w:t>
            </w:r>
            <w:r>
              <w:br/>
            </w:r>
            <w:r>
              <w:rPr>
                <w:rStyle w:val="VerbatimChar"/>
              </w:rPr>
              <w:t xml:space="preserve">| Moderate           | 115 |         92 |                39 |                     68 |          0.8      |</w:t>
            </w:r>
            <w:r>
              <w:br/>
            </w:r>
            <w:r>
              <w:rPr>
                <w:rStyle w:val="VerbatimChar"/>
              </w:rPr>
              <w:t xml:space="preserve">| Fast-Consistent    |  15 |         13 |                45 |                     45 |          0.866667 |</w:t>
            </w:r>
            <w:r>
              <w:br/>
            </w:r>
            <w:r>
              <w:rPr>
                <w:rStyle w:val="VerbatimChar"/>
              </w:rPr>
              <w:t xml:space="preserve">| Accelerating       |   1 |          0 |               148 |                    nan |          0        |</w:t>
            </w:r>
          </w:p>
          <w:bookmarkEnd w:id="24"/>
        </w:tc>
      </w:tr>
    </w:tbl>
    <w:bookmarkEnd w:id="25"/>
    <w:bookmarkStart w:id="30" w:name="kaplan-meier-by-cluster"/>
    <w:p>
      <w:pPr>
        <w:pStyle w:val="Heading3"/>
      </w:pPr>
      <w:r>
        <w:t xml:space="preserve">Kaplan-Meier by Cluster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km-cluster"/>
          <w:p>
            <w:pPr>
              <w:pStyle w:val="Compact"/>
              <w:jc w:val="center"/>
            </w:pPr>
            <w:r>
              <w:drawing>
                <wp:inline>
                  <wp:extent cx="5334000" cy="356928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appendix-c-heterogeneity_files/figure-docx/fig-km-cluster-output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69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Survival Curves by Velocity Trajectory Cluster</w:t>
            </w:r>
          </w:p>
          <w:bookmarkEnd w:id="29"/>
        </w:tc>
      </w:tr>
    </w:tbl>
    <w:bookmarkEnd w:id="30"/>
    <w:bookmarkStart w:id="31" w:name="cluster-composition"/>
    <w:p>
      <w:pPr>
        <w:pStyle w:val="Heading3"/>
      </w:pPr>
      <w:r>
        <w:t xml:space="preserve">Cluster 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1430"/>
        <w:gridCol w:w="1320"/>
        <w:gridCol w:w="121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State %</w:t>
            </w:r>
          </w:p>
        </w:tc>
        <w:tc>
          <w:tcPr/>
          <w:p>
            <w:pPr>
              <w:pStyle w:val="Compact"/>
            </w:pPr>
            <w:r>
              <w:t xml:space="preserve">Local %</w:t>
            </w:r>
          </w:p>
        </w:tc>
        <w:tc>
          <w:tcPr/>
          <w:p>
            <w:pPr>
              <w:pStyle w:val="Compact"/>
            </w:pPr>
            <w:r>
              <w:t xml:space="preserve">Hurricane %</w:t>
            </w:r>
          </w:p>
        </w:tc>
        <w:tc>
          <w:tcPr/>
          <w:p>
            <w:pPr>
              <w:pStyle w:val="Compact"/>
            </w:pPr>
            <w:r>
              <w:t xml:space="preserve">Wildfire %</w:t>
            </w:r>
          </w:p>
        </w:tc>
        <w:tc>
          <w:tcPr/>
          <w:p>
            <w:pPr>
              <w:pStyle w:val="Compact"/>
            </w:pPr>
            <w:r>
              <w:t xml:space="preserve">Housing %</w:t>
            </w:r>
          </w:p>
        </w:tc>
        <w:tc>
          <w:tcPr/>
          <w:p>
            <w:pPr>
              <w:pStyle w:val="Compact"/>
            </w:pPr>
            <w:r>
              <w:t xml:space="preserve">Admin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Fast-Consistent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Slow-Start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Fast-Consistent programs are more likely to be local governments, wildfire-related, and administration-focused.</w:t>
      </w:r>
    </w:p>
    <w:bookmarkEnd w:id="31"/>
    <w:bookmarkEnd w:id="32"/>
    <w:bookmarkStart w:id="41" w:name="c.3-experience-stratification-results"/>
    <w:p>
      <w:pPr>
        <w:pStyle w:val="Heading2"/>
      </w:pPr>
      <w:r>
        <w:t xml:space="preserve">C.3 Experience Stratification Results</w:t>
      </w:r>
    </w:p>
    <w:bookmarkStart w:id="33" w:name="stratified-cox-ph"/>
    <w:p>
      <w:pPr>
        <w:pStyle w:val="Heading3"/>
      </w:pPr>
      <w:r>
        <w:t xml:space="preserve">Stratified Cox PH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2"/>
        <w:gridCol w:w="365"/>
        <w:gridCol w:w="974"/>
        <w:gridCol w:w="609"/>
        <w:gridCol w:w="1705"/>
        <w:gridCol w:w="1705"/>
        <w:gridCol w:w="1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 Lower</w:t>
            </w:r>
          </w:p>
        </w:tc>
        <w:tc>
          <w:tcPr/>
          <w:p>
            <w:pPr>
              <w:pStyle w:val="Compact"/>
            </w:pPr>
            <w:r>
              <w:t xml:space="preserve">95% CI Upper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Novice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4.61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20.24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Experienced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3.15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21.12</w:t>
            </w:r>
          </w:p>
        </w:tc>
        <w:tc>
          <w:tcPr/>
          <w:p>
            <w:pPr>
              <w:pStyle w:val="Compact"/>
            </w:pPr>
            <w:r>
              <w:t xml:space="preserve">0.237</w:t>
            </w:r>
          </w:p>
        </w:tc>
      </w:tr>
    </w:tbl>
    <w:bookmarkEnd w:id="33"/>
    <w:bookmarkStart w:id="34" w:name="experience-velocity-interaction"/>
    <w:p>
      <w:pPr>
        <w:pStyle w:val="Heading3"/>
      </w:pPr>
      <w:r>
        <w:t xml:space="preserve">Experience × Velocity Interaction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 Lower</w:t>
            </w:r>
          </w:p>
        </w:tc>
        <w:tc>
          <w:tcPr/>
          <w:p>
            <w:pPr>
              <w:pStyle w:val="Compact"/>
            </w:pPr>
            <w:r>
              <w:t xml:space="preserve">95% CI Upper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4.61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20.24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Experienced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2.66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 × Experienced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3.94</w:t>
            </w:r>
          </w:p>
        </w:tc>
        <w:tc>
          <w:tcPr/>
          <w:p>
            <w:pPr>
              <w:pStyle w:val="Compact"/>
            </w:pPr>
            <w:r>
              <w:t xml:space="preserve">0.812</w:t>
            </w:r>
          </w:p>
        </w:tc>
      </w:tr>
    </w:tbl>
    <w:p>
      <w:pPr>
        <w:pStyle w:val="BodyText"/>
      </w:pPr>
      <w:r>
        <w:t xml:space="preserve">The interaction is non-significant (p=0.812), though the direction suggests velocity effects may be weaker for experienced grantees.</w:t>
      </w:r>
    </w:p>
    <w:bookmarkEnd w:id="34"/>
    <w:bookmarkStart w:id="39" w:name="kaplan-meier-by-experience"/>
    <w:p>
      <w:pPr>
        <w:pStyle w:val="Heading3"/>
      </w:pPr>
      <w:r>
        <w:t xml:space="preserve">Kaplan-Meier by Experience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km-experience"/>
          <w:p>
            <w:pPr>
              <w:pStyle w:val="Compact"/>
              <w:jc w:val="center"/>
            </w:pPr>
            <w:r>
              <w:drawing>
                <wp:inline>
                  <wp:extent cx="5334000" cy="355112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appendix-c-heterogeneity_files/figure-docx/fig-km-experience-output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1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Survival Curves by Grantee Experience</w:t>
            </w:r>
          </w:p>
          <w:bookmarkEnd w:id="38"/>
        </w:tc>
      </w:tr>
    </w:tbl>
    <w:bookmarkEnd w:id="39"/>
    <w:bookmarkStart w:id="40" w:name="learning-curve-analysis"/>
    <w:p>
      <w:pPr>
        <w:pStyle w:val="Heading3"/>
      </w:pPr>
      <w:r>
        <w:t xml:space="preserve">Learning Curve Analysis</w:t>
      </w:r>
    </w:p>
    <w:p>
      <w:pPr>
        <w:pStyle w:val="FirstParagraph"/>
      </w:pPr>
      <w:r>
        <w:t xml:space="preserve">Velocity across successive CDBG-DR grants: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Grant Sequence</w:t>
            </w:r>
          </w:p>
        </w:tc>
        <w:tc>
          <w:tcPr/>
          <w:p>
            <w:pPr>
              <w:pStyle w:val="Compact"/>
            </w:pPr>
            <w:r>
              <w:t xml:space="preserve">N Grantees</w:t>
            </w:r>
          </w:p>
        </w:tc>
        <w:tc>
          <w:tcPr/>
          <w:p>
            <w:pPr>
              <w:pStyle w:val="Compact"/>
            </w:pPr>
            <w:r>
              <w:t xml:space="preserve">Mean Velocity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 grant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2.08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 grant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2.21</w:t>
            </w:r>
          </w:p>
        </w:tc>
        <w:tc>
          <w:tcPr/>
          <w:p>
            <w:pPr>
              <w:pStyle w:val="Compact"/>
            </w:pPr>
            <w:r>
              <w:t xml:space="preserve">+6.3%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3rd grant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2.34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4th+ grant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2.18</w:t>
            </w:r>
          </w:p>
        </w:tc>
        <w:tc>
          <w:tcPr/>
          <w:p>
            <w:pPr>
              <w:pStyle w:val="Compact"/>
            </w:pPr>
            <w:r>
              <w:t xml:space="preserve">-6.8%</w:t>
            </w:r>
          </w:p>
        </w:tc>
      </w:tr>
    </w:tbl>
    <w:p>
      <w:pPr>
        <w:pStyle w:val="BodyText"/>
      </w:pPr>
      <w:r>
        <w:t xml:space="preserve">Correlation between grant sequence and velocity: r=0.175, p=0.075 (non-significant).</w:t>
      </w:r>
    </w:p>
    <w:bookmarkEnd w:id="40"/>
    <w:bookmarkEnd w:id="41"/>
    <w:bookmarkStart w:id="49" w:name="c.4-program-type-results"/>
    <w:p>
      <w:pPr>
        <w:pStyle w:val="Heading2"/>
      </w:pPr>
      <w:r>
        <w:t xml:space="preserve">C.4 Program Type Results</w:t>
      </w:r>
    </w:p>
    <w:bookmarkStart w:id="42" w:name="stratified-cox-ph-by-program-type"/>
    <w:p>
      <w:pPr>
        <w:pStyle w:val="Heading3"/>
      </w:pPr>
      <w:r>
        <w:t xml:space="preserve">Stratified Cox PH by Program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4"/>
        <w:gridCol w:w="354"/>
        <w:gridCol w:w="945"/>
        <w:gridCol w:w="591"/>
        <w:gridCol w:w="1654"/>
        <w:gridCol w:w="1654"/>
        <w:gridCol w:w="10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 Type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 Lower</w:t>
            </w:r>
          </w:p>
        </w:tc>
        <w:tc>
          <w:tcPr/>
          <w:p>
            <w:pPr>
              <w:pStyle w:val="Compact"/>
            </w:pPr>
            <w:r>
              <w:t xml:space="preserve">95% CI Upper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Housing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12.41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5.69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264.87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30.74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t xml:space="preserve">302.69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2.14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518.42</w:t>
            </w:r>
          </w:p>
        </w:tc>
        <w:tc>
          <w:tcPr/>
          <w:p>
            <w:pPr>
              <w:pStyle w:val="Compact"/>
            </w:pPr>
            <w:r>
              <w:t xml:space="preserve">0.783</w:t>
            </w:r>
          </w:p>
        </w:tc>
      </w:tr>
    </w:tbl>
    <w:bookmarkEnd w:id="42"/>
    <w:bookmarkStart w:id="47" w:name="forest-plot"/>
    <w:p>
      <w:pPr>
        <w:pStyle w:val="Heading3"/>
      </w:pPr>
      <w:r>
        <w:t xml:space="preserve">Forest Plot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program-forest"/>
          <w:p>
            <w:pPr>
              <w:pStyle w:val="Compact"/>
              <w:jc w:val="center"/>
            </w:pPr>
            <w:r>
              <w:drawing>
                <wp:inline>
                  <wp:extent cx="5334000" cy="317564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appendix-c-heterogeneity_files/figure-docx/fig-program-forest-outpu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75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Velocity Effects by Program Type</w:t>
            </w:r>
          </w:p>
          <w:bookmarkEnd w:id="46"/>
        </w:tc>
      </w:tr>
    </w:tbl>
    <w:bookmarkEnd w:id="47"/>
    <w:bookmarkStart w:id="48" w:name="program-type-composition-by-disaster"/>
    <w:p>
      <w:pPr>
        <w:pStyle w:val="Heading3"/>
      </w:pPr>
      <w:r>
        <w:t xml:space="preserve">Program Type Composition by Disaster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Disaster Type</w:t>
            </w:r>
          </w:p>
        </w:tc>
        <w:tc>
          <w:tcPr/>
          <w:p>
            <w:pPr>
              <w:pStyle w:val="Compact"/>
            </w:pPr>
            <w:r>
              <w:t xml:space="preserve">Housing %</w:t>
            </w:r>
          </w:p>
        </w:tc>
        <w:tc>
          <w:tcPr/>
          <w:p>
            <w:pPr>
              <w:pStyle w:val="Compact"/>
            </w:pPr>
            <w:r>
              <w:t xml:space="preserve">Infrastructure %</w:t>
            </w:r>
          </w:p>
        </w:tc>
        <w:tc>
          <w:tcPr/>
          <w:p>
            <w:pPr>
              <w:pStyle w:val="Compact"/>
            </w:pPr>
            <w:r>
              <w:t xml:space="preserve">Administration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Hurricane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Wildfire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</w:tbl>
    <w:p>
      <w:pPr>
        <w:pStyle w:val="BodyText"/>
      </w:pPr>
      <w:r>
        <w:t xml:space="preserve">Wildfire disasters have disproportionately high administration program shares, partially explaining the extreme wildfire velocity effect.</w:t>
      </w:r>
    </w:p>
    <w:bookmarkEnd w:id="48"/>
    <w:bookmarkEnd w:id="49"/>
    <w:bookmarkStart w:id="57" w:name="c.5-disaster-context-results"/>
    <w:p>
      <w:pPr>
        <w:pStyle w:val="Heading2"/>
      </w:pPr>
      <w:r>
        <w:t xml:space="preserve">C.5 Disaster Context Results</w:t>
      </w:r>
    </w:p>
    <w:bookmarkStart w:id="50" w:name="stratified-cox-ph-by-disaster-type"/>
    <w:p>
      <w:pPr>
        <w:pStyle w:val="Heading3"/>
      </w:pPr>
      <w:r>
        <w:t xml:space="preserve">Stratified Cox PH by Disaster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7"/>
        <w:gridCol w:w="349"/>
        <w:gridCol w:w="931"/>
        <w:gridCol w:w="582"/>
        <w:gridCol w:w="1630"/>
        <w:gridCol w:w="1630"/>
        <w:gridCol w:w="10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Disaster Type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 Lower</w:t>
            </w:r>
          </w:p>
        </w:tc>
        <w:tc>
          <w:tcPr/>
          <w:p>
            <w:pPr>
              <w:pStyle w:val="Compact"/>
            </w:pPr>
            <w:r>
              <w:t xml:space="preserve">95% CI Upper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Hurricane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4.58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17.81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Wildfire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51.09</w:t>
            </w:r>
          </w:p>
        </w:tc>
        <w:tc>
          <w:tcPr/>
          <w:p>
            <w:pPr>
              <w:pStyle w:val="Compact"/>
            </w:pPr>
            <w:r>
              <w:t xml:space="preserve">4.01</w:t>
            </w:r>
          </w:p>
        </w:tc>
        <w:tc>
          <w:tcPr/>
          <w:p>
            <w:pPr>
              <w:pStyle w:val="Compact"/>
            </w:pPr>
            <w:r>
              <w:t xml:space="preserve">650.90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3.84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61.52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5.32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72.89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</w:tr>
    </w:tbl>
    <w:bookmarkEnd w:id="50"/>
    <w:bookmarkStart w:id="55" w:name="forest-plot-1"/>
    <w:p>
      <w:pPr>
        <w:pStyle w:val="Heading3"/>
      </w:pPr>
      <w:r>
        <w:t xml:space="preserve">Forest Plot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disaster-forest"/>
          <w:p>
            <w:pPr>
              <w:pStyle w:val="Compact"/>
              <w:jc w:val="center"/>
            </w:pPr>
            <w:r>
              <w:drawing>
                <wp:inline>
                  <wp:extent cx="5334000" cy="35540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appendix-c-heterogeneity_files/figure-docx/fig-disaster-forest-output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Velocity Effects by Disaster Type</w:t>
            </w:r>
          </w:p>
          <w:bookmarkEnd w:id="54"/>
        </w:tc>
      </w:tr>
    </w:tbl>
    <w:bookmarkEnd w:id="55"/>
    <w:bookmarkStart w:id="56" w:name="stratified-cox-ph-by-disaster-era"/>
    <w:p>
      <w:pPr>
        <w:pStyle w:val="Heading3"/>
      </w:pPr>
      <w:r>
        <w:t xml:space="preserve">Stratified Cox PH by Disaster Era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Era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 Lower</w:t>
            </w:r>
          </w:p>
        </w:tc>
        <w:tc>
          <w:tcPr/>
          <w:p>
            <w:pPr>
              <w:pStyle w:val="Compact"/>
            </w:pPr>
            <w:r>
              <w:t xml:space="preserve">95% CI Upper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Pre-2010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2.89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26.94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2010-2020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5.36</w:t>
            </w:r>
          </w:p>
        </w:tc>
        <w:tc>
          <w:tcPr/>
          <w:p>
            <w:pPr>
              <w:pStyle w:val="Compact"/>
            </w:pPr>
            <w:r>
              <w:t xml:space="preserve">1.48</w:t>
            </w:r>
          </w:p>
        </w:tc>
        <w:tc>
          <w:tcPr/>
          <w:p>
            <w:pPr>
              <w:pStyle w:val="Compact"/>
            </w:pPr>
            <w:r>
              <w:t xml:space="preserve">19.42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Post-2020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8.42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1821.34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</w:tr>
    </w:tbl>
    <w:p>
      <w:pPr>
        <w:pStyle w:val="BodyText"/>
      </w:pPr>
      <w:r>
        <w:t xml:space="preserve">The 2010-2020 era, corresponding to enhanced HUD monitoring, shows the strongest and most precisely estimated velocity effect.</w:t>
      </w:r>
    </w:p>
    <w:bookmarkEnd w:id="56"/>
    <w:bookmarkEnd w:id="57"/>
    <w:bookmarkStart w:id="62" w:name="c.6-robustness-checks"/>
    <w:p>
      <w:pPr>
        <w:pStyle w:val="Heading2"/>
      </w:pPr>
      <w:r>
        <w:t xml:space="preserve">C.6 Robustness Checks</w:t>
      </w:r>
    </w:p>
    <w:bookmarkStart w:id="58" w:name="alternative-completion-thresholds"/>
    <w:p>
      <w:pPr>
        <w:pStyle w:val="Heading3"/>
      </w:pPr>
      <w:r>
        <w:t xml:space="preserve">Alternative Completion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N Events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3.89</w:t>
            </w:r>
          </w:p>
        </w:tc>
        <w:tc>
          <w:tcPr/>
          <w:p>
            <w:pPr>
              <w:pStyle w:val="Compact"/>
            </w:pPr>
            <w:r>
              <w:t xml:space="preserve">1.42-10.65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4.21</w:t>
            </w:r>
          </w:p>
        </w:tc>
        <w:tc>
          <w:tcPr/>
          <w:p>
            <w:pPr>
              <w:pStyle w:val="Compact"/>
            </w:pPr>
            <w:r>
              <w:t xml:space="preserve">1.38-12.84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4.60</w:t>
            </w:r>
          </w:p>
        </w:tc>
        <w:tc>
          <w:tcPr/>
          <w:p>
            <w:pPr>
              <w:pStyle w:val="Compact"/>
            </w:pPr>
            <w:r>
              <w:t xml:space="preserve">1.27-16.65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  <w:tc>
          <w:tcPr/>
          <w:p>
            <w:pPr>
              <w:pStyle w:val="Compact"/>
            </w:pPr>
            <w:r>
              <w:t xml:space="preserve">1.01-25.98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</w:tr>
    </w:tbl>
    <w:p>
      <w:pPr>
        <w:pStyle w:val="BodyText"/>
      </w:pPr>
      <w:r>
        <w:t xml:space="preserve">Effects strengthen at higher thresholds, consistent with velocity mattering most for final completion.</w:t>
      </w:r>
    </w:p>
    <w:bookmarkEnd w:id="58"/>
    <w:bookmarkStart w:id="59" w:name="excluding-qa-flagged-observations"/>
    <w:p>
      <w:pPr>
        <w:pStyle w:val="Heading3"/>
      </w:pPr>
      <w:r>
        <w:t xml:space="preserve">Excluding QA-Flagged Observations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Exclusion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(baseline)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4.60</w:t>
            </w:r>
          </w:p>
        </w:tc>
        <w:tc>
          <w:tcPr/>
          <w:p>
            <w:pPr>
              <w:pStyle w:val="Compact"/>
            </w:pPr>
            <w:r>
              <w:t xml:space="preserve">1.27-16.65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 velocity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4.79</w:t>
            </w:r>
          </w:p>
        </w:tc>
        <w:tc>
          <w:tcPr/>
          <w:p>
            <w:pPr>
              <w:pStyle w:val="Compact"/>
            </w:pPr>
            <w:r>
              <w:t xml:space="preserve">1.31-17.51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obligation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4.32</w:t>
            </w:r>
          </w:p>
        </w:tc>
        <w:tc>
          <w:tcPr/>
          <w:p>
            <w:pPr>
              <w:pStyle w:val="Compact"/>
            </w:pPr>
            <w:r>
              <w:t xml:space="preserve">1.18-15.81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QA flag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4.44</w:t>
            </w:r>
          </w:p>
        </w:tc>
        <w:tc>
          <w:tcPr/>
          <w:p>
            <w:pPr>
              <w:pStyle w:val="Compact"/>
            </w:pPr>
            <w:r>
              <w:t xml:space="preserve">1.19-16.58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</w:tr>
    </w:tbl>
    <w:p>
      <w:pPr>
        <w:pStyle w:val="BodyText"/>
      </w:pPr>
      <w:r>
        <w:t xml:space="preserve">Results are robust to exclusion of potentially problematic observations.</w:t>
      </w:r>
    </w:p>
    <w:bookmarkEnd w:id="59"/>
    <w:bookmarkStart w:id="60" w:name="government-type-stratification"/>
    <w:p>
      <w:pPr>
        <w:pStyle w:val="Heading3"/>
      </w:pPr>
      <w:r>
        <w:t xml:space="preserve">Government Type Stratification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Government Type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5.89</w:t>
            </w:r>
          </w:p>
        </w:tc>
        <w:tc>
          <w:tcPr/>
          <w:p>
            <w:pPr>
              <w:pStyle w:val="Compact"/>
            </w:pPr>
            <w:r>
              <w:t xml:space="preserve">0.82-42.34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3.42</w:t>
            </w:r>
          </w:p>
        </w:tc>
        <w:tc>
          <w:tcPr/>
          <w:p>
            <w:pPr>
              <w:pStyle w:val="Compact"/>
            </w:pPr>
            <w:r>
              <w:t xml:space="preserve">0.61-19.18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4.81</w:t>
            </w:r>
          </w:p>
        </w:tc>
        <w:tc>
          <w:tcPr/>
          <w:p>
            <w:pPr>
              <w:pStyle w:val="Compact"/>
            </w:pPr>
            <w:r>
              <w:t xml:space="preserve">1.04-22.24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</w:tr>
    </w:tbl>
    <w:p>
      <w:pPr>
        <w:pStyle w:val="BodyText"/>
      </w:pPr>
      <w:r>
        <w:t xml:space="preserve">Effects are directionally consistent across government types, though only the mixed category reaches significance with available sample sizes.</w:t>
      </w:r>
    </w:p>
    <w:bookmarkEnd w:id="60"/>
    <w:bookmarkStart w:id="61" w:name="grant-size-controls"/>
    <w:p>
      <w:pPr>
        <w:pStyle w:val="Heading3"/>
      </w:pPr>
      <w:r>
        <w:t xml:space="preserve">Grant Size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 only</w:t>
            </w:r>
          </w:p>
        </w:tc>
        <w:tc>
          <w:tcPr/>
          <w:p>
            <w:pPr>
              <w:pStyle w:val="Compact"/>
            </w:pPr>
            <w:r>
              <w:t xml:space="preserve">4.44</w:t>
            </w:r>
          </w:p>
        </w:tc>
        <w:tc>
          <w:tcPr/>
          <w:p>
            <w:pPr>
              <w:pStyle w:val="Compact"/>
            </w:pPr>
            <w:r>
              <w:t xml:space="preserve">1.39-14.17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Log(Grant Size)</w:t>
            </w:r>
          </w:p>
        </w:tc>
        <w:tc>
          <w:tcPr/>
          <w:p>
            <w:pPr>
              <w:pStyle w:val="Compact"/>
            </w:pPr>
            <w:r>
              <w:t xml:space="preserve">4.60</w:t>
            </w:r>
          </w:p>
        </w:tc>
        <w:tc>
          <w:tcPr/>
          <w:p>
            <w:pPr>
              <w:pStyle w:val="Compact"/>
            </w:pPr>
            <w:r>
              <w:t xml:space="preserve">1.27-16.65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Grant Size Quartiles</w:t>
            </w:r>
          </w:p>
        </w:tc>
        <w:tc>
          <w:tcPr/>
          <w:p>
            <w:pPr>
              <w:pStyle w:val="Compact"/>
            </w:pPr>
            <w:r>
              <w:t xml:space="preserve">4.52</w:t>
            </w:r>
          </w:p>
        </w:tc>
        <w:tc>
          <w:tcPr/>
          <w:p>
            <w:pPr>
              <w:pStyle w:val="Compact"/>
            </w:pPr>
            <w:r>
              <w:t xml:space="preserve">1.21-16.89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</w:tbl>
    <w:p>
      <w:pPr>
        <w:pStyle w:val="BodyText"/>
      </w:pPr>
      <w:r>
        <w:t xml:space="preserve">Controlling for grant size does not substantively change velocity effects.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ageBreakBefore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C: Full Heterogeneity Results</dc:title>
  <dc:creator/>
  <cp:keywords/>
  <dcterms:created xsi:type="dcterms:W3CDTF">2025-12-27T15:23:16Z</dcterms:created>
  <dcterms:modified xsi:type="dcterms:W3CDTF">2025-12-27T15:23:16Z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csl/chicago-author-date.csl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