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 D: Meta-Analysis of Velocity Estimates</w:t>
      </w:r>
    </w:p>
    <w:bookmarkStart w:id="21" w:name="d.1-all-velocity-effect-estimates"/>
    <w:p>
      <w:pPr>
        <w:pStyle w:val="Heading2"/>
      </w:pPr>
      <w:r>
        <w:t xml:space="preserve">D.1 All Velocity Effect Estimates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all-estima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Complete Inventory of Velocity Effect Estimates</w:t>
            </w:r>
          </w:p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| Analysis | Context | N | Events | HR | CI_Lower | CI_Upper | p_value | Significant |</w:t>
            </w:r>
            <w:r>
              <w:br/>
            </w:r>
            <w:r>
              <w:rPr>
                <w:rStyle w:val="VerbatimChar"/>
              </w:rPr>
              <w:t xml:space="preserve">|----------|---------|---|--------|-----|----------|----------|---------|-------------|</w:t>
            </w:r>
            <w:r>
              <w:br/>
            </w:r>
            <w:r>
              <w:rPr>
                <w:rStyle w:val="VerbatimChar"/>
              </w:rPr>
              <w:t xml:space="preserve">| Overall | All | 152 | 40 | 4.44 | 1.39 | 14.17 | 0.012 | Yes |</w:t>
            </w:r>
            <w:r>
              <w:br/>
            </w:r>
            <w:r>
              <w:rPr>
                <w:rStyle w:val="VerbatimChar"/>
              </w:rPr>
              <w:t xml:space="preserve">| Disaster | Wildfire | 24 | 7 | 51.09 | 4.01 | 650.90 | 0.002 | Yes |</w:t>
            </w:r>
            <w:r>
              <w:br/>
            </w:r>
            <w:r>
              <w:rPr>
                <w:rStyle w:val="VerbatimChar"/>
              </w:rPr>
              <w:t xml:space="preserve">| Disaster | Hurricane | 89 | 24 | 4.58 | 1.18 | 17.81 | 0.028 | Yes |</w:t>
            </w:r>
            <w:r>
              <w:br/>
            </w:r>
            <w:r>
              <w:rPr>
                <w:rStyle w:val="VerbatimChar"/>
              </w:rPr>
              <w:t xml:space="preserve">| Disaster | Flood | 27 | 6 | 3.84 | 0.24 | 61.52 | 0.341 | No |</w:t>
            </w:r>
            <w:r>
              <w:br/>
            </w:r>
            <w:r>
              <w:rPr>
                <w:rStyle w:val="VerbatimChar"/>
              </w:rPr>
              <w:t xml:space="preserve">| Disaster | Other | 12 | 3 | 5.32 | 0.39 | 72.89 | 0.206 | No |</w:t>
            </w:r>
            <w:r>
              <w:br/>
            </w:r>
            <w:r>
              <w:rPr>
                <w:rStyle w:val="VerbatimChar"/>
              </w:rPr>
              <w:t xml:space="preserve">| Program | Administration | 34 | 9 | 30.74 | 3.12 | 302.69 | 0.004 | Yes |</w:t>
            </w:r>
            <w:r>
              <w:br/>
            </w:r>
            <w:r>
              <w:rPr>
                <w:rStyle w:val="VerbatimChar"/>
              </w:rPr>
              <w:t xml:space="preserve">| Program | Infrastructure | 41 | 11 | 5.69 | 0.12 | 264.87 | 0.374 | No |</w:t>
            </w:r>
            <w:r>
              <w:br/>
            </w:r>
            <w:r>
              <w:rPr>
                <w:rStyle w:val="VerbatimChar"/>
              </w:rPr>
              <w:t xml:space="preserve">| Program | Housing | 67 | 18 | 0.82 | 0.05 | 12.41 | 0.891 | No |</w:t>
            </w:r>
            <w:r>
              <w:br/>
            </w:r>
            <w:r>
              <w:rPr>
                <w:rStyle w:val="VerbatimChar"/>
              </w:rPr>
              <w:t xml:space="preserve">| Phase | Early | 152 | 40 | 2.04 | 0.76 | 5.51 | 0.157 | No |</w:t>
            </w:r>
            <w:r>
              <w:br/>
            </w:r>
            <w:r>
              <w:rPr>
                <w:rStyle w:val="VerbatimChar"/>
              </w:rPr>
              <w:t xml:space="preserve">| Phase | Middle | 152 | 40 | 0.37 | 0.09 | 1.58 | 0.184 | No |</w:t>
            </w:r>
            <w:r>
              <w:br/>
            </w:r>
            <w:r>
              <w:rPr>
                <w:rStyle w:val="VerbatimChar"/>
              </w:rPr>
              <w:t xml:space="preserve">| Phase | Late | 152 | 40 | 5.00 | 1.07 | 23.31 | 0.040 | Yes |</w:t>
            </w:r>
            <w:r>
              <w:br/>
            </w:r>
            <w:r>
              <w:rPr>
                <w:rStyle w:val="VerbatimChar"/>
              </w:rPr>
              <w:t xml:space="preserve">| Experience | Novice | 74 | 18 | 4.61 | 1.05 | 20.24 | 0.043 | Yes |</w:t>
            </w:r>
            <w:r>
              <w:br/>
            </w:r>
            <w:r>
              <w:rPr>
                <w:rStyle w:val="VerbatimChar"/>
              </w:rPr>
              <w:t xml:space="preserve">| Experience | Experienced | 78 | 22 | 3.15 | 0.47 | 21.12 | 0.237 | No |</w:t>
            </w:r>
            <w:r>
              <w:br/>
            </w:r>
            <w:r>
              <w:rPr>
                <w:rStyle w:val="VerbatimChar"/>
              </w:rPr>
              <w:t xml:space="preserve">| Era | Pre-2010 | 18 | 8 | 2.89 | 0.31 | 26.94 | 0.352 | No |</w:t>
            </w:r>
            <w:r>
              <w:br/>
            </w:r>
            <w:r>
              <w:rPr>
                <w:rStyle w:val="VerbatimChar"/>
              </w:rPr>
              <w:t xml:space="preserve">| Era | 2010-2020 | 126 | 30 | 5.36 | 1.48 | 19.42 | 0.010 | Yes |</w:t>
            </w:r>
            <w:r>
              <w:br/>
            </w:r>
            <w:r>
              <w:rPr>
                <w:rStyle w:val="VerbatimChar"/>
              </w:rPr>
              <w:t xml:space="preserve">| Era | Post-2020 | 8 | 2 | 8.42 | 0.04 | 1821.34 | 0.428 | No |</w:t>
            </w:r>
          </w:p>
          <w:bookmarkEnd w:id="20"/>
        </w:tc>
      </w:tr>
    </w:tbl>
    <w:bookmarkEnd w:id="21"/>
    <w:bookmarkStart w:id="26" w:name="d.2-comprehensive-forest-plot"/>
    <w:p>
      <w:pPr>
        <w:pStyle w:val="Heading2"/>
      </w:pPr>
      <w:r>
        <w:t xml:space="preserve">D.2 Comprehensive Forest Plot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meta-forest"/>
          <w:p>
            <w:pPr>
              <w:pStyle w:val="Compact"/>
              <w:jc w:val="center"/>
            </w:pPr>
            <w:r>
              <w:drawing>
                <wp:inline>
                  <wp:extent cx="5334000" cy="456542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appendix-d-meta-analysis_files/figure-docx/fig-meta-forest-outpu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5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Forest Plot of All 16 Velocity Effect Estimates</w:t>
            </w:r>
          </w:p>
          <w:bookmarkEnd w:id="25"/>
        </w:tc>
      </w:tr>
    </w:tbl>
    <w:bookmarkEnd w:id="26"/>
    <w:bookmarkStart w:id="30" w:name="d.3-summary-statistics"/>
    <w:p>
      <w:pPr>
        <w:pStyle w:val="Heading2"/>
      </w:pPr>
      <w:r>
        <w:t xml:space="preserve">D.3 Summary Statistics</w:t>
      </w:r>
    </w:p>
    <w:bookmarkStart w:id="27" w:name="central-tendency-and-dispersion"/>
    <w:p>
      <w:pPr>
        <w:pStyle w:val="Heading3"/>
      </w:pPr>
      <w:r>
        <w:t xml:space="preserve">Central Tendency and Dispersion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estimates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Median HR</w:t>
            </w:r>
          </w:p>
        </w:tc>
        <w:tc>
          <w:tcPr/>
          <w:p>
            <w:pPr>
              <w:pStyle w:val="Compact"/>
            </w:pPr>
            <w:r>
              <w:t xml:space="preserve">4.60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HR</w:t>
            </w:r>
          </w:p>
        </w:tc>
        <w:tc>
          <w:tcPr/>
          <w:p>
            <w:pPr>
              <w:pStyle w:val="Compact"/>
            </w:pPr>
            <w:r>
              <w:t xml:space="preserve">8.19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Geometric mean HR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Minimum HR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Maximum HR</w:t>
            </w:r>
          </w:p>
        </w:tc>
        <w:tc>
          <w:tcPr/>
          <w:p>
            <w:pPr>
              <w:pStyle w:val="Compact"/>
            </w:pPr>
            <w:r>
              <w:t xml:space="preserve">51.09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25th percentile</w:t>
            </w:r>
          </w:p>
        </w:tc>
        <w:tc>
          <w:tcPr/>
          <w:p>
            <w:pPr>
              <w:pStyle w:val="Compac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75th percentile</w:t>
            </w:r>
          </w:p>
        </w:tc>
        <w:tc>
          <w:tcPr/>
          <w:p>
            <w:pPr>
              <w:pStyle w:val="Compact"/>
            </w:pPr>
            <w:r>
              <w:t xml:space="preserve">5.33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Interquartile range</w:t>
            </w:r>
          </w:p>
        </w:tc>
        <w:tc>
          <w:tcPr/>
          <w:p>
            <w:pPr>
              <w:pStyle w:val="Compact"/>
            </w:pPr>
            <w:r>
              <w:t xml:space="preserve">2.94</w:t>
            </w:r>
          </w:p>
        </w:tc>
      </w:tr>
    </w:tbl>
    <w:bookmarkEnd w:id="27"/>
    <w:bookmarkStart w:id="28" w:name="significance-summary"/>
    <w:p>
      <w:pPr>
        <w:pStyle w:val="Heading3"/>
      </w:pPr>
      <w:r>
        <w:t xml:space="preserve">Significance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Significant (p &lt; 0.05)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56.2%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significant (p ≥ 0.05)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</w:tr>
    </w:tbl>
    <w:bookmarkEnd w:id="28"/>
    <w:bookmarkStart w:id="29" w:name="direction-summary"/>
    <w:p>
      <w:pPr>
        <w:pStyle w:val="Heading3"/>
      </w:pPr>
      <w:r>
        <w:t xml:space="preserve">Direction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&gt; 1 (acceleration)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81.2%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&lt; 1 (deceleration)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</w:tr>
    </w:tbl>
    <w:bookmarkEnd w:id="29"/>
    <w:bookmarkEnd w:id="30"/>
    <w:bookmarkStart w:id="36" w:name="d.4-estimates-by-analysis-type"/>
    <w:p>
      <w:pPr>
        <w:pStyle w:val="Heading2"/>
      </w:pPr>
      <w:r>
        <w:t xml:space="preserve">D.4 Estimates by Analysis Type</w:t>
      </w:r>
    </w:p>
    <w:bookmarkStart w:id="31" w:name="disaster-context-4-estimates"/>
    <w:p>
      <w:pPr>
        <w:pStyle w:val="Heading3"/>
      </w:pPr>
      <w:r>
        <w:t xml:space="preserve">Disaster Context (4 estimates)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Disaster Type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Wildfire</w:t>
            </w:r>
          </w:p>
        </w:tc>
        <w:tc>
          <w:tcPr/>
          <w:p>
            <w:pPr>
              <w:pStyle w:val="Compact"/>
            </w:pPr>
            <w:r>
              <w:t xml:space="preserve">51.09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Hurricane</w:t>
            </w:r>
          </w:p>
        </w:tc>
        <w:tc>
          <w:tcPr/>
          <w:p>
            <w:pPr>
              <w:pStyle w:val="Compact"/>
            </w:pPr>
            <w:r>
              <w:t xml:space="preserve">4.58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5.32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0.341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</w:t>
      </w:r>
      <w:r>
        <w:t xml:space="preserve">: 3 of 4 (75%) show acceleration; 2 of 4 (50%) significant.</w:t>
      </w:r>
    </w:p>
    <w:bookmarkEnd w:id="31"/>
    <w:bookmarkStart w:id="32" w:name="program-type-3-estimates"/>
    <w:p>
      <w:pPr>
        <w:pStyle w:val="Heading3"/>
      </w:pPr>
      <w:r>
        <w:t xml:space="preserve">Program Type (3 estimates)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 Type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30.74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5.69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</w:t>
      </w:r>
      <w:r>
        <w:t xml:space="preserve">: 2 of 3 (67%) show acceleration; 1 of 3 (33%) significant.</w:t>
      </w:r>
    </w:p>
    <w:bookmarkEnd w:id="32"/>
    <w:bookmarkStart w:id="33" w:name="program-phase-3-estimates"/>
    <w:p>
      <w:pPr>
        <w:pStyle w:val="Heading3"/>
      </w:pPr>
      <w:r>
        <w:t xml:space="preserve">Program Phase (3 estimates)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</w:t>
            </w:r>
          </w:p>
        </w:tc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</w:t>
      </w:r>
      <w:r>
        <w:t xml:space="preserve">: 2 of 3 (67%) show acceleration; 1 of 3 (33%) significant.</w:t>
      </w:r>
    </w:p>
    <w:bookmarkEnd w:id="33"/>
    <w:bookmarkStart w:id="34" w:name="experience-level-2-estimates"/>
    <w:p>
      <w:pPr>
        <w:pStyle w:val="Heading3"/>
      </w:pPr>
      <w:r>
        <w:t xml:space="preserve">Experience Level (2 estimates)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Novice</w:t>
            </w:r>
          </w:p>
        </w:tc>
        <w:tc>
          <w:tcPr/>
          <w:p>
            <w:pPr>
              <w:pStyle w:val="Compact"/>
            </w:pPr>
            <w:r>
              <w:t xml:space="preserve">4.61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Experienced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</w:t>
      </w:r>
      <w:r>
        <w:t xml:space="preserve">: 2 of 2 (100%) show acceleration; 1 of 2 (50%) significant.</w:t>
      </w:r>
    </w:p>
    <w:bookmarkEnd w:id="34"/>
    <w:bookmarkStart w:id="35" w:name="disaster-era-3-estimates"/>
    <w:p>
      <w:pPr>
        <w:pStyle w:val="Heading3"/>
      </w:pPr>
      <w:r>
        <w:t xml:space="preserve">Disaster Era (3 estimates)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Post-2020</w:t>
            </w:r>
          </w:p>
        </w:tc>
        <w:tc>
          <w:tcPr/>
          <w:p>
            <w:pPr>
              <w:pStyle w:val="Compact"/>
            </w:pPr>
            <w:r>
              <w:t xml:space="preserve">8.42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2010-2020</w:t>
            </w:r>
          </w:p>
        </w:tc>
        <w:tc>
          <w:tcPr/>
          <w:p>
            <w:pPr>
              <w:pStyle w:val="Compact"/>
            </w:pPr>
            <w:r>
              <w:t xml:space="preserve">5.36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Pre-2010</w:t>
            </w:r>
          </w:p>
        </w:tc>
        <w:tc>
          <w:tcPr/>
          <w:p>
            <w:pPr>
              <w:pStyle w:val="Compact"/>
            </w:pPr>
            <w:r>
              <w:t xml:space="preserve">2.89</w:t>
            </w:r>
          </w:p>
        </w:tc>
        <w:tc>
          <w:tcPr/>
          <w:p>
            <w:pPr>
              <w:pStyle w:val="Compact"/>
            </w:pPr>
            <w:r>
              <w:t xml:space="preserve">0.352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</w:t>
      </w:r>
      <w:r>
        <w:t xml:space="preserve">: 3 of 3 (100%) show acceleration; 1 of 3 (33%) significant.</w:t>
      </w:r>
    </w:p>
    <w:bookmarkEnd w:id="35"/>
    <w:bookmarkEnd w:id="36"/>
    <w:bookmarkStart w:id="39" w:name="d.5-ranking-by-effect-magnitude"/>
    <w:p>
      <w:pPr>
        <w:pStyle w:val="Heading2"/>
      </w:pPr>
      <w:r>
        <w:t xml:space="preserve">D.5 Ranking by Effect Magnitude</w:t>
      </w:r>
    </w:p>
    <w:bookmarkStart w:id="37" w:name="top-5-strongest-velocity-effects"/>
    <w:p>
      <w:pPr>
        <w:pStyle w:val="Heading3"/>
      </w:pPr>
      <w:r>
        <w:t xml:space="preserve">Top 5 Strongest Velocity Effects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Wildfire disasters</w:t>
            </w:r>
          </w:p>
        </w:tc>
        <w:tc>
          <w:tcPr/>
          <w:p>
            <w:pPr>
              <w:pStyle w:val="Compact"/>
            </w:pPr>
            <w:r>
              <w:t xml:space="preserve">51.09</w:t>
            </w:r>
          </w:p>
        </w:tc>
        <w:tc>
          <w:tcPr/>
          <w:p>
            <w:pPr>
              <w:pStyle w:val="Compact"/>
            </w:pPr>
            <w:r>
              <w:t xml:space="preserve">4.01-650.90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Administration programs</w:t>
            </w:r>
          </w:p>
        </w:tc>
        <w:tc>
          <w:tcPr/>
          <w:p>
            <w:pPr>
              <w:pStyle w:val="Compact"/>
            </w:pPr>
            <w:r>
              <w:t xml:space="preserve">30.74</w:t>
            </w:r>
          </w:p>
        </w:tc>
        <w:tc>
          <w:tcPr/>
          <w:p>
            <w:pPr>
              <w:pStyle w:val="Compact"/>
            </w:pPr>
            <w:r>
              <w:t xml:space="preserve">3.12-302.69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Post-2020 era</w:t>
            </w:r>
          </w:p>
        </w:tc>
        <w:tc>
          <w:tcPr/>
          <w:p>
            <w:pPr>
              <w:pStyle w:val="Compact"/>
            </w:pPr>
            <w:r>
              <w:t xml:space="preserve">8.42</w:t>
            </w:r>
          </w:p>
        </w:tc>
        <w:tc>
          <w:tcPr/>
          <w:p>
            <w:pPr>
              <w:pStyle w:val="Compact"/>
            </w:pPr>
            <w:r>
              <w:t xml:space="preserve">0.04-1821.34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Infrastructure programs</w:t>
            </w:r>
          </w:p>
        </w:tc>
        <w:tc>
          <w:tcPr/>
          <w:p>
            <w:pPr>
              <w:pStyle w:val="Compact"/>
            </w:pPr>
            <w:r>
              <w:t xml:space="preserve">5.69</w:t>
            </w:r>
          </w:p>
        </w:tc>
        <w:tc>
          <w:tcPr/>
          <w:p>
            <w:pPr>
              <w:pStyle w:val="Compact"/>
            </w:pPr>
            <w:r>
              <w:t xml:space="preserve">0.12-264.87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2010-2020 era</w:t>
            </w:r>
          </w:p>
        </w:tc>
        <w:tc>
          <w:tcPr/>
          <w:p>
            <w:pPr>
              <w:pStyle w:val="Compact"/>
            </w:pPr>
            <w:r>
              <w:t xml:space="preserve">5.36</w:t>
            </w:r>
          </w:p>
        </w:tc>
        <w:tc>
          <w:tcPr/>
          <w:p>
            <w:pPr>
              <w:pStyle w:val="Compact"/>
            </w:pPr>
            <w:r>
              <w:t xml:space="preserve">1.48-19.42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</w:tbl>
    <w:bookmarkEnd w:id="37"/>
    <w:bookmarkStart w:id="38" w:name="bottom-3-weakestnull-effects"/>
    <w:p>
      <w:pPr>
        <w:pStyle w:val="Heading3"/>
      </w:pPr>
      <w:r>
        <w:t xml:space="preserve">Bottom 3 (Weakest/Null Effects)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Housing programs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0.05-12.41</w:t>
            </w:r>
          </w:p>
        </w:tc>
        <w:tc>
          <w:tcPr/>
          <w:p>
            <w:pPr>
              <w:pStyle w:val="Compact"/>
            </w:pPr>
            <w:r>
              <w:t xml:space="preserve">0.891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Middle phase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0.09-1.58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38"/>
    <w:bookmarkEnd w:id="39"/>
    <w:bookmarkStart w:id="42" w:name="d.6-heterogeneity-assessment"/>
    <w:p>
      <w:pPr>
        <w:pStyle w:val="Heading2"/>
      </w:pPr>
      <w:r>
        <w:t xml:space="preserve">D.6 Heterogeneity Assessment</w:t>
      </w:r>
    </w:p>
    <w:bookmarkStart w:id="40" w:name="cochrans-q-test"/>
    <w:p>
      <w:pPr>
        <w:pStyle w:val="Heading3"/>
      </w:pPr>
      <w:r>
        <w:t xml:space="preserve">Cochran’s Q Test</w:t>
      </w:r>
    </w:p>
    <w:p>
      <w:pPr>
        <w:pStyle w:val="FirstParagraph"/>
      </w:pPr>
      <w:r>
        <w:t xml:space="preserve">While formal pooling is not performed (estimates are not independent), we can assess heterogeneity descriptively: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of log(HR)</w:t>
            </w:r>
          </w:p>
        </w:tc>
        <w:tc>
          <w:tcPr/>
          <w:p>
            <w:pPr>
              <w:pStyle w:val="Compact"/>
            </w:pPr>
            <w:r>
              <w:t xml:space="preserve">-0.99 to 3.93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of log(HR)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Coefficient of variation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</w:tbl>
    <w:p>
      <w:pPr>
        <w:pStyle w:val="BodyText"/>
      </w:pPr>
      <w:r>
        <w:t xml:space="preserve">The substantial variation in effect magnitudes (HR ranging from 0.37 to 51.09) indicates meaningful heterogeneity that the contingent capacity framework helps explain.</w:t>
      </w:r>
    </w:p>
    <w:bookmarkEnd w:id="40"/>
    <w:bookmarkStart w:id="41" w:name="pattern-recognition"/>
    <w:p>
      <w:pPr>
        <w:pStyle w:val="Heading3"/>
      </w:pPr>
      <w:r>
        <w:t xml:space="preserve">Pattern Recognition</w:t>
      </w:r>
    </w:p>
    <w:p>
      <w:pPr>
        <w:pStyle w:val="FirstParagraph"/>
      </w:pPr>
      <w:r>
        <w:t xml:space="preserve">Velocity effects cluster into interpretable patterns:</w:t>
      </w:r>
    </w:p>
    <w:p>
      <w:pPr>
        <w:pStyle w:val="BodyText"/>
      </w:pPr>
      <w:r>
        <w:rPr>
          <w:b/>
          <w:bCs/>
        </w:rPr>
        <w:t xml:space="preserve">High-leverage contexts</w:t>
      </w:r>
      <w:r>
        <w:t xml:space="preserve"> </w:t>
      </w:r>
      <w:r>
        <w:t xml:space="preserve">(HR &gt; 5, significant):</w:t>
      </w:r>
      <w:r>
        <w:t xml:space="preserve"> </w:t>
      </w:r>
      <w:r>
        <w:t xml:space="preserve">- Wildfire disasters: Time-constrained recovery</w:t>
      </w:r>
      <w:r>
        <w:t xml:space="preserve"> </w:t>
      </w:r>
      <w:r>
        <w:t xml:space="preserve">- Administration programs: Organizational-paced activities</w:t>
      </w:r>
      <w:r>
        <w:t xml:space="preserve"> </w:t>
      </w:r>
      <w:r>
        <w:t xml:space="preserve">- Late program phase: Closeout bottlenecks</w:t>
      </w:r>
    </w:p>
    <w:p>
      <w:pPr>
        <w:pStyle w:val="BodyText"/>
      </w:pPr>
      <w:r>
        <w:rPr>
          <w:b/>
          <w:bCs/>
        </w:rPr>
        <w:t xml:space="preserve">Moderate effects</w:t>
      </w:r>
      <w:r>
        <w:t xml:space="preserve"> </w:t>
      </w:r>
      <w:r>
        <w:t xml:space="preserve">(HR 2-5, mixed significance):</w:t>
      </w:r>
      <w:r>
        <w:t xml:space="preserve"> </w:t>
      </w:r>
      <w:r>
        <w:t xml:space="preserve">- Hurricane disasters: Standard recovery dynamics</w:t>
      </w:r>
      <w:r>
        <w:t xml:space="preserve"> </w:t>
      </w:r>
      <w:r>
        <w:t xml:space="preserve">- Novice grantees: Capacity-dependent organizations</w:t>
      </w:r>
      <w:r>
        <w:t xml:space="preserve"> </w:t>
      </w:r>
      <w:r>
        <w:t xml:space="preserve">- 2010-2020 era: Enhanced monitoring period</w:t>
      </w:r>
    </w:p>
    <w:p>
      <w:pPr>
        <w:pStyle w:val="BodyText"/>
      </w:pPr>
      <w:r>
        <w:rPr>
          <w:b/>
          <w:bCs/>
        </w:rPr>
        <w:t xml:space="preserve">Null effects</w:t>
      </w:r>
      <w:r>
        <w:t xml:space="preserve"> </w:t>
      </w:r>
      <w:r>
        <w:t xml:space="preserve">(HR &lt; 2 or not significant):</w:t>
      </w:r>
      <w:r>
        <w:t xml:space="preserve"> </w:t>
      </w:r>
      <w:r>
        <w:t xml:space="preserve">- Housing programs: Construction-constrained</w:t>
      </w:r>
      <w:r>
        <w:t xml:space="preserve"> </w:t>
      </w:r>
      <w:r>
        <w:t xml:space="preserve">- Experienced grantees: Multiple capacity pathways</w:t>
      </w:r>
      <w:r>
        <w:t xml:space="preserve"> </w:t>
      </w:r>
      <w:r>
        <w:t xml:space="preserve">- Early/middle phases: Non-critical periods</w:t>
      </w:r>
    </w:p>
    <w:bookmarkEnd w:id="41"/>
    <w:bookmarkEnd w:id="42"/>
    <w:bookmarkStart w:id="45" w:name="d.7-interpretation-guidelines"/>
    <w:p>
      <w:pPr>
        <w:pStyle w:val="Heading2"/>
      </w:pPr>
      <w:r>
        <w:t xml:space="preserve">D.7 Interpretation Guidelines</w:t>
      </w:r>
    </w:p>
    <w:bookmarkStart w:id="43" w:name="when-to-apply-velocity-interventions"/>
    <w:p>
      <w:pPr>
        <w:pStyle w:val="Heading3"/>
      </w:pPr>
      <w:r>
        <w:t xml:space="preserve">When to Apply Velocity Interventions</w:t>
      </w:r>
    </w:p>
    <w:p>
      <w:pPr>
        <w:pStyle w:val="FirstParagraph"/>
      </w:pPr>
      <w:r>
        <w:t xml:space="preserve">Based on meta-analytic patterns, velocity-enhancing interventions are most likely to yield returns 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Wildfire disaster recovery</w:t>
      </w:r>
      <w:r>
        <w:t xml:space="preserve"> </w:t>
      </w:r>
      <w:r>
        <w:t xml:space="preserve">(HR=51.09)</w:t>
      </w:r>
    </w:p>
    <w:p>
      <w:pPr>
        <w:pStyle w:val="Compact"/>
        <w:numPr>
          <w:ilvl w:val="1"/>
          <w:numId w:val="1002"/>
        </w:numPr>
      </w:pPr>
      <w:r>
        <w:t xml:space="preserve">Seasonal time pressure creates genuine urgency</w:t>
      </w:r>
    </w:p>
    <w:p>
      <w:pPr>
        <w:pStyle w:val="Compact"/>
        <w:numPr>
          <w:ilvl w:val="1"/>
          <w:numId w:val="1002"/>
        </w:numPr>
      </w:pPr>
      <w:r>
        <w:t xml:space="preserve">Recommend: Fast-track procurement, pre-positioned contracts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Administration/planning programs</w:t>
      </w:r>
      <w:r>
        <w:t xml:space="preserve"> </w:t>
      </w:r>
      <w:r>
        <w:t xml:space="preserve">(HR=30.74)</w:t>
      </w:r>
    </w:p>
    <w:p>
      <w:pPr>
        <w:pStyle w:val="Compact"/>
        <w:numPr>
          <w:ilvl w:val="1"/>
          <w:numId w:val="1003"/>
        </w:numPr>
      </w:pPr>
      <w:r>
        <w:t xml:space="preserve">Pace depends on organizational choices, not external constraints</w:t>
      </w:r>
    </w:p>
    <w:p>
      <w:pPr>
        <w:pStyle w:val="Compact"/>
        <w:numPr>
          <w:ilvl w:val="1"/>
          <w:numId w:val="1003"/>
        </w:numPr>
      </w:pPr>
      <w:r>
        <w:t xml:space="preserve">Recommend: Intensive technical assistance, capacity grants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 program phases</w:t>
      </w:r>
      <w:r>
        <w:t xml:space="preserve"> </w:t>
      </w:r>
      <w:r>
        <w:t xml:space="preserve">(HR=5.00)</w:t>
      </w:r>
    </w:p>
    <w:p>
      <w:pPr>
        <w:pStyle w:val="Compact"/>
        <w:numPr>
          <w:ilvl w:val="1"/>
          <w:numId w:val="1004"/>
        </w:numPr>
      </w:pPr>
      <w:r>
        <w:t xml:space="preserve">Closeout bottlenecks represent final barriers</w:t>
      </w:r>
    </w:p>
    <w:p>
      <w:pPr>
        <w:pStyle w:val="Compact"/>
        <w:numPr>
          <w:ilvl w:val="1"/>
          <w:numId w:val="1004"/>
        </w:numPr>
      </w:pPr>
      <w:r>
        <w:t xml:space="preserve">Recommend: Closeout support, compliance streamlining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Novice grantees</w:t>
      </w:r>
      <w:r>
        <w:t xml:space="preserve"> </w:t>
      </w:r>
      <w:r>
        <w:t xml:space="preserve">(HR=4.61)</w:t>
      </w:r>
    </w:p>
    <w:p>
      <w:pPr>
        <w:pStyle w:val="Compact"/>
        <w:numPr>
          <w:ilvl w:val="1"/>
          <w:numId w:val="1005"/>
        </w:numPr>
      </w:pPr>
      <w:r>
        <w:t xml:space="preserve">Lack of institutional alternatives increases velocity dependence</w:t>
      </w:r>
    </w:p>
    <w:p>
      <w:pPr>
        <w:pStyle w:val="Compact"/>
        <w:numPr>
          <w:ilvl w:val="1"/>
          <w:numId w:val="1005"/>
        </w:numPr>
      </w:pPr>
      <w:r>
        <w:t xml:space="preserve">Recommend: Peer mentoring, embedded consultants</w:t>
      </w:r>
    </w:p>
    <w:bookmarkEnd w:id="43"/>
    <w:bookmarkStart w:id="44" w:name="when-velocity-interventions-may-not-help"/>
    <w:p>
      <w:pPr>
        <w:pStyle w:val="Heading3"/>
      </w:pPr>
      <w:r>
        <w:t xml:space="preserve">When Velocity Interventions May Not Help</w:t>
      </w:r>
    </w:p>
    <w:p>
      <w:pPr>
        <w:pStyle w:val="FirstParagraph"/>
      </w:pPr>
      <w:r>
        <w:t xml:space="preserve">Velocity interventions are unlikely to accelerate: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Housing reconstruction</w:t>
      </w:r>
      <w:r>
        <w:t xml:space="preserve"> </w:t>
      </w:r>
      <w:r>
        <w:t xml:space="preserve">(HR=0.82)</w:t>
      </w:r>
    </w:p>
    <w:p>
      <w:pPr>
        <w:pStyle w:val="Compact"/>
        <w:numPr>
          <w:ilvl w:val="1"/>
          <w:numId w:val="1007"/>
        </w:numPr>
      </w:pPr>
      <w:r>
        <w:t xml:space="preserve">Beneficiary coordination, permitting, and construction timelines dominate</w:t>
      </w:r>
    </w:p>
    <w:p>
      <w:pPr>
        <w:pStyle w:val="Compact"/>
        <w:numPr>
          <w:ilvl w:val="1"/>
          <w:numId w:val="1007"/>
        </w:numPr>
      </w:pPr>
      <w:r>
        <w:t xml:space="preserve">Alternative: Address structural barriers instead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Experienced grantees</w:t>
      </w:r>
      <w:r>
        <w:t xml:space="preserve"> </w:t>
      </w:r>
      <w:r>
        <w:t xml:space="preserve">(HR=3.15, ns)</w:t>
      </w:r>
    </w:p>
    <w:p>
      <w:pPr>
        <w:pStyle w:val="Compact"/>
        <w:numPr>
          <w:ilvl w:val="1"/>
          <w:numId w:val="1008"/>
        </w:numPr>
      </w:pPr>
      <w:r>
        <w:t xml:space="preserve">Institutional knowledge provides alternative pathways</w:t>
      </w:r>
    </w:p>
    <w:p>
      <w:pPr>
        <w:pStyle w:val="Compact"/>
        <w:numPr>
          <w:ilvl w:val="1"/>
          <w:numId w:val="1008"/>
        </w:numPr>
      </w:pPr>
      <w:r>
        <w:t xml:space="preserve">Alternative: Focus resources on novice organizations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Early program phases</w:t>
      </w:r>
      <w:r>
        <w:t xml:space="preserve"> </w:t>
      </w:r>
      <w:r>
        <w:t xml:space="preserve">(HR=2.04, ns)</w:t>
      </w:r>
    </w:p>
    <w:p>
      <w:pPr>
        <w:pStyle w:val="Compact"/>
        <w:numPr>
          <w:ilvl w:val="1"/>
          <w:numId w:val="1009"/>
        </w:numPr>
      </w:pPr>
      <w:r>
        <w:t xml:space="preserve">Planning and ramp-up take necessary time</w:t>
      </w:r>
    </w:p>
    <w:p>
      <w:pPr>
        <w:pStyle w:val="Compact"/>
        <w:numPr>
          <w:ilvl w:val="1"/>
          <w:numId w:val="1009"/>
        </w:numPr>
      </w:pPr>
      <w:r>
        <w:t xml:space="preserve">Alternative: Invest in late-stage support instead</w:t>
      </w:r>
    </w:p>
    <w:bookmarkEnd w:id="44"/>
    <w:bookmarkEnd w:id="45"/>
    <w:bookmarkStart w:id="50" w:name="X593e115728f03c3e8fb6d82ebd0f6edb78049f6"/>
    <w:p>
      <w:pPr>
        <w:pStyle w:val="Heading2"/>
      </w:pPr>
      <w:r>
        <w:t xml:space="preserve">D.8 Limitations of Meta-Analytic Synthesis</w:t>
      </w:r>
    </w:p>
    <w:bookmarkStart w:id="46" w:name="non-independence"/>
    <w:p>
      <w:pPr>
        <w:pStyle w:val="Heading3"/>
      </w:pPr>
      <w:r>
        <w:t xml:space="preserve">Non-Independence</w:t>
      </w:r>
    </w:p>
    <w:p>
      <w:pPr>
        <w:pStyle w:val="FirstParagraph"/>
      </w:pPr>
      <w:r>
        <w:t xml:space="preserve">Estimates derive from overlapping samples (the same 152 observations analyzed differently). Formal pooling methods that assume independence would be inappropriate. Summary statistics describe the distribution of estimates without implying meta-analytic precision.</w:t>
      </w:r>
    </w:p>
    <w:bookmarkEnd w:id="46"/>
    <w:bookmarkStart w:id="47" w:name="small-sample-sizes"/>
    <w:p>
      <w:pPr>
        <w:pStyle w:val="Heading3"/>
      </w:pPr>
      <w:r>
        <w:t xml:space="preserve">Small Sample Sizes</w:t>
      </w:r>
    </w:p>
    <w:p>
      <w:pPr>
        <w:pStyle w:val="FirstParagraph"/>
      </w:pPr>
      <w:r>
        <w:t xml:space="preserve">Several stratified estimates have wide confidence intervals reflecting small samples. The wildfire estimate (HR=51.09, 95% CI: 4.01-650.90) indicates effect direction is robust but magnitude is imprecise.</w:t>
      </w:r>
    </w:p>
    <w:bookmarkEnd w:id="47"/>
    <w:bookmarkStart w:id="48" w:name="selection-of-analyses"/>
    <w:p>
      <w:pPr>
        <w:pStyle w:val="Heading3"/>
      </w:pPr>
      <w:r>
        <w:t xml:space="preserve">Selection of Analyses</w:t>
      </w:r>
    </w:p>
    <w:p>
      <w:pPr>
        <w:pStyle w:val="FirstParagraph"/>
      </w:pPr>
      <w:r>
        <w:t xml:space="preserve">The 16 estimates represent pre-planned analyses, not exhaustive specification search. Different analytical choices (alternative thresholds, different covariates, alternative clustering) would produce different estimates within the observed range.</w:t>
      </w:r>
    </w:p>
    <w:bookmarkEnd w:id="48"/>
    <w:bookmarkStart w:id="49" w:name="publication-bias"/>
    <w:p>
      <w:pPr>
        <w:pStyle w:val="Heading3"/>
      </w:pPr>
      <w:r>
        <w:t xml:space="preserve">Publication Bias</w:t>
      </w:r>
    </w:p>
    <w:p>
      <w:pPr>
        <w:pStyle w:val="FirstParagraph"/>
      </w:pPr>
      <w:r>
        <w:t xml:space="preserve">As an internal meta-analysis of a single study, publication bias is not a concern. All planned analyses are reported regardless of significance.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D: Meta-Analysis of Velocity Estimates</dc:title>
  <dc:creator/>
  <cp:keywords/>
  <dcterms:created xsi:type="dcterms:W3CDTF">2025-12-27T15:23:17Z</dcterms:created>
  <dcterms:modified xsi:type="dcterms:W3CDTF">2025-12-27T15:23:17Z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csl/chicago-author-date.csl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