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esponse-to-reviewer-synthetic-review-3"/>
    <w:p>
      <w:pPr>
        <w:pStyle w:val="Heading1"/>
      </w:pPr>
      <w:r>
        <w:t xml:space="preserve">Response to Reviewer: Synthetic Review #3</w:t>
      </w:r>
    </w:p>
    <w:p>
      <w:pPr>
        <w:pStyle w:val="FirstParagraph"/>
      </w:pPr>
      <w:r>
        <w:rPr>
          <w:b/>
          <w:bCs/>
        </w:rPr>
        <w:t xml:space="preserve">Manuscript</w:t>
      </w:r>
      <w:r>
        <w:t xml:space="preserve">: Measurement Sensitivity in Administrative-Throughput Analysis of CDBG-DR Disaster Recovery: Evidence from a Cross-Sectional SEM and Complementary Survival Model</w:t>
      </w:r>
      <w:r>
        <w:t xml:space="preserve"> </w:t>
      </w:r>
      <w:r>
        <w:rPr>
          <w:b/>
          <w:bCs/>
        </w:rPr>
        <w:t xml:space="preserve">Review type</w:t>
      </w:r>
      <w:r>
        <w:t xml:space="preserve">: Synthetic (pre-submission stress test)</w:t>
      </w:r>
      <w:r>
        <w:t xml:space="preserve"> </w:t>
      </w:r>
      <w:r>
        <w:rPr>
          <w:b/>
          <w:bCs/>
        </w:rPr>
        <w:t xml:space="preserve">Review focus</w:t>
      </w:r>
      <w:r>
        <w:t xml:space="preserve">: par_general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2026-04-14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thank the reviewer for a careful evaluation that substantially overlaps with R2’s recommendations. The central recommendation — that the paper’s contribution is the instability of capacity-outcome associations rather than the primary SEM coefficient — has now been adopted as the organizing principle of the revision, including the title, abstract, Evidence for Practice, Discussion, and Results ordering. Two re-analyses that R2 deferred have been executed, and three document-audit bugs R3 identified have been fixed.</w:t>
      </w:r>
    </w:p>
    <w:p>
      <w:r>
        <w:pict>
          <v:rect style="width:0;height:1.5pt" o:hralign="center" o:hrstd="t" o:hr="t"/>
        </w:pict>
      </w:r>
    </w:p>
    <w:bookmarkStart w:id="29" w:name="major-comments"/>
    <w:p>
      <w:pPr>
        <w:pStyle w:val="Heading2"/>
      </w:pPr>
      <w:r>
        <w:t xml:space="preserve">Major Comments</w:t>
      </w:r>
    </w:p>
    <w:bookmarkStart w:id="20" w:name="Xb150363e655429dcde9e25e133e4fe11824f1d5"/>
    <w:p>
      <w:pPr>
        <w:pStyle w:val="Heading3"/>
      </w:pPr>
      <w:r>
        <w:t xml:space="preserve">Comment 1: Conceptual framing drifts; throughput can’t be both predictor and outcome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: VALID — ACTION TAKEN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 The Conceptualization section has been rewritten (index.qmd §3.1) to frame</w:t>
      </w:r>
      <w:r>
        <w:t xml:space="preserve"> </w:t>
      </w:r>
      <w:r>
        <w:t xml:space="preserve">“administrative throughput”</w:t>
      </w:r>
      <w:r>
        <w:t xml:space="preserve"> </w:t>
      </w:r>
      <w:r>
        <w:t xml:space="preserve">as a working label for a set of administratively recorded indicators, not a claim about a latent trait. Recovery Performance and Recovery Timeliness are treated strictly as outcomes; they are no longer described as partly constituting throughput. The SEM is now explicitly introduced as an exploratory decomposition, not a latent-variable validation.</w:t>
      </w:r>
    </w:p>
    <w:p>
      <w:pPr>
        <w:pStyle w:val="BodyText"/>
      </w:pPr>
      <w:r>
        <w:t xml:space="preserve">The reviewer’s claim that Figure 5.1</w:t>
      </w:r>
      <w:r>
        <w:t xml:space="preserve"> </w:t>
      </w:r>
      <w:r>
        <w:t xml:space="preserve">“depicts something closer to a one-factor governmental capacity model”</w:t>
      </w:r>
      <w:r>
        <w:t xml:space="preserve"> </w:t>
      </w:r>
      <w:r>
        <w:t xml:space="preserve">was investigated and is incorrect: the figure and surrounding text both describe the two-factor specification with Administrative Resources and Administrative Burden Capacity as distinct latent throughput dimensions predicting Recovery Performance and Recovery Timeliness as distinct outcome latent constructs. No figure change was needed.</w:t>
      </w:r>
    </w:p>
    <w:bookmarkEnd w:id="20"/>
    <w:bookmarkStart w:id="21" w:name="X68a7cf95b58b9e7410a4348a35bfc551a5fe97e"/>
    <w:p>
      <w:pPr>
        <w:pStyle w:val="Heading3"/>
      </w:pPr>
      <w:r>
        <w:t xml:space="preserve">Comment 2: Reframe contribution around instability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: VALID — ACTION TAKEN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 This is now the organizing revision principle.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</w:t>
      </w:r>
      <w:r>
        <w:t xml:space="preserve">: Changed to</w:t>
      </w:r>
      <w:r>
        <w:t xml:space="preserve"> </w:t>
      </w:r>
      <w:r>
        <w:rPr>
          <w:i/>
          <w:iCs/>
        </w:rPr>
        <w:t xml:space="preserve">“Measurement Sensitivity in Administrative-Throughput Analysis of CDBG-DR Disaster Recovery: Evidence from a Cross-Sectional SEM and Complementary Survival Model”</w:t>
      </w:r>
      <w:r>
        <w:t xml:space="preserve">. Leads with sensitivity rather than</w:t>
      </w:r>
      <w:r>
        <w:t xml:space="preserve"> </w:t>
      </w:r>
      <w:r>
        <w:t xml:space="preserve">“Evidence from Cross-Sectional SEM”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Abstract</w:t>
      </w:r>
      <w:r>
        <w:t xml:space="preserve"> </w:t>
      </w:r>
      <w:r>
        <w:t xml:space="preserve">(144 words, under PAR 150-word limit): Opens with</w:t>
      </w:r>
      <w:r>
        <w:t xml:space="preserve"> </w:t>
      </w:r>
      <w:r>
        <w:t xml:space="preserve">“Capacity-outcome associations in CDBG-DR disaster recovery administration are highly sensitive to how capacity is operationalized…”</w:t>
      </w:r>
      <w:r>
        <w:t xml:space="preserve"> </w:t>
      </w:r>
      <w:r>
        <w:t xml:space="preserve">and lists the full β ladder (0.266 → 0.105 → 0.132 n.s. → -0.244 → -0.443 → -0.600) before any interpretive framing.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for Practice</w:t>
      </w:r>
      <w:r>
        <w:t xml:space="preserve">: Lead bullet reframed to</w:t>
      </w:r>
      <w:r>
        <w:t xml:space="preserve"> </w:t>
      </w:r>
      <w:r>
        <w:t xml:space="preserve">“Administrative-capacity metrics in CDBG-DR should not be used as benchmarks without sensitivity analysis.”</w:t>
      </w:r>
      <w:r>
        <w:t xml:space="preserve"> </w:t>
      </w:r>
      <w:r>
        <w:t xml:space="preserve">Over-strong practice recommendations (surge-capacity teams, intergovernmental coordination) have been dropped per R2 M7.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Opening section renamed</w:t>
      </w:r>
      <w:r>
        <w:t xml:space="preserve"> </w:t>
      </w:r>
      <w:r>
        <w:t xml:space="preserve">“Measurement Sensitivity as the Central Finding”</w:t>
      </w:r>
      <w:r>
        <w:t xml:space="preserve"> </w:t>
      </w:r>
      <w:r>
        <w:t xml:space="preserve">and rewritten to lead with the β ladder, QCEW proxy instability, and the financial-ratio bridge sign reversal.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Conclusion</w:t>
      </w:r>
      <w:r>
        <w:t xml:space="preserve">: Rewritten to state</w:t>
      </w:r>
      <w:r>
        <w:t xml:space="preserve"> </w:t>
      </w:r>
      <w:r>
        <w:t xml:space="preserve">“The central empirical finding is not a stable capacity-timeliness coefficient but the instability of that coefficient under principled perturbations of measurement and design.”</w:t>
      </w:r>
    </w:p>
    <w:bookmarkEnd w:id="21"/>
    <w:bookmarkStart w:id="22" w:name="X27e25783f72a5c2b00f6d9ed41b0d63397dadd5"/>
    <w:p>
      <w:pPr>
        <w:pStyle w:val="Heading3"/>
      </w:pPr>
      <w:r>
        <w:t xml:space="preserve">Comment 3: Operationalization of workload indicators inconsistent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: VALID — BUG FIX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 Verified by inspection of the estimation code (</w:t>
      </w:r>
      <w:r>
        <w:rPr>
          <w:rStyle w:val="VerbatimChar"/>
        </w:rPr>
        <w:t xml:space="preserve">src/capacity_sem/models/kaifa_recovered_analysis.py:244</w:t>
      </w:r>
      <w:r>
        <w:t xml:space="preserve">). The main-text equations (formerly</w:t>
      </w:r>
      <w:r>
        <w:t xml:space="preserve"> </w:t>
      </w:r>
      <w:r>
        <w:rPr>
          <w:rStyle w:val="VerbatimChar"/>
        </w:rPr>
        <w:t xml:space="preserve">Num_Program / total_employments</w:t>
      </w:r>
      <w:r>
        <w:t xml:space="preserve">) did not match the code, which computes</w:t>
      </w:r>
      <w:r>
        <w:t xml:space="preserve"> </w:t>
      </w:r>
      <w:r>
        <w:rPr>
          <w:rStyle w:val="VerbatimChar"/>
        </w:rPr>
        <w:t xml:space="preserve">Num_Program / (avg_employment × E_TOTPOP + ε)</w:t>
      </w:r>
      <w:r>
        <w:t xml:space="preserve"> </w:t>
      </w:r>
      <w:r>
        <w:t xml:space="preserve">under the default</w:t>
      </w:r>
      <w:r>
        <w:t xml:space="preserve"> </w:t>
      </w:r>
      <w:r>
        <w:rPr>
          <w:rStyle w:val="VerbatimChar"/>
        </w:rPr>
        <w:t xml:space="preserve">workload_mode="employment_x_population"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(index.qmd §3.1)</w:t>
      </w:r>
      <w:r>
        <w:t xml:space="preserve">: Main-text equations now explicitly write out the two-factor denominator with the epsilon offset, and add one sentence of rationale:</w:t>
      </w:r>
      <w:r>
        <w:t xml:space="preserve"> </w:t>
      </w:r>
      <w:r>
        <w:t xml:space="preserve">“The population-interaction denominator rescales the per-capita employment rate back to jurisdiction-level staffing equivalents, so that workload-per-staff values are comparable across jurisdictions of widely different sizes.”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Appendix A.3 data dictionary</w:t>
      </w:r>
      <w:r>
        <w:t xml:space="preserve">: Updated to clarify that</w:t>
      </w:r>
      <w:r>
        <w:t xml:space="preserve"> </w:t>
      </w:r>
      <w:r>
        <w:rPr>
          <w:rStyle w:val="VerbatimChar"/>
        </w:rPr>
        <w:t xml:space="preserve">avg_employment</w:t>
      </w:r>
      <w:r>
        <w:t xml:space="preserve"> </w:t>
      </w:r>
      <w:r>
        <w:t xml:space="preserve">is a rate per thousand population, that the denominator is</w:t>
      </w:r>
      <w:r>
        <w:t xml:space="preserve"> </w:t>
      </w:r>
      <w:r>
        <w:rPr>
          <w:rStyle w:val="VerbatimChar"/>
        </w:rPr>
        <w:t xml:space="preserve">(avg_employment × E_TOTPOP + ε)</w:t>
      </w:r>
      <w:r>
        <w:t xml:space="preserve">, and that the rescaling translates per-capita employment back to jurisdiction-level staffing equivalents.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Appendix C.1 sensitivity table</w:t>
      </w:r>
      <w:r>
        <w:t xml:space="preserve">: The</w:t>
      </w:r>
      <w:r>
        <w:t xml:space="preserve"> </w:t>
      </w:r>
      <w:r>
        <w:t xml:space="preserve">“Employment-only denominator”</w:t>
      </w:r>
      <w:r>
        <w:t xml:space="preserve"> </w:t>
      </w:r>
      <w:r>
        <w:t xml:space="preserve">row is now unambiguously labeled as a</w:t>
      </w:r>
      <w:r>
        <w:t xml:space="preserve"> </w:t>
      </w:r>
      <w:r>
        <w:rPr>
          <w:i/>
          <w:iCs/>
        </w:rPr>
        <w:t xml:space="preserve">sensitivity test alternative</w:t>
      </w:r>
      <w:r>
        <w:t xml:space="preserve">, not the primary.</w:t>
      </w:r>
    </w:p>
    <w:bookmarkEnd w:id="22"/>
    <w:bookmarkStart w:id="23" w:name="X12684614905ff0e489ad8910a0a216a80a1544d"/>
    <w:p>
      <w:pPr>
        <w:pStyle w:val="Heading3"/>
      </w:pPr>
      <w:r>
        <w:t xml:space="preserve">Comment 4: QCEW proxy problem may invalidate main SEM result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: VALID — RE-ANALYSIS EXECUTED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 R2 deferred the nonzero-QCEW subsample sensitivity; R3 re-raised it. It has now been run.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</w:t>
      </w:r>
      <w:r>
        <w:t xml:space="preserve">: On the 573-row reference SEM sample restricted to the 111 jurisdictions with</w:t>
      </w:r>
      <w:r>
        <w:t xml:space="preserve"> </w:t>
      </w:r>
      <w:r>
        <w:rPr>
          <w:rStyle w:val="VerbatimChar"/>
        </w:rPr>
        <w:t xml:space="preserve">avg_employment &gt; 0</w:t>
      </w:r>
      <w:r>
        <w:t xml:space="preserve"> </w:t>
      </w:r>
      <w:r>
        <w:t xml:space="preserve">(30 state + 81 local), the two-factor SEM converges (CFI = 0.918, RMSEA = 0.079) with β(BurdenCapacity → Timeliness) = 0.132, p = 0.16 (non-significant).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Interpretation</w:t>
      </w:r>
      <w:r>
        <w:t xml:space="preserve">: The primary β = 0.266 attenuates by roughly half and loses statistical significance when the proxy denominator has genuine variation. This is consistent with the reviewer’s interpretation that the full-sample result is driven by the 80.6% zero-QCEW majority, for which the burden indicators reduce to an epsilon-offset raw program/disaster count rather than a staffing-scaled ratio.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Manuscript updates</w:t>
      </w:r>
      <w:r>
        <w:t xml:space="preserve">: New row in</w:t>
      </w:r>
      <w:r>
        <w:t xml:space="preserve"> </w:t>
      </w:r>
      <w:r>
        <w:rPr>
          <w:b/>
          <w:bCs/>
        </w:rPr>
        <w:t xml:space="preserve">?@tbl-robustness-summary</w:t>
      </w:r>
      <w:r>
        <w:t xml:space="preserve"> </w:t>
      </w:r>
      <w:r>
        <w:t xml:space="preserve">(main text §5.4) and</w:t>
      </w:r>
      <w:r>
        <w:t xml:space="preserve"> </w:t>
      </w:r>
      <w:r>
        <w:rPr>
          <w:b/>
          <w:bCs/>
        </w:rPr>
        <w:t xml:space="preserve">?@tbl-sensitivity</w:t>
      </w:r>
      <w:r>
        <w:t xml:space="preserve"> </w:t>
      </w:r>
      <w:r>
        <w:t xml:space="preserve">(Appendix C.1); new interpretive paragraph in both locations; explicit foregrounding in the Discussion opening (§6.1).</w:t>
      </w:r>
    </w:p>
    <w:bookmarkEnd w:id="23"/>
    <w:bookmarkStart w:id="24" w:name="X9c99780a8efe2fa50cf244a7cc0afbe203e6ae1"/>
    <w:p>
      <w:pPr>
        <w:pStyle w:val="Heading3"/>
      </w:pPr>
      <w:r>
        <w:t xml:space="preserve">Comment 5: Not convinced SEM is the right primary tool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: VALID — ACTION TAKEN (reframed rather than demoted)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 The SEM has not been demoted but its framing has been substantially softened throughout:</w:t>
      </w:r>
    </w:p>
    <w:p>
      <w:pPr>
        <w:pStyle w:val="Compact"/>
        <w:numPr>
          <w:ilvl w:val="0"/>
          <w:numId w:val="1004"/>
        </w:numPr>
      </w:pPr>
      <w:r>
        <w:t xml:space="preserve">Conceptualization (§3.1) now states explicitly that the SEM is an</w:t>
      </w:r>
      <w:r>
        <w:t xml:space="preserve"> </w:t>
      </w:r>
      <w:r>
        <w:t xml:space="preserve">“exploratory decomposition of administratively recorded indicators, not the validation of a coherent latent trait.”</w:t>
      </w:r>
    </w:p>
    <w:p>
      <w:pPr>
        <w:pStyle w:val="Compact"/>
        <w:numPr>
          <w:ilvl w:val="0"/>
          <w:numId w:val="1004"/>
        </w:numPr>
      </w:pPr>
      <w:r>
        <w:t xml:space="preserve">Measurement-parameters paragraph (§5.2) acknowledges that boundary estimates (loadings fixed at 1.000, zero residual variances) are</w:t>
      </w:r>
      <w:r>
        <w:t xml:space="preserve"> </w:t>
      </w:r>
      <w:r>
        <w:t xml:space="preserve">“consistent with the exploratory rather than confirmatory reading.”</w:t>
      </w:r>
    </w:p>
    <w:p>
      <w:pPr>
        <w:pStyle w:val="Compact"/>
        <w:numPr>
          <w:ilvl w:val="0"/>
          <w:numId w:val="1004"/>
        </w:numPr>
      </w:pPr>
      <w:r>
        <w:t xml:space="preserve">Model-comparison paragraph (§5.1) adds</w:t>
      </w:r>
      <w:r>
        <w:t xml:space="preserve"> </w:t>
      </w:r>
      <w:r>
        <w:t xml:space="preserve">“the AIC/BIC preference for the one-factor model indicates that the two-factor choice is theoretically motivated rather than statistically compelled”</w:t>
      </w:r>
      <w:r>
        <w:t xml:space="preserve"> </w:t>
      </w:r>
      <w:r>
        <w:t xml:space="preserve">and retains the two-factor as</w:t>
      </w:r>
      <w:r>
        <w:t xml:space="preserve"> </w:t>
      </w:r>
      <w:r>
        <w:t xml:space="preserve">“primary”</w:t>
      </w:r>
      <w:r>
        <w:t xml:space="preserve"> </w:t>
      </w:r>
      <w:r>
        <w:t xml:space="preserve">but</w:t>
      </w:r>
      <w:r>
        <w:t xml:space="preserve"> </w:t>
      </w:r>
      <w:r>
        <w:t xml:space="preserve">“not as a validated latent structure.”</w:t>
      </w:r>
    </w:p>
    <w:p>
      <w:pPr>
        <w:pStyle w:val="Compact"/>
        <w:numPr>
          <w:ilvl w:val="0"/>
          <w:numId w:val="1004"/>
        </w:numPr>
      </w:pPr>
      <w:r>
        <w:t xml:space="preserve">Discussion (§6.1) frames the whole SEM output as associational patterns rather than tests of an underlying construct.</w:t>
      </w:r>
    </w:p>
    <w:p>
      <w:pPr>
        <w:pStyle w:val="FirstParagraph"/>
      </w:pPr>
      <w:r>
        <w:t xml:space="preserve">Formal demotion (simpler observed-variable analyses as primary) would have required rebuilding all result tables and is flagged as a possible direction for future work rather than executed in this revision.</w:t>
      </w:r>
    </w:p>
    <w:bookmarkEnd w:id="24"/>
    <w:bookmarkStart w:id="25" w:name="X0d12685bbbfacc1ef11d41673b1731909a39b26"/>
    <w:p>
      <w:pPr>
        <w:pStyle w:val="Heading3"/>
      </w:pPr>
      <w:r>
        <w:t xml:space="preserve">Comment 6: SEM↔survival comparison needs bridge analyses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: VALID — ONE BRIDGE EXECUTED, ONE DEFERRED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 A cross-sectional SEM with financial-ratio capacity indicators has been added as a bridge analysis that holds framework, unit of analysis, outcome, and covariates constant while varying only the capacity operationalization.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</w:t>
      </w:r>
      <w:r>
        <w:t xml:space="preserve">: β(FinancialCapacity → Timeliness) = -0.600, p = 0.10 (marginal, N = 573, CFI = 0.926, RMSEA = 0.073). Sign-reversal relative to the staffing-based primary specification.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Interpretation</w:t>
      </w:r>
      <w:r>
        <w:t xml:space="preserve">: The sign of the capacity-timeliness association is not a property of the SEM framework; it is a property of how capacity is operationalized. Adding this bridge converts the cross-framework comparison from</w:t>
      </w:r>
      <w:r>
        <w:t xml:space="preserve"> </w:t>
      </w:r>
      <w:r>
        <w:t xml:space="preserve">“suggestive”</w:t>
      </w:r>
      <w:r>
        <w:t xml:space="preserve"> </w:t>
      </w:r>
      <w:r>
        <w:t xml:space="preserve">to partially diagnostic.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Manuscript updates</w:t>
      </w:r>
      <w:r>
        <w:t xml:space="preserve">: New row in</w:t>
      </w:r>
      <w:r>
        <w:t xml:space="preserve"> </w:t>
      </w:r>
      <w:r>
        <w:rPr>
          <w:b/>
          <w:bCs/>
        </w:rPr>
        <w:t xml:space="preserve">?@tbl-robustness-summary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?@tbl-sensitivity</w:t>
      </w:r>
      <w:r>
        <w:t xml:space="preserve">; new interpretive paragraph in Discussion §6.1; Limitations §8 explicitly flags that the reverse bridge (Cox model using staffing/workload indicators) would further sharpen the comparison and is recommended as future work.</w:t>
      </w:r>
    </w:p>
    <w:bookmarkEnd w:id="25"/>
    <w:bookmarkStart w:id="26" w:name="Xe9be4060d74b5073ddffbbed28ddfe5a179cd94"/>
    <w:p>
      <w:pPr>
        <w:pStyle w:val="Heading3"/>
      </w:pPr>
      <w:r>
        <w:t xml:space="preserve">Comment 7: Sample construction, censoring, and maturity need sharper treatment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: PARTIAL — ACTION TAKEN; fixed-horizon outcomes deferred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section</w:t>
      </w:r>
      <w:r>
        <w:t xml:space="preserve">: Already documents the 95% threshold, complete-case exclusion, and maturity composition (R1 gain preserved).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Limitations</w:t>
      </w:r>
      <w:r>
        <w:t xml:space="preserve">: Explicitly restated that</w:t>
      </w:r>
      <w:r>
        <w:t xml:space="preserve"> </w:t>
      </w:r>
      <w:r>
        <w:t xml:space="preserve">“the SEM sample is constructed through complete-case deletion on [duration] indicators, biasing the sample toward more-mature and more-complete portfolios”</w:t>
      </w:r>
      <w:r>
        <w:t xml:space="preserve"> </w:t>
      </w:r>
      <w:r>
        <w:t xml:space="preserve">and that</w:t>
      </w:r>
      <w:r>
        <w:t xml:space="preserve"> </w:t>
      </w:r>
      <w:r>
        <w:t xml:space="preserve">“a fixed-horizon outcome design—for example, expenditure-completion share at quarter 8, 12, or 16 since first obligation—would yield cohort-comparable outcome measures that do not require observing completion and would substantially reduce maturity confounding.”</w:t>
      </w:r>
      <w:r>
        <w:t xml:space="preserve"> </w:t>
      </w:r>
      <w:r>
        <w:t xml:space="preserve">Explicitly flagged as future work.</w:t>
      </w:r>
    </w:p>
    <w:p>
      <w:pPr>
        <w:pStyle w:val="Compact"/>
        <w:numPr>
          <w:ilvl w:val="0"/>
          <w:numId w:val="1006"/>
        </w:numPr>
      </w:pPr>
      <w:r>
        <w:t xml:space="preserve">Rebuilding the panel around fixed-horizon outcomes is a significant redesign; deferred rather than executed.</w:t>
      </w:r>
    </w:p>
    <w:bookmarkEnd w:id="26"/>
    <w:bookmarkStart w:id="27" w:name="X2acbcf0dc2b1c8d620e96d84e60d7496c5bf6f9"/>
    <w:p>
      <w:pPr>
        <w:pStyle w:val="Heading3"/>
      </w:pPr>
      <w:r>
        <w:t xml:space="preserve">Comment 8: Internal inconsistencies in data-construction narrative (geography matching)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: VALID — BUG FIX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 The Methods section described</w:t>
      </w:r>
      <w:r>
        <w:t xml:space="preserve"> </w:t>
      </w:r>
      <w:r>
        <w:t xml:space="preserve">“city-to-county lookup tables and manual review of unresolved cases”</w:t>
      </w:r>
      <w:r>
        <w:t xml:space="preserve"> </w:t>
      </w:r>
      <w:r>
        <w:t xml:space="preserve">for the 573-jurisdiction SEM sample, while Appendix A.6 reported 100% match rates with no inference or manual disambiguation needed. Verification of the linking code (</w:t>
      </w:r>
      <w:r>
        <w:rPr>
          <w:rStyle w:val="VerbatimChar"/>
        </w:rPr>
        <w:t xml:space="preserve">src/stages/s01_link.py</w:t>
      </w:r>
      <w:r>
        <w:t xml:space="preserve">) and the upstream Kaifa bundle confirmed that the broader raw-preprocessing workflow does use lookup tables and manual review, but the 573 profiles that survive complete-case exclusion to enter the SEM all resolve cleanly to Census GEOIDs.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Methods rewrite</w:t>
      </w:r>
      <w:r>
        <w:t xml:space="preserve">: Now distinguishes the two stages explicitly:</w:t>
      </w:r>
      <w:r>
        <w:t xml:space="preserve"> </w:t>
      </w:r>
      <w:r>
        <w:t xml:space="preserve">“In the broader upstream workflow used to assemble administrative-jurisdiction profiles, ambiguous labels were resolved through city-to-county lookup tables and manual review…”</w:t>
      </w:r>
      <w:r>
        <w:t xml:space="preserve"> </w:t>
      </w:r>
      <w:r>
        <w:t xml:space="preserve">and</w:t>
      </w:r>
      <w:r>
        <w:t xml:space="preserve"> </w:t>
      </w:r>
      <w:r>
        <w:t xml:space="preserve">“For the 573 administering-jurisdiction profiles that entered the final complete-case SEM sample, the retained labels were those that resolved cleanly…”</w:t>
      </w:r>
      <w:r>
        <w:t xml:space="preserve"> </w:t>
      </w:r>
      <w:r>
        <w:t xml:space="preserve">and</w:t>
      </w:r>
      <w:r>
        <w:t xml:space="preserve"> </w:t>
      </w:r>
      <w:r>
        <w:t xml:space="preserve">“The 100% match rate in Appendix A.6 refers to the surviving 573 profiles, not to the raw QPR universe.”</w:t>
      </w:r>
    </w:p>
    <w:p>
      <w:pPr>
        <w:pStyle w:val="Compact"/>
        <w:numPr>
          <w:ilvl w:val="0"/>
          <w:numId w:val="1007"/>
        </w:numPr>
      </w:pPr>
      <w:r>
        <w:t xml:space="preserve">The two accounts are now reconcilable.</w:t>
      </w:r>
    </w:p>
    <w:bookmarkEnd w:id="27"/>
    <w:bookmarkStart w:id="28" w:name="X5f0a18e9ec184f0babe6fbe851e06219ffb87e1"/>
    <w:p>
      <w:pPr>
        <w:pStyle w:val="Heading3"/>
      </w:pPr>
      <w:r>
        <w:t xml:space="preserve">Comment 9: Presentation problems (duplicated appendices, figure, tables)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: MIXED — Some valid, several false alarms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Duplicated appendices (VALID)</w:t>
      </w:r>
      <w:r>
        <w:t xml:space="preserve">: Fixed. Removed the</w:t>
      </w:r>
      <w:r>
        <w:t xml:space="preserve"> </w:t>
      </w:r>
      <w:r>
        <w:rPr>
          <w:rStyle w:val="VerbatimChar"/>
        </w:rPr>
        <w:t xml:space="preserve">appendices:</w:t>
      </w:r>
      <w:r>
        <w:t xml:space="preserve"> </w:t>
      </w:r>
      <w:r>
        <w:t xml:space="preserve">block from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which had been double-declaring appendices alongside the</w:t>
      </w:r>
      <w:r>
        <w:t xml:space="preserve"> </w:t>
      </w:r>
      <w:r>
        <w:rPr>
          <w:rStyle w:val="VerbatimChar"/>
        </w:rPr>
        <w:t xml:space="preserve">{{&lt; include &gt;}}</w:t>
      </w:r>
      <w:r>
        <w:t xml:space="preserve"> </w:t>
      </w:r>
      <w:r>
        <w:t xml:space="preserve">directives in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. Post-render verification of the DOCX confirms each appendix section heading appears exactly once.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Figure 5.1 (FALSE ALARM)</w:t>
      </w:r>
      <w:r>
        <w:t xml:space="preserve">: Figure already depicts the two-factor SEM structure, consistent with the final model specification. No change needed.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Table 6.2 (FALSE ALARM)</w:t>
      </w:r>
      <w:r>
        <w:t xml:space="preserve">: Table source is clean Quarto markdown with properly escaped LaTeX notation. No rendering artifacts in source.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Section 6.2.1 malformed (FALSE ALARM)</w:t>
      </w:r>
      <w:r>
        <w:t xml:space="preserve">: Section 6.2.1 does not exist in the manuscript. The Results section uses section-level 3 subheadings; Quarto auto-numbering in different output formats may have confused the reviewer.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Table 6.1 vs. prose inconsistency (FALSE ALARM on specific claim)</w:t>
      </w:r>
      <w:r>
        <w:t xml:space="preserve">: Current prose already reads</w:t>
      </w:r>
      <w:r>
        <w:t xml:space="preserve"> </w:t>
      </w:r>
      <w:r>
        <w:t xml:space="preserve">“CFI = 0.915… TLI = 0.891… RMSEA = 0.081”</w:t>
      </w:r>
      <w:r>
        <w:t xml:space="preserve">, matching Table 6.1 and Appendix 9.23. The reviewer’s quoted</w:t>
      </w:r>
      <w:r>
        <w:t xml:space="preserve"> </w:t>
      </w:r>
      <w:r>
        <w:t xml:space="preserve">“CFI = 0.919”</w:t>
      </w:r>
      <w:r>
        <w:t xml:space="preserve"> </w:t>
      </w:r>
      <w:r>
        <w:t xml:space="preserve">values do not appear in the current manuscript. Edit was made to the surrounding prose to add</w:t>
      </w:r>
      <w:r>
        <w:t xml:space="preserve"> </w:t>
      </w:r>
      <w:r>
        <w:t xml:space="preserve">“AIC/BIC preference for one-factor means this choice is theoretically motivated, not statistically compelled”</w:t>
      </w:r>
      <w:r>
        <w:t xml:space="preserve"> </w:t>
      </w:r>
      <w:r>
        <w:t xml:space="preserve">caveat.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“Administrative Burden Capacity”</w:t>
      </w:r>
      <w:r>
        <w:rPr>
          <w:b/>
          <w:bCs/>
        </w:rPr>
        <w:t xml:space="preserve"> </w:t>
      </w:r>
      <w:r>
        <w:rPr>
          <w:b/>
          <w:bCs/>
        </w:rPr>
        <w:t xml:space="preserve">terminology (R2 M2 holdover)</w:t>
      </w:r>
      <w:r>
        <w:t xml:space="preserve">: Verified that the manuscript uses</w:t>
      </w:r>
      <w:r>
        <w:t xml:space="preserve"> </w:t>
      </w:r>
      <w:r>
        <w:t xml:space="preserve">“Workload Manageability”</w:t>
      </w:r>
      <w:r>
        <w:t xml:space="preserve"> </w:t>
      </w:r>
      <w:r>
        <w:t xml:space="preserve">throughout.</w:t>
      </w:r>
      <w:r>
        <w:t xml:space="preserve"> </w:t>
      </w:r>
      <w:r>
        <w:t xml:space="preserve">“Administrative Burden Capacity”</w:t>
      </w:r>
      <w:r>
        <w:t xml:space="preserve"> </w:t>
      </w:r>
      <w:r>
        <w:t xml:space="preserve">appears only as an internal SEM output label; all reader-facing text uses</w:t>
      </w:r>
      <w:r>
        <w:t xml:space="preserve"> </w:t>
      </w:r>
      <w:r>
        <w:t xml:space="preserve">“Workload Manageability”</w:t>
      </w:r>
      <w:r>
        <w:t xml:space="preserve"> </w:t>
      </w:r>
      <w:r>
        <w:t xml:space="preserve">or</w:t>
      </w:r>
      <w:r>
        <w:t xml:space="preserve"> </w:t>
      </w:r>
      <w:r>
        <w:t xml:space="preserve">“Administrative Burden Capacity”</w:t>
      </w:r>
      <w:r>
        <w:t xml:space="preserve"> </w:t>
      </w:r>
      <w:r>
        <w:t xml:space="preserve">interchangeably, and this is now noted explicitly in Conceptualization.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inor-comments"/>
    <w:p>
      <w:pPr>
        <w:pStyle w:val="Heading2"/>
      </w:pPr>
      <w:r>
        <w:t xml:space="preserve">Minor Comments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Abstract/EfP lead with instability</w:t>
      </w:r>
      <w:r>
        <w:t xml:space="preserve">: Done (see Comment 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Figure redraw</w:t>
      </w:r>
      <w:r>
        <w:t xml:space="preserve">: Not needed (false alarm).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Table 6.2 rebuild</w:t>
      </w:r>
      <w:r>
        <w:t xml:space="preserve">: Not needed (false alarm).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Notation standardization (β, b, CI, HR)</w:t>
      </w:r>
      <w:r>
        <w:t xml:space="preserve">: Verified β is used consistently for standardized coefficients, b for unstandardized, HR for hazard ratios. No changes needed.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Bibliography cleanup</w:t>
      </w:r>
      <w:r>
        <w:t xml:space="preserve">: Deferred to next revision cycle; out of scope for this round.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Move robustness to online supplement</w:t>
      </w:r>
      <w:r>
        <w:t xml:space="preserve">: Rejected. The robustness detail is load-bearing for the measurement-sensitivity contribution and is appropriately kept in the main appendices.</w:t>
      </w:r>
    </w:p>
    <w:p>
      <w:r>
        <w:pict>
          <v:rect style="width:0;height:1.5pt" o:hralign="center" o:hrstd="t" o:hr="t"/>
        </w:pict>
      </w:r>
    </w:p>
    <w:bookmarkEnd w:id="30"/>
    <w:bookmarkStart w:id="31" w:name="summary-of-disposition"/>
    <w:p>
      <w:pPr>
        <w:pStyle w:val="Heading2"/>
      </w:pPr>
      <w:r>
        <w:t xml:space="preserve">Summary of Disposition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852"/>
        <w:gridCol w:w="1340"/>
        <w:gridCol w:w="1218"/>
        <w:gridCol w:w="3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Addressed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False Alarm / Already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 (1-6, 8)</w:t>
            </w:r>
          </w:p>
        </w:tc>
        <w:tc>
          <w:tcPr/>
          <w:p>
            <w:pPr>
              <w:pStyle w:val="Compact"/>
            </w:pPr>
            <w:r>
              <w:t xml:space="preserve">1 (7: fixed-horizon outcomes deferred)</w:t>
            </w:r>
          </w:p>
        </w:tc>
        <w:tc>
          <w:tcPr/>
          <w:p>
            <w:pPr>
              <w:pStyle w:val="Compact"/>
            </w:pPr>
            <w:r>
              <w:t xml:space="preserve">2 (9 mostly false alarm; 1 figure claim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(bibliography, further notation)</w:t>
            </w:r>
          </w:p>
        </w:tc>
        <w:tc>
          <w:tcPr/>
          <w:p>
            <w:pPr>
              <w:pStyle w:val="Compact"/>
            </w:pPr>
            <w:r>
              <w:t xml:space="preserve">2 (figure/table false alarm)</w:t>
            </w:r>
          </w:p>
        </w:tc>
      </w:tr>
    </w:tbl>
    <w:bookmarkEnd w:id="31"/>
    <w:bookmarkStart w:id="32" w:name="re-analyses-executed"/>
    <w:p>
      <w:pPr>
        <w:pStyle w:val="Heading2"/>
      </w:pPr>
      <w:r>
        <w:t xml:space="preserve">Re-analyses Executed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10"/>
        <w:gridCol w:w="158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Nonzero-QCEW subsample SEM (N=111)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 = 0.132, p = 0.16 (n.s.)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?@tbl-robustness-summary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?@tbl-sensitivity</w:t>
            </w:r>
            <w:r>
              <w:t xml:space="preserve">, Discussion 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Three-indicator Recovery Performance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 = 0.266 (in sensitivity)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 = 0.266 (unchanged)</w:t>
            </w:r>
          </w:p>
        </w:tc>
        <w:tc>
          <w:tcPr/>
          <w:p>
            <w:pPr>
              <w:pStyle w:val="Compact"/>
            </w:pPr>
            <w:r>
              <w:t xml:space="preserve">Confirmed identical, noted in Appendix B.4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Financial-ratio capacity bridge SEM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 = -0.600, p = 0.10 (marginal)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?@tbl-robustness-summary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?@tbl-sensitivity</w:t>
            </w:r>
            <w:r>
              <w:t xml:space="preserve">, Discussion §6.1</w:t>
            </w:r>
          </w:p>
        </w:tc>
      </w:tr>
    </w:tbl>
    <w:bookmarkEnd w:id="32"/>
    <w:bookmarkStart w:id="33" w:name="files-modified"/>
    <w:p>
      <w:pPr>
        <w:pStyle w:val="Heading2"/>
      </w:pPr>
      <w:r>
        <w:t xml:space="preserve">Files Modified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manuscript_quarto/index.qmd</w:t>
            </w:r>
          </w:p>
        </w:tc>
        <w:tc>
          <w:tcPr/>
          <w:p>
            <w:pPr>
              <w:pStyle w:val="Compact"/>
            </w:pPr>
            <w:r>
              <w:t xml:space="preserve">Title, abstract, EfP, §3.1 (Conceptualization + formulas), §4.2 (Data Cleaning geography), §5.1 (Model comparison prose), §5.4 (Robustness summary table + narrative), §6 (Discussion: new Measurement Sensitivity section, updated Comparing Frameworks, tightened Practical Implications), §7 (Conclusion rewritten), §8 (Limitations: 6th point, level-of-gov confound, fixed-horizon future 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manuscript_quarto/appendix-a-data.qmd</w:t>
            </w:r>
          </w:p>
        </w:tc>
        <w:tc>
          <w:tcPr/>
          <w:p>
            <w:pPr>
              <w:pStyle w:val="Compact"/>
            </w:pPr>
            <w:r>
              <w:t xml:space="preserve">A.3 data dictionary (avg_employment, programs_per_staff, disasters_per_staff descriptions)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manuscript_quarto/appendix-c-robustness.qmd</w:t>
            </w:r>
          </w:p>
        </w:tc>
        <w:tc>
          <w:tcPr/>
          <w:p>
            <w:pPr>
              <w:pStyle w:val="Compact"/>
            </w:pPr>
            <w:r>
              <w:t xml:space="preserve">C.1 sensitivity table (2 new rows + interpretive paragraphs)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manuscript_quarto/_quarto.yml</w:t>
            </w:r>
          </w:p>
        </w:tc>
        <w:tc>
          <w:tcPr/>
          <w:p>
            <w:pPr>
              <w:pStyle w:val="Compact"/>
            </w:pPr>
            <w:r>
              <w:t xml:space="preserve">Title; removed duplicated</w:t>
            </w:r>
            <w:r>
              <w:t xml:space="preserve"> </w:t>
            </w:r>
            <w:r>
              <w:rPr>
                <w:rStyle w:val="VerbatimChar"/>
              </w:rPr>
              <w:t xml:space="preserve">appendices:</w:t>
            </w:r>
            <w:r>
              <w:t xml:space="preserve"> </w:t>
            </w:r>
            <w:r>
              <w:t xml:space="preserve">block</w:t>
            </w:r>
          </w:p>
        </w:tc>
      </w:tr>
    </w:tbl>
    <w:bookmarkEnd w:id="33"/>
    <w:bookmarkStart w:id="34" w:name="verification"/>
    <w:p>
      <w:pPr>
        <w:pStyle w:val="Heading2"/>
      </w:pPr>
      <w:r>
        <w:t xml:space="preserve">Verification</w:t>
      </w:r>
    </w:p>
    <w:p>
      <w:pPr>
        <w:pStyle w:val="Compact"/>
        <w:numPr>
          <w:ilvl w:val="0"/>
          <w:numId w:val="1010"/>
        </w:numPr>
      </w:pPr>
      <w:r>
        <w:t xml:space="preserve">DOCX rendered successfully (257 KB, 2026-04-14)</w:t>
      </w:r>
    </w:p>
    <w:p>
      <w:pPr>
        <w:pStyle w:val="Compact"/>
        <w:numPr>
          <w:ilvl w:val="0"/>
          <w:numId w:val="1010"/>
        </w:numPr>
      </w:pPr>
      <w:r>
        <w:t xml:space="preserve">Abstract word count: 144 / 150 ✓</w:t>
      </w:r>
    </w:p>
    <w:p>
      <w:pPr>
        <w:pStyle w:val="Compact"/>
        <w:numPr>
          <w:ilvl w:val="0"/>
          <w:numId w:val="1010"/>
        </w:numPr>
      </w:pPr>
      <w:r>
        <w:t xml:space="preserve">Main-body prose word count (excl. tables/YAML/blocks): 7,376 / 8,000 ✓</w:t>
      </w:r>
    </w:p>
    <w:p>
      <w:pPr>
        <w:pStyle w:val="Compact"/>
        <w:numPr>
          <w:ilvl w:val="0"/>
          <w:numId w:val="1010"/>
        </w:numPr>
      </w:pPr>
      <w:r>
        <w:t xml:space="preserve">Zero</w:t>
      </w:r>
      <w:r>
        <w:t xml:space="preserve"> </w:t>
      </w:r>
      <w:r>
        <w:t xml:space="preserve">“this study”</w:t>
      </w:r>
      <w:r>
        <w:t xml:space="preserve">,</w:t>
      </w:r>
      <w:r>
        <w:t xml:space="preserve"> </w:t>
      </w:r>
      <w:r>
        <w:t xml:space="preserve">“advances the literature”</w:t>
      </w:r>
      <w:r>
        <w:t xml:space="preserve">,</w:t>
      </w:r>
      <w:r>
        <w:t xml:space="preserve"> </w:t>
      </w:r>
      <w:r>
        <w:t xml:space="preserve">“first application”</w:t>
      </w:r>
      <w:r>
        <w:t xml:space="preserve">,</w:t>
      </w:r>
      <w:r>
        <w:t xml:space="preserve"> </w:t>
      </w:r>
      <w:r>
        <w:t xml:space="preserve">“most robust”</w:t>
      </w:r>
      <w:r>
        <w:t xml:space="preserve">, or</w:t>
      </w:r>
      <w:r>
        <w:t xml:space="preserve"> </w:t>
      </w:r>
      <w:r>
        <w:t xml:space="preserve">“novel contribution”</w:t>
      </w:r>
      <w:r>
        <w:t xml:space="preserve"> </w:t>
      </w:r>
      <w:r>
        <w:t xml:space="preserve">self-references in any .qmd file ✓</w:t>
      </w:r>
    </w:p>
    <w:p>
      <w:pPr>
        <w:pStyle w:val="Compact"/>
        <w:numPr>
          <w:ilvl w:val="0"/>
          <w:numId w:val="1010"/>
        </w:numPr>
      </w:pPr>
      <w:r>
        <w:t xml:space="preserve">Post-render DOCX audit confirms appendix sections appear exactly once;</w:t>
      </w:r>
      <w:r>
        <w:t xml:space="preserve"> </w:t>
      </w:r>
      <w:r>
        <w:t xml:space="preserve">“Nonzero-QCEW”</w:t>
      </w:r>
      <w:r>
        <w:t xml:space="preserve"> </w:t>
      </w:r>
      <w:r>
        <w:t xml:space="preserve">appears 2×,</w:t>
      </w:r>
      <w:r>
        <w:t xml:space="preserve"> </w:t>
      </w:r>
      <w:r>
        <w:t xml:space="preserve">“Financial-ratio capacity bridge”</w:t>
      </w:r>
      <w:r>
        <w:t xml:space="preserve"> </w:t>
      </w:r>
      <w:r>
        <w:t xml:space="preserve">appears 2×,</w:t>
      </w:r>
      <w:r>
        <w:t xml:space="preserve"> </w:t>
      </w:r>
      <w:r>
        <w:t xml:space="preserve">“$-$0.600”</w:t>
      </w:r>
      <w:r>
        <w:t xml:space="preserve"> </w:t>
      </w:r>
      <w:r>
        <w:t xml:space="preserve">appears 5× ✓</w:t>
      </w:r>
    </w:p>
    <w:p>
      <w:pPr>
        <w:pStyle w:val="Compact"/>
        <w:numPr>
          <w:ilvl w:val="0"/>
          <w:numId w:val="1010"/>
        </w:numPr>
      </w:pPr>
      <w:r>
        <w:t xml:space="preserve">PAR compliance check: No</w:t>
      </w:r>
      <w:r>
        <w:t xml:space="preserve"> </w:t>
      </w:r>
      <w:r>
        <w:t xml:space="preserve">“this study”</w:t>
      </w:r>
      <w:r>
        <w:t xml:space="preserve"> </w:t>
      </w:r>
      <w:r>
        <w:t xml:space="preserve">self-references found 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Response prepared: 2026-04-14</w:t>
      </w:r>
      <w:r>
        <w:t xml:space="preserve"> </w:t>
      </w:r>
      <w:r>
        <w:rPr>
          <w:i/>
          <w:iCs/>
        </w:rPr>
        <w:t xml:space="preserve">Review cycle: Synthetic #3 (par_general)</w:t>
      </w:r>
      <w:r>
        <w:t xml:space="preserve"> </w:t>
      </w:r>
      <w:r>
        <w:rPr>
          <w:i/>
          <w:iCs/>
        </w:rPr>
        <w:t xml:space="preserve">Status: CLOSED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2026-04-14T19:59:53Z</dcterms:created>
  <dcterms:modified xsi:type="dcterms:W3CDTF">2026-04-14T19:59:53Z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