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esponse-to-reviewer-synthetic-review-4"/>
    <w:p>
      <w:pPr>
        <w:pStyle w:val="Heading1"/>
      </w:pPr>
      <w:r>
        <w:t xml:space="preserve">Response to Reviewer: Synthetic Review #4</w:t>
      </w:r>
    </w:p>
    <w:p>
      <w:pPr>
        <w:pStyle w:val="FirstParagraph"/>
      </w:pPr>
      <w:r>
        <w:rPr>
          <w:b/>
          <w:bCs/>
        </w:rPr>
        <w:t xml:space="preserve">Manuscript</w:t>
      </w:r>
      <w:r>
        <w:t xml:space="preserve">: Measurement Sensitivity in Administrative-Throughput Analysis of CDBG-DR Disaster Recovery: Evidence from a Cross-Sectional SEM and Complementary Survival Model</w:t>
      </w:r>
      <w:r>
        <w:t xml:space="preserve"> </w:t>
      </w:r>
      <w:r>
        <w:rPr>
          <w:b/>
          <w:bCs/>
        </w:rPr>
        <w:t xml:space="preserve">Review type</w:t>
      </w:r>
      <w:r>
        <w:t xml:space="preserve">: Synthetic (pre-submission stress test)</w:t>
      </w:r>
      <w:r>
        <w:t xml:space="preserve"> </w:t>
      </w:r>
      <w:r>
        <w:rPr>
          <w:b/>
          <w:bCs/>
        </w:rPr>
        <w:t xml:space="preserve">Review focus</w:t>
      </w:r>
      <w:r>
        <w:t xml:space="preserve">: par_general</w:t>
      </w:r>
      <w:r>
        <w:t xml:space="preserve"> </w:t>
      </w:r>
      <w:r>
        <w:rPr>
          <w:b/>
          <w:bCs/>
        </w:rPr>
        <w:t xml:space="preserve">Review recommendation</w:t>
      </w:r>
      <w:r>
        <w:t xml:space="preserve">: Major revision (bordering on reject/resubmit)</w:t>
      </w:r>
      <w:r>
        <w:t xml:space="preserve"> </w:t>
      </w:r>
      <w:r>
        <w:rPr>
          <w:b/>
          <w:bCs/>
        </w:rPr>
        <w:t xml:space="preserve">Date</w:t>
      </w:r>
      <w:r>
        <w:t xml:space="preserve">: 2026-04-14</w:t>
      </w:r>
    </w:p>
    <w:p>
      <w:r>
        <w:pict>
          <v:rect style="width:0;height:1.5pt" o:hralign="center" o:hrstd="t" o:hr="t"/>
        </w:pict>
      </w:r>
    </w:p>
    <w:p>
      <w:pPr>
        <w:pStyle w:val="FirstParagraph"/>
      </w:pPr>
      <w:r>
        <w:t xml:space="preserve">We thank the reviewer for the escalated review and for the detailed and actionable critique. The reviewer’s most consequential observation is that several design concerns raised in earlier review cycles were not fully implemented in the prior revision and have therefore continued to motivate the major-revision recommendation. This response addresses each of those concerns with new analyses rather than additional documentation, and retains the prior measurement-sensitivity framing.</w:t>
      </w:r>
    </w:p>
    <w:p>
      <w:pPr>
        <w:pStyle w:val="BodyText"/>
      </w:pPr>
      <w:r>
        <w:t xml:space="preserve">Summary of new analyses executed in response to R4: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Analysis</w:t>
            </w:r>
          </w:p>
        </w:tc>
        <w:tc>
          <w:tcPr/>
          <w:p>
            <w:pPr>
              <w:pStyle w:val="Compact"/>
            </w:pPr>
            <w:r>
              <w:t xml:space="preserve">Result</w:t>
            </w:r>
          </w:p>
        </w:tc>
        <w:tc>
          <w:tcPr/>
          <w:p>
            <w:pPr>
              <w:pStyle w:val="Compact"/>
            </w:pPr>
            <w:r>
              <w:t xml:space="preserve">Manuscript Location</w:t>
            </w:r>
          </w:p>
        </w:tc>
      </w:tr>
      <w:tr>
        <w:tc>
          <w:tcPr/>
          <w:p>
            <w:pPr>
              <w:pStyle w:val="Compact"/>
            </w:pPr>
            <w:r>
              <w:t xml:space="preserve">Local-only primary SEM (N = 543)</w:t>
            </w:r>
          </w:p>
        </w:tc>
        <w:tc>
          <w:tcPr/>
          <w:p>
            <w:pPr>
              <w:pStyle w:val="Compact"/>
            </w:pPr>
            <m:oMath>
              <m:r>
                <m:t>β</m:t>
              </m:r>
            </m:oMath>
            <w:r>
              <w:t xml:space="preserve">(BurdenCap→Timeliness) = 0.257, CFI = 0.903, RMSEA = 0.092</w:t>
            </w:r>
          </w:p>
        </w:tc>
        <w:tc>
          <w:tcPr/>
          <w:p>
            <w:pPr>
              <w:pStyle w:val="Compact"/>
            </w:pPr>
            <w:r>
              <w:rPr>
                <w:b/>
                <w:bCs/>
              </w:rPr>
              <w:t xml:space="preserve">?@tbl-robustness-summary</w:t>
            </w:r>
          </w:p>
        </w:tc>
      </w:tr>
      <w:tr>
        <w:tc>
          <w:tcPr/>
          <w:p>
            <w:pPr>
              <w:pStyle w:val="Compact"/>
            </w:pPr>
            <w:r>
              <w:t xml:space="preserve">Local-only AND nonzero-QCEW SEM (N = 81)</w:t>
            </w:r>
          </w:p>
        </w:tc>
        <w:tc>
          <w:tcPr/>
          <w:p>
            <w:pPr>
              <w:pStyle w:val="Compact"/>
            </w:pPr>
            <m:oMath>
              <m:r>
                <m:t>β</m:t>
              </m:r>
            </m:oMath>
            <w:r>
              <w:t xml:space="preserve">(BurdenCap→Timeliness) = 0.145, p = 0.22 (n.s.)</w:t>
            </w:r>
          </w:p>
        </w:tc>
        <w:tc>
          <w:tcPr/>
          <w:p>
            <w:pPr>
              <w:pStyle w:val="Compact"/>
            </w:pPr>
            <w:r>
              <w:rPr>
                <w:b/>
                <w:bCs/>
              </w:rPr>
              <w:t xml:space="preserve">?@tbl-robustness-summary</w:t>
            </w:r>
          </w:p>
        </w:tc>
      </w:tr>
      <w:tr>
        <w:tc>
          <w:tcPr/>
          <w:p>
            <w:pPr>
              <w:pStyle w:val="Compact"/>
            </w:pPr>
            <w:r>
              <w:t xml:space="preserve">State-clustered bootstrap SEs for primary SEM (200 draws, 35 state clusters)</w:t>
            </w:r>
          </w:p>
        </w:tc>
        <w:tc>
          <w:tcPr/>
          <w:p>
            <w:pPr>
              <w:pStyle w:val="Compact"/>
            </w:pPr>
            <m:oMath>
              <m:r>
                <m:t>β</m:t>
              </m:r>
            </m:oMath>
            <w:r>
              <w:t xml:space="preserve"> </w:t>
            </w:r>
            <w:r>
              <w:t xml:space="preserve">= 0.266, cluster 95% CI [−0.119, 0.542] —</w:t>
            </w:r>
            <w:r>
              <w:t xml:space="preserve"> </w:t>
            </w:r>
            <w:r>
              <w:rPr>
                <w:b/>
                <w:bCs/>
              </w:rPr>
              <w:t xml:space="preserve">crosses zero</w:t>
            </w:r>
          </w:p>
        </w:tc>
        <w:tc>
          <w:tcPr/>
          <w:p>
            <w:pPr>
              <w:pStyle w:val="Compact"/>
            </w:pPr>
            <w:r>
              <w:rPr>
                <w:b/>
                <w:bCs/>
              </w:rPr>
              <w:t xml:space="preserve">?@tbl-bootstrap</w:t>
            </w:r>
            <w:r>
              <w:t xml:space="preserve"> </w:t>
            </w:r>
            <w:r>
              <w:t xml:space="preserve">(Appendix C.10)</w:t>
            </w:r>
          </w:p>
        </w:tc>
      </w:tr>
      <w:tr>
        <w:tc>
          <w:tcPr/>
          <w:p>
            <w:pPr>
              <w:pStyle w:val="Compact"/>
            </w:pPr>
            <w:r>
              <w:t xml:space="preserve">Cox survival model with staffing/workload covariates (N = 100, 48 events)</w:t>
            </w:r>
          </w:p>
        </w:tc>
        <w:tc>
          <w:tcPr/>
          <w:p>
            <w:pPr>
              <w:pStyle w:val="Compact"/>
            </w:pPr>
            <w:r>
              <w:t xml:space="preserve">HR(programs/staff) = 1.52, p = 0.41; HR(disasters/staff) = 0.61, p = 0.46</w:t>
            </w:r>
          </w:p>
        </w:tc>
        <w:tc>
          <w:tcPr/>
          <w:p>
            <w:pPr>
              <w:pStyle w:val="Compact"/>
            </w:pPr>
            <w:r>
              <w:rPr>
                <w:b/>
                <w:bCs/>
              </w:rPr>
              <w:t xml:space="preserve">?@tbl-cox-staffing</w:t>
            </w:r>
            <w:r>
              <w:t xml:space="preserve"> </w:t>
            </w:r>
            <w:r>
              <w:t xml:space="preserve">(Appendix C.9)</w:t>
            </w:r>
          </w:p>
        </w:tc>
      </w:tr>
      <w:tr>
        <w:tc>
          <w:tcPr/>
          <w:p>
            <w:pPr>
              <w:pStyle w:val="Compact"/>
            </w:pPr>
            <w:r>
              <w:t xml:space="preserve">Cox threshold sensitivity (20%–100%) as rendered table</w:t>
            </w:r>
          </w:p>
        </w:tc>
        <w:tc>
          <w:tcPr/>
          <w:p>
            <w:pPr>
              <w:pStyle w:val="Compact"/>
            </w:pPr>
            <w:r>
              <w:t xml:space="preserve">Disbursement HR stable 0.30–0.35, p &lt; 0.001 throughout; concordance 0.74–0.77</w:t>
            </w:r>
          </w:p>
        </w:tc>
        <w:tc>
          <w:tcPr/>
          <w:p>
            <w:pPr>
              <w:pStyle w:val="Compact"/>
            </w:pPr>
            <w:r>
              <w:rPr>
                <w:b/>
                <w:bCs/>
              </w:rPr>
              <w:t xml:space="preserve">?@tbl-cox-threshold</w:t>
            </w:r>
            <w:r>
              <w:t xml:space="preserve"> </w:t>
            </w:r>
            <w:r>
              <w:t xml:space="preserve">(Appendix C.8)</w:t>
            </w:r>
          </w:p>
        </w:tc>
      </w:tr>
      <w:tr>
        <w:tc>
          <w:tcPr/>
          <w:p>
            <w:pPr>
              <w:pStyle w:val="Compact"/>
            </w:pPr>
            <w:r>
              <w:t xml:space="preserve">Cross-sectional OLS with financial-ratio capacity (N = 573)</w:t>
            </w:r>
          </w:p>
        </w:tc>
        <w:tc>
          <w:tcPr/>
          <w:p>
            <w:pPr>
              <w:pStyle w:val="Compact"/>
            </w:pPr>
            <m:oMath>
              <m:r>
                <m:t>b</m:t>
              </m:r>
            </m:oMath>
            <w:r>
              <w:t xml:space="preserve">(disb/oblig) = −0.340 on Timeliness, +0.365 on Completion (both p &lt; 0.001)</w:t>
            </w:r>
          </w:p>
        </w:tc>
        <w:tc>
          <w:tcPr/>
          <w:p>
            <w:pPr>
              <w:pStyle w:val="Compact"/>
            </w:pPr>
            <w:r>
              <w:rPr>
                <w:b/>
                <w:bCs/>
              </w:rPr>
              <w:t xml:space="preserve">?@tbl-ols-financial</w:t>
            </w:r>
            <w:r>
              <w:t xml:space="preserve"> </w:t>
            </w:r>
            <w:r>
              <w:t xml:space="preserve">(Appendix C.11)</w:t>
            </w:r>
          </w:p>
        </w:tc>
      </w:tr>
      <w:tr>
        <w:tc>
          <w:tcPr/>
          <w:p>
            <w:pPr>
              <w:pStyle w:val="Compact"/>
            </w:pPr>
            <w:r>
              <w:rPr>
                <w:b/>
                <w:bCs/>
              </w:rPr>
              <w:t xml:space="preserve">Observed-composite regressions across all six outcome indicators (SEM-alternative primary)</w:t>
            </w:r>
          </w:p>
        </w:tc>
        <w:tc>
          <w:tcPr/>
          <w:p>
            <w:pPr>
              <w:pStyle w:val="Compact"/>
            </w:pPr>
            <w:r>
              <w:t xml:space="preserve">b(rev programs/staff, rev Duration) = +0.276, p &lt; 0.001 — matches SEM β = 0.266, confirming SEM is dimension-reduction</w:t>
            </w:r>
          </w:p>
        </w:tc>
        <w:tc>
          <w:tcPr/>
          <w:p>
            <w:pPr>
              <w:pStyle w:val="Compact"/>
            </w:pPr>
            <w:r>
              <w:rPr>
                <w:b/>
                <w:bCs/>
              </w:rPr>
              <w:t xml:space="preserve">?@tbl-observed-composite</w:t>
            </w:r>
            <w:r>
              <w:t xml:space="preserve"> </w:t>
            </w:r>
            <w:r>
              <w:t xml:space="preserve">(Appendix C.12)</w:t>
            </w:r>
          </w:p>
        </w:tc>
      </w:tr>
      <w:tr>
        <w:tc>
          <w:tcPr/>
          <w:p>
            <w:pPr>
              <w:pStyle w:val="Compact"/>
            </w:pPr>
            <w:r>
              <w:rPr>
                <w:b/>
                <w:bCs/>
              </w:rPr>
              <w:t xml:space="preserve">Fixed-horizon outcome regressions (q = 8, 12, 16 expenditure shares)</w:t>
            </w:r>
          </w:p>
        </w:tc>
        <w:tc>
          <w:tcPr/>
          <w:p>
            <w:pPr>
              <w:pStyle w:val="Compact"/>
            </w:pPr>
            <w:r>
              <w:t xml:space="preserve">Capacity effect (b ≈ +0.15) at q = 8, attenuates to null by q = 16</w:t>
            </w:r>
          </w:p>
        </w:tc>
        <w:tc>
          <w:tcPr/>
          <w:p>
            <w:pPr>
              <w:pStyle w:val="Compact"/>
            </w:pPr>
            <w:r>
              <w:rPr>
                <w:b/>
                <w:bCs/>
              </w:rPr>
              <w:t xml:space="preserve">?@tbl-fixed-horizon</w:t>
            </w:r>
            <w:r>
              <w:t xml:space="preserve"> </w:t>
            </w:r>
            <w:r>
              <w:t xml:space="preserve">(Appendix C.13)</w:t>
            </w:r>
          </w:p>
        </w:tc>
      </w:tr>
      <w:tr>
        <w:tc>
          <w:tcPr/>
          <w:p>
            <w:pPr>
              <w:pStyle w:val="Compact"/>
            </w:pPr>
            <w:r>
              <w:rPr>
                <w:b/>
                <w:bCs/>
              </w:rPr>
              <w:t xml:space="preserve">SVI vintage sensitivity — 6 vintages from CDC ArcGIS (2010, 2014, 2016, 2018, 2020, 2022)</w:t>
            </w:r>
          </w:p>
        </w:tc>
        <w:tc>
          <w:tcPr/>
          <w:p>
            <w:pPr>
              <w:pStyle w:val="Compact"/>
            </w:pPr>
            <w:r>
              <w:t xml:space="preserve">Capacity-timeliness stable (</w:t>
            </w:r>
            <m:oMath>
              <m:r>
                <m:t>β</m:t>
              </m:r>
            </m:oMath>
            <w:r>
              <w:t xml:space="preserve"> </w:t>
            </w:r>
            <w:r>
              <w:t xml:space="preserve">= 0.148–0.238);</w:t>
            </w:r>
            <w:r>
              <w:t xml:space="preserve"> </w:t>
            </w:r>
            <w:r>
              <w:rPr>
                <w:b/>
                <w:bCs/>
              </w:rPr>
              <w:t xml:space="preserve">Theme 1 (socioeconomic)</w:t>
            </w:r>
            <w:r>
              <w:rPr>
                <w:b/>
                <w:bCs/>
              </w:rPr>
              <w:t xml:space="preserve"> </w:t>
            </w:r>
            <m:oMath>
              <m:r>
                <m:rPr>
                  <m:sty m:val="p"/>
                </m:rPr>
                <m:t>→</m:t>
              </m:r>
            </m:oMath>
            <w:r>
              <w:rPr>
                <w:b/>
                <w:bCs/>
              </w:rPr>
              <w:t xml:space="preserve"> </w:t>
            </w:r>
            <w:r>
              <w:rPr>
                <w:b/>
                <w:bCs/>
              </w:rPr>
              <w:t xml:space="preserve">Timeliness FLIPS SIGN between 2010 ($-</w:t>
            </w:r>
            <m:oMath>
              <m:r>
                <m:t>0.196</m:t>
              </m:r>
              <m:r>
                <m:rPr>
                  <m:sty m:val="p"/>
                </m:rPr>
                <m:t>)</m:t>
              </m:r>
              <m:r>
                <m:t>a</m:t>
              </m:r>
              <m:r>
                <m:t>n</m:t>
              </m:r>
              <m:r>
                <m:t>d</m:t>
              </m:r>
              <m:r>
                <m:t>2014</m:t>
              </m:r>
              <m:r>
                <m:rPr>
                  <m:sty m:val="p"/>
                </m:rPr>
                <m:t>+</m:t>
              </m:r>
              <m:r>
                <m:t>v</m:t>
              </m:r>
              <m:r>
                <m:t>i</m:t>
              </m:r>
              <m:r>
                <m:t>n</m:t>
              </m:r>
              <m:r>
                <m:t>t</m:t>
              </m:r>
              <m:r>
                <m:t>a</m:t>
              </m:r>
              <m:r>
                <m:t>g</m:t>
              </m:r>
              <m:r>
                <m:t>e</m:t>
              </m:r>
              <m:r>
                <m:t>s</m:t>
              </m:r>
              <m:r>
                <m:rPr>
                  <m:sty m:val="p"/>
                </m:rPr>
                <m:t>(</m:t>
              </m:r>
            </m:oMath>
            <w:r>
              <w:rPr>
                <w:b/>
                <w:bCs/>
              </w:rPr>
              <w:t xml:space="preserve">+$0.17 to $+$0.48)</w:t>
            </w:r>
          </w:p>
        </w:tc>
        <w:tc>
          <w:tcPr/>
          <w:p>
            <w:pPr>
              <w:pStyle w:val="Compact"/>
            </w:pPr>
            <w:r>
              <w:rPr>
                <w:b/>
                <w:bCs/>
              </w:rPr>
              <w:t xml:space="preserve">?@tbl-svi-vintage</w:t>
            </w:r>
            <w:r>
              <w:t xml:space="preserve"> </w:t>
            </w:r>
            <w:r>
              <w:t xml:space="preserve">(Appendix C.14)</w:t>
            </w:r>
          </w:p>
        </w:tc>
      </w:tr>
    </w:tbl>
    <w:p>
      <w:r>
        <w:pict>
          <v:rect style="width:0;height:1.5pt" o:hralign="center" o:hrstd="t" o:hr="t"/>
        </w:pict>
      </w:r>
    </w:p>
    <w:bookmarkStart w:id="28" w:name="major-comments"/>
    <w:p>
      <w:pPr>
        <w:pStyle w:val="Heading2"/>
      </w:pPr>
      <w:r>
        <w:t xml:space="preserve">Major Comments</w:t>
      </w:r>
    </w:p>
    <w:bookmarkStart w:id="20" w:name="X5051d21e59efd7181584ac841420fbc1529795f"/>
    <w:p>
      <w:pPr>
        <w:pStyle w:val="Heading3"/>
      </w:pPr>
      <w:r>
        <w:t xml:space="preserve">Comment 1: Reframe around instability, not primary coefficient</w:t>
      </w:r>
    </w:p>
    <w:p>
      <w:pPr>
        <w:pStyle w:val="FirstParagraph"/>
      </w:pPr>
      <w:r>
        <w:rPr>
          <w:b/>
          <w:bCs/>
        </w:rPr>
        <w:t xml:space="preserve">Classification</w:t>
      </w:r>
      <w:r>
        <w:t xml:space="preserve">: VALID — ADDRESSED (further)</w:t>
      </w:r>
    </w:p>
    <w:p>
      <w:pPr>
        <w:pStyle w:val="BodyText"/>
      </w:pPr>
      <w:r>
        <w:t xml:space="preserve">The prior revision reframed the title, abstract, Evidence for Practice, Discussion opening, and Conclusion around measurement sensitivity. R4 correctly notes that the Results section still treated</w:t>
      </w:r>
      <w:r>
        <w:t xml:space="preserve"> </w:t>
      </w:r>
      <m:oMath>
        <m:r>
          <m:t>β</m:t>
        </m:r>
        <m:r>
          <m:rPr>
            <m:sty m:val="p"/>
          </m:rPr>
          <m:t>=</m:t>
        </m:r>
        <m:r>
          <m:t>0.266</m:t>
        </m:r>
      </m:oMath>
      <w:r>
        <w:t xml:space="preserve"> </w:t>
      </w:r>
      <w:r>
        <w:t xml:space="preserve">as the primary finding before listing its erosion. The Robustness section has now been rewritten so that the first robustness pattern mentioned in the narrative is the state-clustered bootstrap CI that crosses zero, not the primary point estimate. The updated</w:t>
      </w:r>
      <w:r>
        <w:t xml:space="preserve"> </w:t>
      </w:r>
      <w:r>
        <w:rPr>
          <w:b/>
          <w:bCs/>
        </w:rPr>
        <w:t xml:space="preserve">?@tbl-robustness-summary</w:t>
      </w:r>
      <w:r>
        <w:t xml:space="preserve"> </w:t>
      </w:r>
      <w:r>
        <w:t xml:space="preserve">in the main text places the bootstrap row immediately after the primary specification, making clear that the primary coefficient is not statistically different from zero under cluster-appropriate inference. The narrative concluding sentence of the Robustness section now reads:</w:t>
      </w:r>
      <w:r>
        <w:t xml:space="preserve"> </w:t>
      </w:r>
      <w:r>
        <w:t xml:space="preserve">“The substantive reading should not rest on the primary</w:t>
      </w:r>
      <w:r>
        <w:t xml:space="preserve"> </w:t>
      </w:r>
      <m:oMath>
        <m:r>
          <m:t>β</m:t>
        </m:r>
        <m:r>
          <m:rPr>
            <m:sty m:val="p"/>
          </m:rPr>
          <m:t>=</m:t>
        </m:r>
        <m:r>
          <m:t>0.266</m:t>
        </m:r>
      </m:oMath>
      <w:r>
        <w:t xml:space="preserve"> </w:t>
      </w:r>
      <w:r>
        <w:t xml:space="preserve">as a point estimate but on the instability of that estimate across principled specifications.”</w:t>
      </w:r>
    </w:p>
    <w:bookmarkEnd w:id="20"/>
    <w:bookmarkStart w:id="21" w:name="X1ef376185ce6bac78a101b8190b7a11e2dd665e"/>
    <w:p>
      <w:pPr>
        <w:pStyle w:val="Heading3"/>
      </w:pPr>
      <w:r>
        <w:t xml:space="preserve">Comment 2: SEM construct validity too weak</w:t>
      </w:r>
    </w:p>
    <w:p>
      <w:pPr>
        <w:pStyle w:val="FirstParagraph"/>
      </w:pPr>
      <w:r>
        <w:rPr>
          <w:b/>
          <w:bCs/>
        </w:rPr>
        <w:t xml:space="preserve">Classification</w:t>
      </w:r>
      <w:r>
        <w:t xml:space="preserve">: VALID — ADDRESSED (without demoting SEM)</w:t>
      </w:r>
    </w:p>
    <w:p>
      <w:pPr>
        <w:pStyle w:val="BodyText"/>
      </w:pPr>
      <w:r>
        <w:t xml:space="preserve">R4 offered two options: replace the SEM with observed composites/multivariate regression, or keep the SEM as exploratory dimension-reduction with sharply toned-down latent-construct language. The revision takes the second path and adds the observed-variable analogue as a cross-check:</w:t>
      </w:r>
      <w:r>
        <w:t xml:space="preserve"> </w:t>
      </w:r>
      <w:r>
        <w:rPr>
          <w:b/>
          <w:bCs/>
        </w:rPr>
        <w:t xml:space="preserve">?@tbl-ols-financial</w:t>
      </w:r>
      <w:r>
        <w:t xml:space="preserve"> </w:t>
      </w:r>
      <w:r>
        <w:t xml:space="preserve">in Appendix C.11 reports cross-sectional OLS regressions of observed Duration_of_completion and Program Completion Rate on the financial-flow ratios, parallelling the within-SEM financial-ratio bridge. The observed-variable regression produces substantively consistent patterns with the SEM bridge (</w:t>
      </w:r>
      <m:oMath>
        <m:r>
          <m:t>b</m:t>
        </m:r>
      </m:oMath>
      <w:r>
        <w:t xml:space="preserve"> </w:t>
      </w:r>
      <w:r>
        <w:t xml:space="preserve">= −0.340 on Timeliness, positive on Completion), confirming that the SEM is acting as a dimension-reduction summary rather than recovering an underlying latent trait.</w:t>
      </w:r>
    </w:p>
    <w:p>
      <w:pPr>
        <w:pStyle w:val="BodyText"/>
      </w:pPr>
      <w:r>
        <w:t xml:space="preserve">The existing Conceptualization section already frames the SEM explicitly as exploratory decomposition, not latent-variable validation, with the language:</w:t>
      </w:r>
      <w:r>
        <w:t xml:space="preserve"> </w:t>
      </w:r>
      <w:r>
        <w:t xml:space="preserve">“the SEM specification used in this analysis is therefore best understood as an exploratory decomposition of those indicators into a resources dimension and a workload dimension for descriptive and associational purposes, not as the validation of a coherent latent trait.”</w:t>
      </w:r>
      <w:r>
        <w:t xml:space="preserve"> </w:t>
      </w:r>
      <w:r>
        <w:t xml:space="preserve">The boundary-estimate caveats (loadings fixed at 1.000, zero residual variances) remain explicitly flagged in the Measurement Parameters paragraph.</w:t>
      </w:r>
    </w:p>
    <w:bookmarkEnd w:id="21"/>
    <w:bookmarkStart w:id="22" w:name="Xbb657c5fdba74314d6c442f5322c0d3b0bceb43"/>
    <w:p>
      <w:pPr>
        <w:pStyle w:val="Heading3"/>
      </w:pPr>
      <w:r>
        <w:t xml:space="preserve">Comment 3: QCEW proxy is central identification problem</w:t>
      </w:r>
    </w:p>
    <w:p>
      <w:pPr>
        <w:pStyle w:val="FirstParagraph"/>
      </w:pPr>
      <w:r>
        <w:rPr>
          <w:b/>
          <w:bCs/>
        </w:rPr>
        <w:t xml:space="preserve">Classification</w:t>
      </w:r>
      <w:r>
        <w:t xml:space="preserve">: VALID — ADDRESSED (two new decompositions)</w:t>
      </w:r>
    </w:p>
    <w:p>
      <w:pPr>
        <w:pStyle w:val="BodyText"/>
      </w:pPr>
      <w:r>
        <w:t xml:space="preserve">R4 raised two specific asks: (a) a local-only nonzero-QCEW sensitivity that separates the proxy effect from the state/local compositional confound in the nonzero subsample, and (b) consideration of a non-suppressed proxy as the main analysis rather than a robustness appendix. The first ask is addressed with a new row in</w:t>
      </w:r>
      <w:r>
        <w:t xml:space="preserve"> </w:t>
      </w:r>
      <w:r>
        <w:rPr>
          <w:b/>
          <w:bCs/>
        </w:rPr>
        <w:t xml:space="preserve">?@tbl-robustness-summary</w:t>
      </w:r>
      <w:r>
        <w:t xml:space="preserve">: on the 81 local jurisdictions with non-zero QCEW employment, the structural coefficient attenuates to</w:t>
      </w:r>
      <w:r>
        <w:t xml:space="preserve"> </w:t>
      </w:r>
      <m:oMath>
        <m:r>
          <m:t>β</m:t>
        </m:r>
        <m:r>
          <m:rPr>
            <m:sty m:val="p"/>
          </m:rPr>
          <m:t>=</m:t>
        </m:r>
        <m:r>
          <m:t>0.145</m:t>
        </m:r>
      </m:oMath>
      <w:r>
        <w:t xml:space="preserve"> </w:t>
      </w:r>
      <w:r>
        <w:t xml:space="preserve">(p = 0.22, non-significant), closely tracking the pooled nonzero-QCEW result (</w:t>
      </w:r>
      <m:oMath>
        <m:r>
          <m:t>β</m:t>
        </m:r>
        <m:r>
          <m:rPr>
            <m:sty m:val="p"/>
          </m:rPr>
          <m:t>=</m:t>
        </m:r>
        <m:r>
          <m:t>0.132</m:t>
        </m:r>
      </m:oMath>
      <w:r>
        <w:t xml:space="preserve">, p = 0.16) and confirming that the attenuation is not driven by the state/local compositional shift within the nonzero subsample.</w:t>
      </w:r>
    </w:p>
    <w:p>
      <w:pPr>
        <w:pStyle w:val="BodyText"/>
      </w:pPr>
      <w:r>
        <w:t xml:space="preserve">The second ask (non-suppressed proxy as main analysis) is a more fundamental restructuring: the current design has no non-suppressed capacity proxy available, and substituting a different proxy (e.g., total government employment, general-fund revenue) would require re-collecting data from sources that do not cleanly align with the DRGR/QPR jurisdiction identifiers. This is flagged as future work in the Limitations section rather than executed in this revision, but the nonzero-QCEW sensitivity (pooled and local-only) is now clearly visible in the main-text robustness summary rather than buried in an appendix.</w:t>
      </w:r>
    </w:p>
    <w:bookmarkEnd w:id="22"/>
    <w:bookmarkStart w:id="23" w:name="Xddc945403de4feeac40a644eaa7b07596381b4f"/>
    <w:p>
      <w:pPr>
        <w:pStyle w:val="Heading3"/>
      </w:pPr>
      <w:r>
        <w:t xml:space="preserve">Comment 4: Cross-sectional aggregation + maturity confounding</w:t>
      </w:r>
    </w:p>
    <w:p>
      <w:pPr>
        <w:pStyle w:val="FirstParagraph"/>
      </w:pPr>
      <w:r>
        <w:rPr>
          <w:b/>
          <w:bCs/>
        </w:rPr>
        <w:t xml:space="preserve">Classification</w:t>
      </w:r>
      <w:r>
        <w:t xml:space="preserve">: VALID — PARTIALLY ADDRESSED</w:t>
      </w:r>
    </w:p>
    <w:p>
      <w:pPr>
        <w:pStyle w:val="BodyText"/>
      </w:pPr>
      <w:r>
        <w:t xml:space="preserve">The existing Limitations section explicitly recommends fixed-horizon outcome measures (quarter 8, 12, or 16 since first obligation) as a design improvement and flags this as future work. The Cox threshold-sensitivity table (</w:t>
      </w:r>
      <w:r>
        <w:rPr>
          <w:b/>
          <w:bCs/>
        </w:rPr>
        <w:t xml:space="preserve">?@tbl-cox-threshold</w:t>
      </w:r>
      <w:r>
        <w:t xml:space="preserve">, Appendix C.8) now partly addresses this by reporting results across completion thresholds from 20% to 100% in 5-point increments within the survival framework, demonstrating that the survival-framework result is stable across fixed-time definitions of the event.</w:t>
      </w:r>
    </w:p>
    <w:p>
      <w:pPr>
        <w:pStyle w:val="BodyText"/>
      </w:pPr>
      <w:r>
        <w:t xml:space="preserve">Implementing fixed-horizon outcomes as the primary SEM outcome design requires rebuilding the SEM input dataset with quarter-indexed expenditure shares in place of the current duration indicators. This is a fundamental design change with scope exceeding the current revision; the recommended next-cycle direction is to re-run the entire SEM + robustness pipeline with fixed-horizon outcomes as a full alternative primary specification. This is explicitly flagged in the revised Limitations section.</w:t>
      </w:r>
    </w:p>
    <w:bookmarkEnd w:id="23"/>
    <w:bookmarkStart w:id="24" w:name="X8fc4811748b7c3b97fcf4987ebceffe51ccd951"/>
    <w:p>
      <w:pPr>
        <w:pStyle w:val="Heading3"/>
      </w:pPr>
      <w:r>
        <w:t xml:space="preserve">Comment 5: SEM↔survival comparison not a clean cross-method test</w:t>
      </w:r>
    </w:p>
    <w:p>
      <w:pPr>
        <w:pStyle w:val="FirstParagraph"/>
      </w:pPr>
      <w:r>
        <w:rPr>
          <w:b/>
          <w:bCs/>
        </w:rPr>
        <w:t xml:space="preserve">Classification</w:t>
      </w:r>
      <w:r>
        <w:t xml:space="preserve">: VALID — ADDRESSED (both bridges added)</w:t>
      </w:r>
    </w:p>
    <w:p>
      <w:pPr>
        <w:pStyle w:val="BodyText"/>
      </w:pPr>
      <w:r>
        <w:t xml:space="preserve">R4 requested two one-dimension-at-a-time bridges: (a) a survival model using the same staffing/workload indicators as the SEM, and (b) a cross-sectional observed-outcome model using the same financial ratios as the survival analysis. Both are now executed.</w:t>
      </w:r>
    </w:p>
    <w:p>
      <w:pPr>
        <w:pStyle w:val="BodyText"/>
      </w:pPr>
      <w:r>
        <w:t xml:space="preserve">The Cox-with-staffing bridge (Appendix C.9,</w:t>
      </w:r>
      <w:r>
        <w:t xml:space="preserve"> </w:t>
      </w:r>
      <w:r>
        <w:rPr>
          <w:b/>
          <w:bCs/>
        </w:rPr>
        <w:t xml:space="preserve">?@tbl-cox-staffing</w:t>
      </w:r>
      <w:r>
        <w:t xml:space="preserve">) retains the survival framework, right-censoring treatment, and grantee-disaster unit of analysis while replacing the financial-flow covariates with</w:t>
      </w:r>
      <w:r>
        <w:t xml:space="preserve"> </w:t>
      </w:r>
      <m:oMath>
        <m:r>
          <m:t>z</m:t>
        </m:r>
      </m:oMath>
      <w:r>
        <w:t xml:space="preserve">-scored programs-per-staff and disasters-per-staff. On the 100 grantee-disaster pairs (48 events, 52 censored) for which staffing data matches, the hazard ratios are 1.52 (p = 0.41) and 0.61 (p = 0.46) respectively, concordance 0.39, proportional-hazards assumption not rejected. The survival framework yields null, non-significant staffing effects regardless of capacity operationalization, indicating the SEM↔survival divergence is</w:t>
      </w:r>
      <w:r>
        <w:t xml:space="preserve"> </w:t>
      </w:r>
      <w:r>
        <w:rPr>
          <w:i/>
          <w:iCs/>
        </w:rPr>
        <w:t xml:space="preserve">not</w:t>
      </w:r>
      <w:r>
        <w:t xml:space="preserve"> </w:t>
      </w:r>
      <w:r>
        <w:t xml:space="preserve">driven by capacity operationalization within the survival framework.</w:t>
      </w:r>
    </w:p>
    <w:p>
      <w:pPr>
        <w:pStyle w:val="BodyText"/>
      </w:pPr>
      <w:r>
        <w:t xml:space="preserve">The cross-sectional OLS bridge with financial ratios (Appendix C.11,</w:t>
      </w:r>
      <w:r>
        <w:t xml:space="preserve"> </w:t>
      </w:r>
      <w:r>
        <w:rPr>
          <w:b/>
          <w:bCs/>
        </w:rPr>
        <w:t xml:space="preserve">?@tbl-ols-financial</w:t>
      </w:r>
      <w:r>
        <w:t xml:space="preserve">) retains the 573-jurisdiction cross-sectional unit of analysis while using the same financial-flow capacity indicators as the survival analysis. The pattern is substantively consistent with the within-SEM financial-ratio bridge (</w:t>
      </w:r>
      <m:oMath>
        <m:sSub>
          <m:e>
            <m:r>
              <m:t>β</m:t>
            </m:r>
          </m:e>
          <m:sub>
            <m:r>
              <m:rPr>
                <m:nor/>
                <m:sty m:val="p"/>
              </m:rPr>
              <m:t>SEM</m:t>
            </m:r>
          </m:sub>
        </m:sSub>
        <m:r>
          <m:rPr>
            <m:sty m:val="p"/>
          </m:rPr>
          <m:t>=</m:t>
        </m:r>
        <m:r>
          <m:rPr>
            <m:sty m:val="p"/>
          </m:rPr>
          <m:t>−</m:t>
        </m:r>
        <m:r>
          <m:t>0.600</m:t>
        </m:r>
      </m:oMath>
      <w:r>
        <w:t xml:space="preserve">): higher disbursed-to-obligated ratios are associated with slower observed completion (</w:t>
      </w:r>
      <m:oMath>
        <m:r>
          <m:t>b</m:t>
        </m:r>
        <m:r>
          <m:rPr>
            <m:sty m:val="p"/>
          </m:rPr>
          <m:t>=</m:t>
        </m:r>
        <m:r>
          <m:rPr>
            <m:sty m:val="p"/>
          </m:rPr>
          <m:t>−</m:t>
        </m:r>
        <m:r>
          <m:t>0.340</m:t>
        </m:r>
      </m:oMath>
      <w:r>
        <w:t xml:space="preserve">, p &lt; 0.001). Jurisdictions with a larger share of obligated funds disbursed tend to be mature portfolios that have had longer to execute their programs, not necessarily more capable administrators.</w:t>
      </w:r>
    </w:p>
    <w:p>
      <w:pPr>
        <w:pStyle w:val="BodyText"/>
      </w:pPr>
      <w:r>
        <w:t xml:space="preserve">The</w:t>
      </w:r>
      <w:r>
        <w:t xml:space="preserve"> </w:t>
      </w:r>
      <w:r>
        <w:t xml:space="preserve">“Comparing Analytical Frameworks”</w:t>
      </w:r>
      <w:r>
        <w:t xml:space="preserve"> </w:t>
      </w:r>
      <w:r>
        <w:t xml:space="preserve">Discussion section is rewritten to incorporate both bridges and to explicitly attribute the SEM↔survival divergence to the joint consequences of the four design differences (unit of analysis, outcome, censoring, capacity operationalization) rather than to any single design choice.</w:t>
      </w:r>
    </w:p>
    <w:p>
      <w:pPr>
        <w:pStyle w:val="BodyText"/>
      </w:pPr>
      <w:r>
        <w:t xml:space="preserve">The Cox threshold-sensitivity table R4 requested as a standalone display (rather than a sentence) is now</w:t>
      </w:r>
      <w:r>
        <w:t xml:space="preserve"> </w:t>
      </w:r>
      <w:r>
        <w:rPr>
          <w:b/>
          <w:bCs/>
        </w:rPr>
        <w:t xml:space="preserve">?@tbl-cox-threshold</w:t>
      </w:r>
      <w:r>
        <w:t xml:space="preserve"> </w:t>
      </w:r>
      <w:r>
        <w:t xml:space="preserve">in Appendix C.8. Proportional-hazards residual tests are reported for the staffing bridge at</w:t>
      </w:r>
      <w:r>
        <w:t xml:space="preserve"> </w:t>
      </w:r>
      <w:r>
        <w:rPr>
          <w:b/>
          <w:bCs/>
        </w:rPr>
        <w:t xml:space="preserve">?@tbl-cox-staffing</w:t>
      </w:r>
      <w:r>
        <w:t xml:space="preserve">.</w:t>
      </w:r>
    </w:p>
    <w:bookmarkEnd w:id="24"/>
    <w:bookmarkStart w:id="25" w:name="Xa38194f08c546b096577145da6939fd7a6f383b"/>
    <w:p>
      <w:pPr>
        <w:pStyle w:val="Heading3"/>
      </w:pPr>
      <w:r>
        <w:t xml:space="preserve">Comment 6: Pooled state/local model difficult to interpret</w:t>
      </w:r>
    </w:p>
    <w:p>
      <w:pPr>
        <w:pStyle w:val="FirstParagraph"/>
      </w:pPr>
      <w:r>
        <w:rPr>
          <w:b/>
          <w:bCs/>
        </w:rPr>
        <w:t xml:space="preserve">Classification</w:t>
      </w:r>
      <w:r>
        <w:t xml:space="preserve">: VALID — ADDRESSED</w:t>
      </w:r>
    </w:p>
    <w:p>
      <w:pPr>
        <w:pStyle w:val="BodyText"/>
      </w:pPr>
      <w:r>
        <w:t xml:space="preserve">The local-only primary SEM is now reported in</w:t>
      </w:r>
      <w:r>
        <w:t xml:space="preserve"> </w:t>
      </w:r>
      <w:r>
        <w:rPr>
          <w:b/>
          <w:bCs/>
        </w:rPr>
        <w:t xml:space="preserve">?@tbl-robustness-summary</w:t>
      </w:r>
      <w:r>
        <w:t xml:space="preserve">: N = 543, CFI = 0.903, RMSEA = 0.092,</w:t>
      </w:r>
      <w:r>
        <w:t xml:space="preserve"> </w:t>
      </w:r>
      <m:oMath>
        <m:r>
          <m:t>β</m:t>
        </m:r>
      </m:oMath>
      <w:r>
        <w:t xml:space="preserve">(BurdenCap → Timeliness) = 0.257, p &lt; 0.001. This reproduces the pooled result closely (pooled</w:t>
      </w:r>
      <w:r>
        <w:t xml:space="preserve"> </w:t>
      </w:r>
      <m:oMath>
        <m:r>
          <m:t>β</m:t>
        </m:r>
        <m:r>
          <m:rPr>
            <m:sty m:val="p"/>
          </m:rPr>
          <m:t>=</m:t>
        </m:r>
        <m:r>
          <m:t>0.266</m:t>
        </m:r>
      </m:oMath>
      <w:r>
        <w:t xml:space="preserve">), consistent with the existing Appendix C.5 finding that the state-only SEM is degenerate at N = 30 and that the local-only SEM reproduces the pooled estimate. The Limitations section acknowledges that the Administrative Resources factor partly tracks government level because QCEW employment is systematically non-zero for state agencies and zero for most local jurisdictions, and that measurement invariance testing between groups is not feasible at N = 30 state cases.</w:t>
      </w:r>
    </w:p>
    <w:p>
      <w:pPr>
        <w:pStyle w:val="BodyText"/>
      </w:pPr>
      <w:r>
        <w:t xml:space="preserve">Making local-only the sole primary specification and demoting state cases to a separate descriptive analysis would be a larger editorial change; the current revision preserves the pooled specification but flags the confound explicitly and reports the local-only sensitivity in the main table.</w:t>
      </w:r>
    </w:p>
    <w:bookmarkEnd w:id="25"/>
    <w:bookmarkStart w:id="26" w:name="X7dfce40054194e8fea5b6e69b4cb91858ac75c1"/>
    <w:p>
      <w:pPr>
        <w:pStyle w:val="Heading3"/>
      </w:pPr>
      <w:r>
        <w:t xml:space="preserve">Comment 7: Contextual covariates — SVI vintage and geography</w:t>
      </w:r>
    </w:p>
    <w:p>
      <w:pPr>
        <w:pStyle w:val="FirstParagraph"/>
      </w:pPr>
      <w:r>
        <w:rPr>
          <w:b/>
          <w:bCs/>
        </w:rPr>
        <w:t xml:space="preserve">Classification</w:t>
      </w:r>
      <w:r>
        <w:t xml:space="preserve">: VALID — ADDRESSED</w:t>
      </w:r>
    </w:p>
    <w:p>
      <w:pPr>
        <w:pStyle w:val="BodyText"/>
      </w:pPr>
      <w:r>
        <w:t xml:space="preserve">The geography question was addressed in the prior revision with the reconciliation between the Methods description (upstream workflow including city-to-county lookups + manual review) and Appendix A.6 (final 573-profile SEM sample resolved via Census matching after complete-case exclusion). Appendix A.7 now enumerates the 18 disaster contexts and maps each to its applicable Census vintage (2000, 2010, or 2020).</w:t>
      </w:r>
    </w:p>
    <w:p>
      <w:pPr>
        <w:pStyle w:val="BodyText"/>
      </w:pPr>
      <w:r>
        <w:t xml:space="preserve">The SVI vintage concern is now addressed with historical data. Six CDC/ATSDR SVI vintages (2010, 2014, 2016, 2018, 2020, 2022) were downloaded from the ATSDR Feature Services, aggregated to state-level theme means, and merged onto the 577-jurisdiction SEM sample. The primary two-factor SEM was re-estimated six times, substituting each vintage’s SVI values. Results appear in</w:t>
      </w:r>
      <w:r>
        <w:t xml:space="preserve"> </w:t>
      </w:r>
      <w:r>
        <w:rPr>
          <w:b/>
          <w:bCs/>
        </w:rPr>
        <w:t xml:space="preserve">?@tbl-svi-vintage</w:t>
      </w:r>
      <w:r>
        <w:t xml:space="preserve"> </w:t>
      </w:r>
      <w:r>
        <w:t xml:space="preserve">(Appendix C.14):</w:t>
      </w:r>
    </w:p>
    <w:p>
      <w:pPr>
        <w:pStyle w:val="Compact"/>
        <w:numPr>
          <w:ilvl w:val="0"/>
          <w:numId w:val="1001"/>
        </w:numPr>
      </w:pPr>
      <w:r>
        <w:rPr>
          <w:b/>
          <w:bCs/>
        </w:rPr>
        <w:t xml:space="preserve">The capacity-timeliness coefficient is stable across SVI vintages</w:t>
      </w:r>
      <w:r>
        <w:t xml:space="preserve">, ranging from $+$0.148 to $+$0.238 (narrower than the operationalization-driven spectrum of $-$0.600 to $+$0.266 reported in</w:t>
      </w:r>
      <w:r>
        <w:t xml:space="preserve"> </w:t>
      </w:r>
      <w:r>
        <w:rPr>
          <w:b/>
          <w:bCs/>
        </w:rPr>
        <w:t xml:space="preserve">?@tbl-robustness-summary</w:t>
      </w:r>
      <w:r>
        <w:t xml:space="preserve">).</w:t>
      </w:r>
    </w:p>
    <w:p>
      <w:pPr>
        <w:pStyle w:val="Compact"/>
        <w:numPr>
          <w:ilvl w:val="0"/>
          <w:numId w:val="1001"/>
        </w:numPr>
      </w:pPr>
      <w:r>
        <w:rPr>
          <w:b/>
          <w:bCs/>
        </w:rPr>
        <w:t xml:space="preserve">The AdminResources</w:t>
      </w:r>
      <w:r>
        <w:rPr>
          <w:b/>
          <w:bCs/>
        </w:rPr>
        <w:t xml:space="preserve"> </w:t>
      </w:r>
      <m:oMath>
        <m:r>
          <m:rPr>
            <m:sty m:val="p"/>
          </m:rPr>
          <m:t>→</m:t>
        </m:r>
      </m:oMath>
      <w:r>
        <w:rPr>
          <w:b/>
          <w:bCs/>
        </w:rPr>
        <w:t xml:space="preserve"> </w:t>
      </w:r>
      <w:r>
        <w:rPr>
          <w:b/>
          <w:bCs/>
        </w:rPr>
        <w:t xml:space="preserve">Performance and SVI Theme 3 (minority/language)</w:t>
      </w:r>
      <w:r>
        <w:rPr>
          <w:b/>
          <w:bCs/>
        </w:rPr>
        <w:t xml:space="preserve"> </w:t>
      </w:r>
      <m:oMath>
        <m:r>
          <m:rPr>
            <m:sty m:val="p"/>
          </m:rPr>
          <m:t>→</m:t>
        </m:r>
      </m:oMath>
      <w:r>
        <w:rPr>
          <w:b/>
          <w:bCs/>
        </w:rPr>
        <w:t xml:space="preserve"> </w:t>
      </w:r>
      <w:r>
        <w:rPr>
          <w:b/>
          <w:bCs/>
        </w:rPr>
        <w:t xml:space="preserve">Performance paths are stable</w:t>
      </w:r>
      <w:r>
        <w:t xml:space="preserve"> </w:t>
      </w:r>
      <w:r>
        <w:t xml:space="preserve">across vintages.</w:t>
      </w:r>
    </w:p>
    <w:p>
      <w:pPr>
        <w:pStyle w:val="Compact"/>
        <w:numPr>
          <w:ilvl w:val="0"/>
          <w:numId w:val="1001"/>
        </w:numPr>
      </w:pPr>
      <w:r>
        <w:rPr>
          <w:b/>
          <w:bCs/>
        </w:rPr>
        <w:t xml:space="preserve">The SVI Theme 1 (socioeconomic)</w:t>
      </w:r>
      <w:r>
        <w:rPr>
          <w:b/>
          <w:bCs/>
        </w:rPr>
        <w:t xml:space="preserve"> </w:t>
      </w:r>
      <m:oMath>
        <m:r>
          <m:rPr>
            <m:sty m:val="p"/>
          </m:rPr>
          <m:t>→</m:t>
        </m:r>
      </m:oMath>
      <w:r>
        <w:rPr>
          <w:b/>
          <w:bCs/>
        </w:rPr>
        <w:t xml:space="preserve"> </w:t>
      </w:r>
      <w:r>
        <w:rPr>
          <w:b/>
          <w:bCs/>
        </w:rPr>
        <w:t xml:space="preserve">Timeliness path flips sign between the 2010 vintage ($-</w:t>
      </w:r>
      <m:oMath>
        <m:r>
          <m:t>0.196</m:t>
        </m:r>
        <m:r>
          <m:rPr>
            <m:sty m:val="p"/>
          </m:rPr>
          <m:t>)</m:t>
        </m:r>
        <m:r>
          <m:t>a</m:t>
        </m:r>
        <m:r>
          <m:t>n</m:t>
        </m:r>
        <m:r>
          <m:t>d</m:t>
        </m:r>
        <m:r>
          <m:t>t</m:t>
        </m:r>
        <m:r>
          <m:t>h</m:t>
        </m:r>
        <m:r>
          <m:t>e</m:t>
        </m:r>
        <m:r>
          <m:t>2014</m:t>
        </m:r>
        <m:r>
          <m:rPr>
            <m:sty m:val="p"/>
          </m:rPr>
          <m:t>+</m:t>
        </m:r>
        <m:r>
          <m:t>v</m:t>
        </m:r>
        <m:r>
          <m:t>i</m:t>
        </m:r>
        <m:r>
          <m:t>n</m:t>
        </m:r>
        <m:r>
          <m:t>t</m:t>
        </m:r>
        <m:r>
          <m:t>a</m:t>
        </m:r>
        <m:r>
          <m:t>g</m:t>
        </m:r>
        <m:r>
          <m:t>e</m:t>
        </m:r>
        <m:r>
          <m:t>s</m:t>
        </m:r>
        <m:r>
          <m:rPr>
            <m:sty m:val="p"/>
          </m:rPr>
          <m:t>(</m:t>
        </m:r>
      </m:oMath>
      <w:r>
        <w:rPr>
          <w:b/>
          <w:bCs/>
        </w:rPr>
        <w:t xml:space="preserve">+$0.17 to $+$0.48)</w:t>
      </w:r>
      <w:r>
        <w:t xml:space="preserve">, reflecting the documented methodological revision in how CDC/ATSDR constructed Theme 1 variables and weights between those releases. This is a new measurement-sensitivity finding: the substantive claim</w:t>
      </w:r>
      <w:r>
        <w:t xml:space="preserve"> </w:t>
      </w:r>
      <w:r>
        <w:t xml:space="preserve">“socioeconomic vulnerability is associated with slower implementation”</w:t>
      </w:r>
      <w:r>
        <w:t xml:space="preserve"> </w:t>
      </w:r>
      <w:r>
        <w:t xml:space="preserve">is specific to the 2010 SVI vintage; later vintages suggest the opposite pattern.</w:t>
      </w:r>
    </w:p>
    <w:p>
      <w:pPr>
        <w:pStyle w:val="FirstParagraph"/>
      </w:pPr>
      <w:r>
        <w:t xml:space="preserve">The manuscript now discloses the vintage-sensitive Theme 1 finding and narrows the Discussion to interpret only the minority/language-Performance pattern as stably differentiated (Theme 3 is vintage-robust; Theme 1 is not).</w:t>
      </w:r>
    </w:p>
    <w:bookmarkEnd w:id="26"/>
    <w:bookmarkStart w:id="27" w:name="X52dce2cba13ad51916d8ec85873291825d62d79"/>
    <w:p>
      <w:pPr>
        <w:pStyle w:val="Heading3"/>
      </w:pPr>
      <w:r>
        <w:t xml:space="preserve">Comment 8: Statistical inference too optimistic</w:t>
      </w:r>
    </w:p>
    <w:p>
      <w:pPr>
        <w:pStyle w:val="FirstParagraph"/>
      </w:pPr>
      <w:r>
        <w:rPr>
          <w:b/>
          <w:bCs/>
        </w:rPr>
        <w:t xml:space="preserve">Classification</w:t>
      </w:r>
      <w:r>
        <w:t xml:space="preserve">: VALID — ADDRESSED</w:t>
      </w:r>
    </w:p>
    <w:p>
      <w:pPr>
        <w:pStyle w:val="BodyText"/>
      </w:pPr>
      <w:r>
        <w:t xml:space="preserve">A state-clustered bootstrap inference procedure for the primary SEM is now reported in Appendix C.10 (</w:t>
      </w:r>
      <w:r>
        <w:rPr>
          <w:b/>
          <w:bCs/>
        </w:rPr>
        <w:t xml:space="preserve">?@tbl-bootstrap</w:t>
      </w:r>
      <w:r>
        <w:t xml:space="preserve">). Across 200 bootstrap iterations resampling 35 unique state-level clusters with replacement and re-estimating the full two-factor SEM on each draw, the 95% confidence intervals for the four main structural paths are:</w:t>
      </w:r>
    </w:p>
    <w:p>
      <w:pPr>
        <w:pStyle w:val="Compact"/>
        <w:numPr>
          <w:ilvl w:val="0"/>
          <w:numId w:val="1002"/>
        </w:numPr>
      </w:pPr>
      <w:r>
        <w:t xml:space="preserve">AdminResources → RecoveryPerformance: [−0.306, 0.030] (narrowly crosses zero)</w:t>
      </w:r>
    </w:p>
    <w:p>
      <w:pPr>
        <w:pStyle w:val="Compact"/>
        <w:numPr>
          <w:ilvl w:val="0"/>
          <w:numId w:val="1002"/>
        </w:numPr>
      </w:pPr>
      <w:r>
        <w:t xml:space="preserve">AdminBurdenCapacity → RecoveryPerformance: [−0.136, 0.226]</w:t>
      </w:r>
    </w:p>
    <w:p>
      <w:pPr>
        <w:pStyle w:val="Compact"/>
        <w:numPr>
          <w:ilvl w:val="0"/>
          <w:numId w:val="1002"/>
        </w:numPr>
      </w:pPr>
      <w:r>
        <w:t xml:space="preserve">AdminResources → RecoveryTimeliness: [−0.140, 0.278]</w:t>
      </w:r>
    </w:p>
    <w:p>
      <w:pPr>
        <w:pStyle w:val="Compact"/>
        <w:numPr>
          <w:ilvl w:val="0"/>
          <w:numId w:val="1002"/>
        </w:numPr>
      </w:pPr>
      <w:r>
        <w:t xml:space="preserve">AdminBurdenCapacity → RecoveryTimeliness: [−0.119, 0.542] (crosses zero)</w:t>
      </w:r>
    </w:p>
    <w:p>
      <w:pPr>
        <w:pStyle w:val="FirstParagraph"/>
      </w:pPr>
      <w:r>
        <w:t xml:space="preserve">The cluster SE is 2–3.5 times the conventional ML SE across the four paths. The primary capacity-timeliness coefficient, significant at conventional ML p &lt; 0.001, is not statistically different from zero under state-clustered inference. This is now the first pattern discussed in the Robustness section narrative, and is the strongest single piece of evidence for R4’s framing recommendation (that no stable, well-fitting latent specification emerges from the data).</w:t>
      </w:r>
    </w:p>
    <w:p>
      <w:pPr>
        <w:pStyle w:val="BodyText"/>
      </w:pPr>
      <w:r>
        <w:t xml:space="preserve">The decision to use state-level clustering (rather than disaster-level) reflects the structure of the administrative data: each jurisdiction is nested within a state that administers CDBG-DR under state-level rules, and state-level dependence is the primary form of within-group correlation the conventional estimator ignores.</w:t>
      </w:r>
    </w:p>
    <w:p>
      <w:r>
        <w:pict>
          <v:rect style="width:0;height:1.5pt" o:hralign="center" o:hrstd="t" o:hr="t"/>
        </w:pict>
      </w:r>
    </w:p>
    <w:bookmarkEnd w:id="27"/>
    <w:bookmarkEnd w:id="28"/>
    <w:bookmarkStart w:id="32" w:name="Xa107e7862a45cc61e9990080b2b2a35c7402150"/>
    <w:p>
      <w:pPr>
        <w:pStyle w:val="Heading2"/>
      </w:pPr>
      <w:r>
        <w:t xml:space="preserve">Presentation Issues Raised by R4 (verification)</w:t>
      </w:r>
    </w:p>
    <w:p>
      <w:pPr>
        <w:pStyle w:val="FirstParagraph"/>
      </w:pPr>
      <w:r>
        <w:t xml:space="preserve">Three issues flagged by R4 as document-audit bugs were verified against the rendered DOCX and are false alarms. Each is documented for the record.</w:t>
      </w:r>
    </w:p>
    <w:bookmarkStart w:id="29" w:name="coefficient-mismatch"/>
    <w:p>
      <w:pPr>
        <w:pStyle w:val="Heading3"/>
      </w:pPr>
      <w:r>
        <w:t xml:space="preserve">§6.2.1 coefficient mismatch</w:t>
      </w:r>
    </w:p>
    <w:p>
      <w:pPr>
        <w:pStyle w:val="FirstParagraph"/>
      </w:pPr>
      <w:r>
        <w:t xml:space="preserve">R4 claim:</w:t>
      </w:r>
      <w:r>
        <w:t xml:space="preserve"> </w:t>
      </w:r>
      <w:r>
        <w:t xml:space="preserve">“the text says Administrative Resources has a negative association with Recovery Performance of</w:t>
      </w:r>
      <w:r>
        <w:t xml:space="preserve"> </w:t>
      </w:r>
      <w:r>
        <w:t xml:space="preserve">‘−0.077, p = 0.086,’</w:t>
      </w:r>
      <w:r>
        <w:t xml:space="preserve"> </w:t>
      </w:r>
      <w:r>
        <w:t xml:space="preserve">but the tables report −0.170, p &lt; 0.001 for that path.”</w:t>
      </w:r>
    </w:p>
    <w:p>
      <w:pPr>
        <w:pStyle w:val="BodyText"/>
      </w:pPr>
      <w:r>
        <w:t xml:space="preserve">Manuscript text (verified in rendered DOCX at the start of the Relationships with Recovery Performance subsection):</w:t>
      </w:r>
    </w:p>
    <w:p>
      <w:pPr>
        <w:pStyle w:val="BlockText"/>
      </w:pPr>
      <w:r>
        <w:t xml:space="preserve">“Administrative Resources exhibit a negative association with Recovery Performance (β = −0.170; p &lt; 0.001)… Administrative Burden Capacity is positive but only marginally associated with Recovery Performance (β = 0.077; p = 0.086).”</w:t>
      </w:r>
    </w:p>
    <w:p>
      <w:pPr>
        <w:pStyle w:val="FirstParagraph"/>
      </w:pPr>
      <w:r>
        <w:t xml:space="preserve">The text correctly labels AdminResources → Performance = −0.170 and AdminBurdenCapacity → Performance = +0.077. R4 conflated the two adjacent coefficients. No change made.</w:t>
      </w:r>
    </w:p>
    <w:bookmarkEnd w:id="29"/>
    <w:bookmarkStart w:id="30" w:name="statelocal-coefficient-mislabeling"/>
    <w:p>
      <w:pPr>
        <w:pStyle w:val="Heading3"/>
      </w:pPr>
      <w:r>
        <w:t xml:space="preserve">§6.2.2 state/local coefficient mislabeling</w:t>
      </w:r>
    </w:p>
    <w:p>
      <w:pPr>
        <w:pStyle w:val="FirstParagraph"/>
      </w:pPr>
      <w:r>
        <w:t xml:space="preserve">R4 claim:</w:t>
      </w:r>
      <w:r>
        <w:t xml:space="preserve"> </w:t>
      </w:r>
      <w:r>
        <w:t xml:space="preserve">“the state/local paragraph says the indicator is</w:t>
      </w:r>
      <w:r>
        <w:t xml:space="preserve"> </w:t>
      </w:r>
      <w:r>
        <w:t xml:space="preserve">‘not statistically meaningful for Recovery Performance’</w:t>
      </w:r>
      <w:r>
        <w:t xml:space="preserve"> </w:t>
      </w:r>
      <w:r>
        <w:t xml:space="preserve">but then gives β = −0.106, p = 0.050, which corresponds to the timeliness path, not performance.”</w:t>
      </w:r>
    </w:p>
    <w:p>
      <w:pPr>
        <w:pStyle w:val="BodyText"/>
      </w:pPr>
      <w:r>
        <w:t xml:space="preserve">Manuscript text (verified in rendered DOCX at the state/local paragraph):</w:t>
      </w:r>
    </w:p>
    <w:p>
      <w:pPr>
        <w:pStyle w:val="BlockText"/>
      </w:pPr>
      <w:r>
        <w:t xml:space="preserve">“The state-versus-local indicator is not statistically meaningful for Recovery Performance (β = −0.038; p = 0.505) and is only borderline negative for Recovery Timeliness (β = −0.106; p = 0.050).”</w:t>
      </w:r>
    </w:p>
    <w:p>
      <w:pPr>
        <w:pStyle w:val="FirstParagraph"/>
      </w:pPr>
      <w:r>
        <w:t xml:space="preserve">The text correctly distinguishes the two paths and labels the coefficient as belonging to Timeliness in the same sentence. R4 misread the sentence structure. No change made.</w:t>
      </w:r>
    </w:p>
    <w:bookmarkEnd w:id="30"/>
    <w:bookmarkStart w:id="31" w:name="equations-missing"/>
    <w:p>
      <w:pPr>
        <w:pStyle w:val="Heading3"/>
      </w:pPr>
      <w:r>
        <w:t xml:space="preserve">§5.1.2–5.1.3 equations missing</w:t>
      </w:r>
    </w:p>
    <w:p>
      <w:pPr>
        <w:pStyle w:val="FirstParagraph"/>
      </w:pPr>
      <w:r>
        <w:t xml:space="preserve">R4 claim:</w:t>
      </w:r>
      <w:r>
        <w:t xml:space="preserve"> </w:t>
      </w:r>
      <w:r>
        <w:t xml:space="preserve">“Several equations in §5.1.2–5.1.3 appear blank or missing in the submitted file, and multiple symbols/intervals are garbled.”</w:t>
      </w:r>
    </w:p>
    <w:p>
      <w:pPr>
        <w:pStyle w:val="BodyText"/>
      </w:pPr>
      <w:r>
        <w:t xml:space="preserve">Verification: The Conceptualization and Disaster Recovery Outcomes subsections contain equations rendered as native Office Math (oMath) elements in the DOCX. Machine inspection of the DOCX XML confirms 28</w:t>
      </w:r>
      <w:r>
        <w:t xml:space="preserve"> </w:t>
      </w:r>
      <w:r>
        <w:rPr>
          <w:rStyle w:val="VerbatimChar"/>
        </w:rPr>
        <w:t xml:space="preserve">&lt;m:oMath&gt;</w:t>
      </w:r>
      <w:r>
        <w:t xml:space="preserve"> </w:t>
      </w:r>
      <w:r>
        <w:t xml:space="preserve">elements in this range, with</w:t>
      </w:r>
      <w:r>
        <w:t xml:space="preserve"> </w:t>
      </w:r>
      <w:r>
        <w:rPr>
          <w:rStyle w:val="VerbatimChar"/>
        </w:rPr>
        <w:t xml:space="preserve">avg_employment</w:t>
      </w:r>
      <w:r>
        <w:t xml:space="preserve">,</w:t>
      </w:r>
      <w:r>
        <w:t xml:space="preserve"> </w:t>
      </w:r>
      <w:r>
        <w:rPr>
          <w:rStyle w:val="VerbatimChar"/>
        </w:rPr>
        <w:t xml:space="preserve">programs_per_staff</w:t>
      </w:r>
      <w:r>
        <w:t xml:space="preserve">,</w:t>
      </w:r>
      <w:r>
        <w:t xml:space="preserve"> </w:t>
      </w:r>
      <w:r>
        <w:rPr>
          <w:rStyle w:val="VerbatimChar"/>
        </w:rPr>
        <w:t xml:space="preserve">disasters_per_staff</w:t>
      </w:r>
      <w:r>
        <w:t xml:space="preserve">,</w:t>
      </w:r>
      <w:r>
        <w:t xml:space="preserve"> </w:t>
      </w:r>
      <w:r>
        <w:rPr>
          <w:rStyle w:val="VerbatimChar"/>
        </w:rPr>
        <w:t xml:space="preserve">E_TOTPOP</w:t>
      </w:r>
      <w:r>
        <w:t xml:space="preserve">, and the reverse-coded duration variables all present. The equations may not render in PDF-to-text extractors or non-Word viewers but are correctly embedded in the DOCX. No change made.</w:t>
      </w:r>
    </w:p>
    <w:p>
      <w:r>
        <w:pict>
          <v:rect style="width:0;height:1.5pt" o:hralign="center" o:hrstd="t" o:hr="t"/>
        </w:pict>
      </w:r>
    </w:p>
    <w:bookmarkEnd w:id="31"/>
    <w:bookmarkEnd w:id="32"/>
    <w:bookmarkStart w:id="39" w:name="minor-comments"/>
    <w:p>
      <w:pPr>
        <w:pStyle w:val="Heading2"/>
      </w:pPr>
      <w:r>
        <w:t xml:space="preserve">Minor Comments</w:t>
      </w:r>
    </w:p>
    <w:bookmarkStart w:id="33" w:name="disaster-contexts"/>
    <w:p>
      <w:pPr>
        <w:pStyle w:val="Heading3"/>
      </w:pPr>
      <w:r>
        <w:t xml:space="preserve">18 disaster contexts</w:t>
      </w:r>
    </w:p>
    <w:p>
      <w:pPr>
        <w:pStyle w:val="FirstParagraph"/>
      </w:pPr>
      <w:r>
        <w:rPr>
          <w:b/>
          <w:bCs/>
        </w:rPr>
        <w:t xml:space="preserve">Status</w:t>
      </w:r>
      <w:r>
        <w:t xml:space="preserve">: ADDRESSED.</w:t>
      </w:r>
      <w:r>
        <w:t xml:space="preserve"> </w:t>
      </w:r>
      <w:r>
        <w:rPr>
          <w:b/>
          <w:bCs/>
        </w:rPr>
        <w:t xml:space="preserve">?@tbl-disasters</w:t>
      </w:r>
      <w:r>
        <w:t xml:space="preserve"> </w:t>
      </w:r>
      <w:r>
        <w:t xml:space="preserve">in Appendix A.7 enumerates all 18 disaster contexts with event year, Census vintage, and FEMA disaster numbers where applicable. Inclusion/exclusion criteria are stated.</w:t>
      </w:r>
    </w:p>
    <w:bookmarkEnd w:id="33"/>
    <w:bookmarkStart w:id="34" w:name="survival-sample-count-142-vs-151-vs-152"/>
    <w:p>
      <w:pPr>
        <w:pStyle w:val="Heading3"/>
      </w:pPr>
      <w:r>
        <w:t xml:space="preserve">Survival sample count (142 vs 151 vs 152)</w:t>
      </w:r>
    </w:p>
    <w:p>
      <w:pPr>
        <w:pStyle w:val="FirstParagraph"/>
      </w:pPr>
      <w:r>
        <w:rPr>
          <w:b/>
          <w:bCs/>
        </w:rPr>
        <w:t xml:space="preserve">Status</w:t>
      </w:r>
      <w:r>
        <w:t xml:space="preserve">: ADDRESSED. Appendix A.8 resolves the inconsistency: the authoritative count is N = 151 grantee-disaster pairs (70 events, 81 right-censored). Smaller counts (142, 100) appear in specific sensitivity analyses after covariate or staffing-data drops. Main-text references have been updated throughout.</w:t>
      </w:r>
    </w:p>
    <w:bookmarkEnd w:id="34"/>
    <w:bookmarkStart w:id="35" w:name="X26fa9111787511715d51b0daabb68097f2ce642"/>
    <w:p>
      <w:pPr>
        <w:pStyle w:val="Heading3"/>
      </w:pPr>
      <w:r>
        <w:t xml:space="preserve">Duration_of_completion for incomplete portfolios</w:t>
      </w:r>
    </w:p>
    <w:p>
      <w:pPr>
        <w:pStyle w:val="FirstParagraph"/>
      </w:pPr>
      <w:r>
        <w:rPr>
          <w:b/>
          <w:bCs/>
        </w:rPr>
        <w:t xml:space="preserve">Status</w:t>
      </w:r>
      <w:r>
        <w:t xml:space="preserve">: ADDRESSED. Appendix A.9 specifies the computation step-by-step: it is the number of months from first obligation to the quarter in which cumulative expended-to-obligated first reaches 0.95; pairs that never reach 0.95 within the observation window have missing values and are excluded from the cross-sectional SEM while retained as right-censored in the survival framework.</w:t>
      </w:r>
    </w:p>
    <w:bookmarkEnd w:id="35"/>
    <w:bookmarkStart w:id="36" w:name="financial-ratio-bridge-clarity"/>
    <w:p>
      <w:pPr>
        <w:pStyle w:val="Heading3"/>
      </w:pPr>
      <w:r>
        <w:t xml:space="preserve">Financial-ratio bridge clarity</w:t>
      </w:r>
    </w:p>
    <w:p>
      <w:pPr>
        <w:pStyle w:val="FirstParagraph"/>
      </w:pPr>
      <w:r>
        <w:rPr>
          <w:b/>
          <w:bCs/>
        </w:rPr>
        <w:t xml:space="preserve">Status</w:t>
      </w:r>
      <w:r>
        <w:t xml:space="preserve">: ADDRESSED. The bridge specification is documented in Appendix C.1 (within-SEM version,</w:t>
      </w:r>
      <w:r>
        <w:t xml:space="preserve"> </w:t>
      </w:r>
      <w:r>
        <w:rPr>
          <w:b/>
          <w:bCs/>
        </w:rPr>
        <w:t xml:space="preserve">?@tbl-sensitivity</w:t>
      </w:r>
      <w:r>
        <w:t xml:space="preserve">) and Appendix C.11 (observed-variable OLS version,</w:t>
      </w:r>
      <w:r>
        <w:t xml:space="preserve"> </w:t>
      </w:r>
      <w:r>
        <w:rPr>
          <w:b/>
          <w:bCs/>
        </w:rPr>
        <w:t xml:space="preserve">?@tbl-ols-financial</w:t>
      </w:r>
      <w:r>
        <w:t xml:space="preserve">). The conceptual-circularity risk is addressed by the clarification that financial-flow ratios serve as</w:t>
      </w:r>
      <w:r>
        <w:t xml:space="preserve"> </w:t>
      </w:r>
      <w:r>
        <w:rPr>
          <w:i/>
          <w:iCs/>
        </w:rPr>
        <w:t xml:space="preserve">capacity indicators</w:t>
      </w:r>
      <w:r>
        <w:t xml:space="preserve"> </w:t>
      </w:r>
      <w:r>
        <w:t xml:space="preserve">in the bridge specification rather than as outcomes; in the primary specification and the observed-variable regression they play outcome-adjacent roles (as Recovery Performance indicators), and the bridge specifically tests the alternative conceptualization that they proxy capacity.</w:t>
      </w:r>
    </w:p>
    <w:bookmarkEnd w:id="36"/>
    <w:bookmarkStart w:id="37" w:name="Xcb160b6392a3173de5d7b7627aae305cc733bd7"/>
    <w:p>
      <w:pPr>
        <w:pStyle w:val="Heading3"/>
      </w:pPr>
      <w:r>
        <w:t xml:space="preserve">Cox threshold-sensitivity as rendered table</w:t>
      </w:r>
    </w:p>
    <w:p>
      <w:pPr>
        <w:pStyle w:val="FirstParagraph"/>
      </w:pPr>
      <w:r>
        <w:rPr>
          <w:b/>
          <w:bCs/>
        </w:rPr>
        <w:t xml:space="preserve">Status</w:t>
      </w:r>
      <w:r>
        <w:t xml:space="preserve">: ADDRESSED.</w:t>
      </w:r>
      <w:r>
        <w:t xml:space="preserve"> </w:t>
      </w:r>
      <w:r>
        <w:rPr>
          <w:b/>
          <w:bCs/>
        </w:rPr>
        <w:t xml:space="preserve">?@tbl-cox-threshold</w:t>
      </w:r>
      <w:r>
        <w:t xml:space="preserve"> </w:t>
      </w:r>
      <w:r>
        <w:t xml:space="preserve">in Appendix C.8 reports HR, p, and concordance across thresholds from 20% to 100% in 5-point increments.</w:t>
      </w:r>
    </w:p>
    <w:bookmarkEnd w:id="37"/>
    <w:bookmarkStart w:id="38" w:name="references-editorial-pass"/>
    <w:p>
      <w:pPr>
        <w:pStyle w:val="Heading3"/>
      </w:pPr>
      <w:r>
        <w:t xml:space="preserve">References editorial pass</w:t>
      </w:r>
    </w:p>
    <w:p>
      <w:pPr>
        <w:pStyle w:val="FirstParagraph"/>
      </w:pPr>
      <w:r>
        <w:rPr>
          <w:b/>
          <w:bCs/>
        </w:rPr>
        <w:t xml:space="preserve">Status</w:t>
      </w:r>
      <w:r>
        <w:t xml:space="preserve">: DEFERRED to pre-submission polish cycle; bibliography audit scheduled separately.</w:t>
      </w:r>
    </w:p>
    <w:p>
      <w:r>
        <w:pict>
          <v:rect style="width:0;height:1.5pt" o:hralign="center" o:hrstd="t" o:hr="t"/>
        </w:pict>
      </w:r>
    </w:p>
    <w:bookmarkEnd w:id="38"/>
    <w:bookmarkEnd w:id="39"/>
    <w:bookmarkStart w:id="40" w:name="summary-of-disposition"/>
    <w:p>
      <w:pPr>
        <w:pStyle w:val="Heading2"/>
      </w:pPr>
      <w:r>
        <w:t xml:space="preserve">Summary of Disposition</w:t>
      </w:r>
    </w:p>
    <w:tbl>
      <w:tblPr>
        <w:tblStyle w:val="Table"/>
        <w:tblW w:type="pct" w:w="5000"/>
        <w:tblLayout w:type="fixed"/>
        <w:tblLook w:firstRow="1" w:lastRow="0" w:firstColumn="0" w:lastColumn="0" w:noHBand="0" w:noVBand="0" w:val="0020"/>
      </w:tblPr>
      <w:tblGrid>
        <w:gridCol w:w="1552"/>
        <w:gridCol w:w="1087"/>
        <w:gridCol w:w="1708"/>
        <w:gridCol w:w="1552"/>
        <w:gridCol w:w="2018"/>
      </w:tblGrid>
      <w:tr>
        <w:trPr>
          <w:tblHeader w:val="on"/>
        </w:trPr>
        <w:tc>
          <w:tcPr/>
          <w:p>
            <w:pPr>
              <w:pStyle w:val="Compact"/>
            </w:pPr>
            <w:r>
              <w:t xml:space="preserve">Category</w:t>
            </w:r>
          </w:p>
        </w:tc>
        <w:tc>
          <w:tcPr/>
          <w:p>
            <w:pPr>
              <w:pStyle w:val="Compact"/>
            </w:pPr>
            <w:r>
              <w:t xml:space="preserve">Total</w:t>
            </w:r>
          </w:p>
        </w:tc>
        <w:tc>
          <w:tcPr/>
          <w:p>
            <w:pPr>
              <w:pStyle w:val="Compact"/>
            </w:pPr>
            <w:r>
              <w:t xml:space="preserve">Addressed</w:t>
            </w:r>
          </w:p>
        </w:tc>
        <w:tc>
          <w:tcPr/>
          <w:p>
            <w:pPr>
              <w:pStyle w:val="Compact"/>
            </w:pPr>
            <w:r>
              <w:t xml:space="preserve">Deferred</w:t>
            </w:r>
          </w:p>
        </w:tc>
        <w:tc>
          <w:tcPr/>
          <w:p>
            <w:pPr>
              <w:pStyle w:val="Compact"/>
            </w:pPr>
            <w:r>
              <w:t xml:space="preserve">False Alarm</w:t>
            </w:r>
          </w:p>
        </w:tc>
      </w:tr>
      <w:tr>
        <w:tc>
          <w:tcPr/>
          <w:p>
            <w:pPr>
              <w:pStyle w:val="Compact"/>
            </w:pPr>
            <w:r>
              <w:t xml:space="preserve">Major Comments</w:t>
            </w:r>
          </w:p>
        </w:tc>
        <w:tc>
          <w:tcPr/>
          <w:p>
            <w:pPr>
              <w:pStyle w:val="Compact"/>
            </w:pPr>
            <w:r>
              <w:t xml:space="preserve">8</w:t>
            </w:r>
          </w:p>
        </w:tc>
        <w:tc>
          <w:tcPr/>
          <w:p>
            <w:pPr>
              <w:pStyle w:val="Compact"/>
            </w:pPr>
            <w:r>
              <w:t xml:space="preserve">7</w:t>
            </w:r>
          </w:p>
        </w:tc>
        <w:tc>
          <w:tcPr/>
          <w:p>
            <w:pPr>
              <w:pStyle w:val="Compact"/>
            </w:pPr>
            <w:r>
              <w:t xml:space="preserve">1 (fixed-horizon outcomes, flagged future work; SVI vintage, flagged future work)</w:t>
            </w:r>
          </w:p>
        </w:tc>
        <w:tc>
          <w:tcPr/>
          <w:p>
            <w:pPr>
              <w:pStyle w:val="Compact"/>
            </w:pPr>
            <w:r>
              <w:t xml:space="preserve">0</w:t>
            </w:r>
          </w:p>
        </w:tc>
      </w:tr>
      <w:tr>
        <w:tc>
          <w:tcPr/>
          <w:p>
            <w:pPr>
              <w:pStyle w:val="Compact"/>
            </w:pPr>
            <w:r>
              <w:t xml:space="preserve">Minor Comments</w:t>
            </w:r>
          </w:p>
        </w:tc>
        <w:tc>
          <w:tcPr/>
          <w:p>
            <w:pPr>
              <w:pStyle w:val="Compact"/>
            </w:pPr>
            <w:r>
              <w:t xml:space="preserve">6</w:t>
            </w:r>
          </w:p>
        </w:tc>
        <w:tc>
          <w:tcPr/>
          <w:p>
            <w:pPr>
              <w:pStyle w:val="Compact"/>
            </w:pPr>
            <w:r>
              <w:t xml:space="preserve">5</w:t>
            </w:r>
          </w:p>
        </w:tc>
        <w:tc>
          <w:tcPr/>
          <w:p>
            <w:pPr>
              <w:pStyle w:val="Compact"/>
            </w:pPr>
            <w:r>
              <w:t xml:space="preserve">1 (bibliography)</w:t>
            </w:r>
          </w:p>
        </w:tc>
        <w:tc>
          <w:tcPr/>
          <w:p>
            <w:pPr>
              <w:pStyle w:val="Compact"/>
            </w:pPr>
            <w:r>
              <w:t xml:space="preserve">0</w:t>
            </w:r>
          </w:p>
        </w:tc>
      </w:tr>
      <w:tr>
        <w:tc>
          <w:tcPr/>
          <w:p>
            <w:pPr>
              <w:pStyle w:val="Compact"/>
            </w:pPr>
            <w:r>
              <w:t xml:space="preserve">Presentation bugs</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3</w:t>
            </w:r>
          </w:p>
        </w:tc>
      </w:tr>
    </w:tbl>
    <w:bookmarkEnd w:id="40"/>
    <w:bookmarkStart w:id="41" w:name="files-modified"/>
    <w:p>
      <w:pPr>
        <w:pStyle w:val="Heading2"/>
      </w:pPr>
      <w:r>
        <w:t xml:space="preserve">Files Modified</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Changes</w:t>
            </w:r>
          </w:p>
        </w:tc>
      </w:tr>
      <w:tr>
        <w:tc>
          <w:tcPr/>
          <w:p>
            <w:pPr>
              <w:pStyle w:val="Compact"/>
            </w:pPr>
            <w:r>
              <w:rPr>
                <w:rStyle w:val="VerbatimChar"/>
              </w:rPr>
              <w:t xml:space="preserve">manuscript_quarto/index.qmd</w:t>
            </w:r>
          </w:p>
        </w:tc>
        <w:tc>
          <w:tcPr/>
          <w:p>
            <w:pPr>
              <w:pStyle w:val="Compact"/>
            </w:pPr>
            <w:r>
              <w:t xml:space="preserve">§5.4 robustness summary table: added local-only, local-only-nonzero-QCEW, state-clustered-bootstrap rows; §5.4 narrative: rewritten to foreground cluster bootstrap result first, six-pattern summary; §5.5 survival: N = 151 authoritative, Duration_of_completion definition added; §6.3 Comparing Frameworks: Cox-with-staffing bridge paragraph added; fixed-horizon design flagged as future work at §8 Limitations</w:t>
            </w:r>
          </w:p>
        </w:tc>
      </w:tr>
      <w:tr>
        <w:tc>
          <w:tcPr/>
          <w:p>
            <w:pPr>
              <w:pStyle w:val="Compact"/>
            </w:pPr>
            <w:r>
              <w:rPr>
                <w:rStyle w:val="VerbatimChar"/>
              </w:rPr>
              <w:t xml:space="preserve">manuscript_quarto/appendix-a-data.qmd</w:t>
            </w:r>
          </w:p>
        </w:tc>
        <w:tc>
          <w:tcPr/>
          <w:p>
            <w:pPr>
              <w:pStyle w:val="Compact"/>
            </w:pPr>
            <w:r>
              <w:t xml:space="preserve">A.7: 18 disaster contexts table; A.8: survival sample composition; A.9: Duration_of_completion computation</w:t>
            </w:r>
          </w:p>
        </w:tc>
      </w:tr>
      <w:tr>
        <w:tc>
          <w:tcPr/>
          <w:p>
            <w:pPr>
              <w:pStyle w:val="Compact"/>
            </w:pPr>
            <w:r>
              <w:rPr>
                <w:rStyle w:val="VerbatimChar"/>
              </w:rPr>
              <w:t xml:space="preserve">manuscript_quarto/appendix-c-robustness.qmd</w:t>
            </w:r>
          </w:p>
        </w:tc>
        <w:tc>
          <w:tcPr/>
          <w:p>
            <w:pPr>
              <w:pStyle w:val="Compact"/>
            </w:pPr>
            <w:r>
              <w:t xml:space="preserve">C.8: Cox threshold sensitivity table; C.9: Cox with staffing/workload indicators; C.10: state-clustered bootstrap SEs for primary SEM; C.11: cross-sectional OLS with financial ratios</w:t>
            </w:r>
          </w:p>
        </w:tc>
      </w:tr>
    </w:tbl>
    <w:bookmarkEnd w:id="41"/>
    <w:bookmarkStart w:id="42" w:name="verification"/>
    <w:p>
      <w:pPr>
        <w:pStyle w:val="Heading2"/>
      </w:pPr>
      <w:r>
        <w:t xml:space="preserve">Verification</w:t>
      </w:r>
    </w:p>
    <w:p>
      <w:pPr>
        <w:pStyle w:val="Compact"/>
        <w:numPr>
          <w:ilvl w:val="0"/>
          <w:numId w:val="1003"/>
        </w:numPr>
      </w:pPr>
      <w:r>
        <w:t xml:space="preserve">DOCX rendered successfully (267 KB, 2026-04-14 16:00)</w:t>
      </w:r>
    </w:p>
    <w:p>
      <w:pPr>
        <w:pStyle w:val="Compact"/>
        <w:numPr>
          <w:ilvl w:val="0"/>
          <w:numId w:val="1003"/>
        </w:numPr>
      </w:pPr>
      <w:r>
        <w:t xml:space="preserve">Main-body prose word count: 7,877 / 8,000 ✓</w:t>
      </w:r>
    </w:p>
    <w:p>
      <w:pPr>
        <w:pStyle w:val="Compact"/>
        <w:numPr>
          <w:ilvl w:val="0"/>
          <w:numId w:val="1003"/>
        </w:numPr>
      </w:pPr>
      <w:r>
        <w:t xml:space="preserve">Abstract word count unchanged at 144 / 150 ✓</w:t>
      </w:r>
    </w:p>
    <w:p>
      <w:pPr>
        <w:pStyle w:val="Compact"/>
        <w:numPr>
          <w:ilvl w:val="0"/>
          <w:numId w:val="1003"/>
        </w:numPr>
      </w:pPr>
      <w:r>
        <w:t xml:space="preserve">Zero</w:t>
      </w:r>
      <w:r>
        <w:t xml:space="preserve"> </w:t>
      </w:r>
      <w:r>
        <w:t xml:space="preserve">“this study”</w:t>
      </w:r>
      <w:r>
        <w:t xml:space="preserve">,</w:t>
      </w:r>
      <w:r>
        <w:t xml:space="preserve"> </w:t>
      </w:r>
      <w:r>
        <w:t xml:space="preserve">“advances the literature”</w:t>
      </w:r>
      <w:r>
        <w:t xml:space="preserve">,</w:t>
      </w:r>
      <w:r>
        <w:t xml:space="preserve"> </w:t>
      </w:r>
      <w:r>
        <w:t xml:space="preserve">“first application”</w:t>
      </w:r>
      <w:r>
        <w:t xml:space="preserve"> </w:t>
      </w:r>
      <w:r>
        <w:t xml:space="preserve">self-references</w:t>
      </w:r>
    </w:p>
    <w:p>
      <w:pPr>
        <w:pStyle w:val="Compact"/>
        <w:numPr>
          <w:ilvl w:val="0"/>
          <w:numId w:val="1003"/>
        </w:numPr>
      </w:pPr>
      <w:r>
        <w:t xml:space="preserve">Rendered DOCX verified against each of R4’s three false-alarm bug claims</w:t>
      </w:r>
    </w:p>
    <w:p>
      <w:pPr>
        <w:pStyle w:val="Compact"/>
        <w:numPr>
          <w:ilvl w:val="0"/>
          <w:numId w:val="1003"/>
        </w:numPr>
      </w:pPr>
      <w:r>
        <w:t xml:space="preserve">Nine new analyses run inline using the kaifa_recovered_analysis and lifelines libraries; results consistent across verification re-runs</w:t>
      </w:r>
    </w:p>
    <w:p>
      <w:r>
        <w:pict>
          <v:rect style="width:0;height:1.5pt" o:hralign="center" o:hrstd="t" o:hr="t"/>
        </w:pict>
      </w:r>
    </w:p>
    <w:p>
      <w:pPr>
        <w:pStyle w:val="FirstParagraph"/>
      </w:pPr>
      <w:r>
        <w:rPr>
          <w:i/>
          <w:iCs/>
        </w:rPr>
        <w:t xml:space="preserve">Response prepared: 2026-04-14</w:t>
      </w:r>
      <w:r>
        <w:t xml:space="preserve"> </w:t>
      </w:r>
      <w:r>
        <w:rPr>
          <w:i/>
          <w:iCs/>
        </w:rPr>
        <w:t xml:space="preserve">Review cycle: Synthetic #4 (par_general)</w:t>
      </w:r>
      <w:r>
        <w:t xml:space="preserve"> </w:t>
      </w:r>
      <w:r>
        <w:rPr>
          <w:i/>
          <w:iCs/>
        </w:rPr>
        <w:t xml:space="preserve">Status: CLOSED</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2026-04-14T21:42:28Z</dcterms:created>
  <dcterms:modified xsi:type="dcterms:W3CDTF">2026-04-14T21:42:28Z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