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AAADC" w14:textId="77777777" w:rsidR="007D3AD7" w:rsidRPr="00153C54" w:rsidRDefault="00000000" w:rsidP="00153C54">
      <w:pPr>
        <w:pStyle w:val="Title"/>
        <w:rPr>
          <w:rFonts w:ascii="Times New Roman" w:hAnsi="Times New Roman" w:cs="Times New Roman"/>
          <w:b/>
          <w:bCs/>
          <w:sz w:val="24"/>
          <w:szCs w:val="24"/>
        </w:rPr>
      </w:pPr>
      <w:r w:rsidRPr="00153C54">
        <w:rPr>
          <w:rFonts w:ascii="Times New Roman" w:hAnsi="Times New Roman" w:cs="Times New Roman"/>
          <w:b/>
          <w:bCs/>
          <w:sz w:val="24"/>
          <w:szCs w:val="24"/>
        </w:rPr>
        <w:t>Narrative Signals as Leading Indicators of Disaster Recovery Program Execution</w:t>
      </w:r>
    </w:p>
    <w:p w14:paraId="505983BA" w14:textId="77777777" w:rsidR="007D3AD7" w:rsidRPr="00153C54" w:rsidRDefault="00000000" w:rsidP="00153C54">
      <w:pPr>
        <w:pStyle w:val="Subtitle"/>
        <w:rPr>
          <w:rFonts w:ascii="Times New Roman" w:hAnsi="Times New Roman" w:cs="Times New Roman"/>
          <w:b/>
          <w:bCs/>
          <w:sz w:val="24"/>
          <w:szCs w:val="24"/>
        </w:rPr>
      </w:pPr>
      <w:r w:rsidRPr="00153C54">
        <w:rPr>
          <w:rFonts w:ascii="Times New Roman" w:hAnsi="Times New Roman" w:cs="Times New Roman"/>
          <w:b/>
          <w:bCs/>
          <w:sz w:val="24"/>
          <w:szCs w:val="24"/>
        </w:rPr>
        <w:t>Context-Dependent Evidence from Texas CDBG-DR Grant Portfolios, 2009–2025</w:t>
      </w:r>
    </w:p>
    <w:p w14:paraId="151F4D31" w14:textId="77777777" w:rsidR="007D3AD7" w:rsidRPr="00153C54" w:rsidRDefault="00000000" w:rsidP="00153C54">
      <w:pPr>
        <w:pStyle w:val="Author"/>
        <w:rPr>
          <w:rFonts w:ascii="Times New Roman" w:hAnsi="Times New Roman" w:cs="Times New Roman"/>
        </w:rPr>
      </w:pPr>
      <w:r w:rsidRPr="00153C54">
        <w:rPr>
          <w:rFonts w:ascii="Times New Roman" w:hAnsi="Times New Roman" w:cs="Times New Roman"/>
        </w:rPr>
        <w:t>Jesse R. Andrews</w:t>
      </w:r>
    </w:p>
    <w:p w14:paraId="6CE10360" w14:textId="77777777" w:rsidR="007D3AD7" w:rsidRPr="00153C54" w:rsidRDefault="00000000" w:rsidP="00153C54">
      <w:pPr>
        <w:pStyle w:val="Author"/>
        <w:rPr>
          <w:rFonts w:ascii="Times New Roman" w:hAnsi="Times New Roman" w:cs="Times New Roman"/>
        </w:rPr>
      </w:pPr>
      <w:r w:rsidRPr="00153C54">
        <w:rPr>
          <w:rFonts w:ascii="Times New Roman" w:hAnsi="Times New Roman" w:cs="Times New Roman"/>
        </w:rPr>
        <w:t>Ali Nejat</w:t>
      </w:r>
    </w:p>
    <w:p w14:paraId="0F4B6B05" w14:textId="77777777" w:rsidR="007D3AD7" w:rsidRPr="00153C54" w:rsidRDefault="00000000" w:rsidP="00153C54">
      <w:pPr>
        <w:pStyle w:val="Author"/>
        <w:rPr>
          <w:rFonts w:ascii="Times New Roman" w:hAnsi="Times New Roman" w:cs="Times New Roman"/>
        </w:rPr>
      </w:pPr>
      <w:r w:rsidRPr="00153C54">
        <w:rPr>
          <w:rFonts w:ascii="Times New Roman" w:hAnsi="Times New Roman" w:cs="Times New Roman"/>
        </w:rPr>
        <w:t>Kaifa Lu</w:t>
      </w:r>
    </w:p>
    <w:p w14:paraId="74DB068D" w14:textId="77777777" w:rsidR="007D3AD7" w:rsidRPr="00153C54" w:rsidRDefault="00000000" w:rsidP="00153C54">
      <w:pPr>
        <w:pStyle w:val="AbstractTitle"/>
        <w:jc w:val="left"/>
        <w:rPr>
          <w:rFonts w:ascii="Times New Roman" w:hAnsi="Times New Roman" w:cs="Times New Roman"/>
          <w:sz w:val="24"/>
          <w:szCs w:val="24"/>
        </w:rPr>
      </w:pPr>
      <w:r w:rsidRPr="00153C54">
        <w:rPr>
          <w:rFonts w:ascii="Times New Roman" w:hAnsi="Times New Roman" w:cs="Times New Roman"/>
          <w:sz w:val="24"/>
          <w:szCs w:val="24"/>
        </w:rPr>
        <w:t>Abstract</w:t>
      </w:r>
    </w:p>
    <w:p w14:paraId="1197453D" w14:textId="77777777" w:rsidR="007D3AD7" w:rsidRPr="00153C54" w:rsidRDefault="00000000">
      <w:pPr>
        <w:pStyle w:val="Abstract"/>
        <w:rPr>
          <w:rFonts w:ascii="Times New Roman" w:hAnsi="Times New Roman" w:cs="Times New Roman"/>
          <w:sz w:val="24"/>
          <w:szCs w:val="24"/>
        </w:rPr>
      </w:pPr>
      <w:r w:rsidRPr="00153C54">
        <w:rPr>
          <w:rFonts w:ascii="Times New Roman" w:hAnsi="Times New Roman" w:cs="Times New Roman"/>
          <w:sz w:val="24"/>
          <w:szCs w:val="24"/>
        </w:rPr>
        <w:t>Disaster recovery programs generate rich streams of narrative reporting that remain largely untapped as monitoring instruments, leaving agencies reliant on financial indicators that reflect execution conditions only after the fact. Drawing on 442 quarterly disaster recovery reports spanning Texas grant portfolios from 2009 to 2025, we extract topically classified narrative signals and evaluate whether their prevalence anticipates program execution outcomes over one- and two-quarter horizons. We find that two substantively distinct signals — emphasizing homeowner assistance and roadway reconstruction, respectively — exhibit robust temporal persistence, with statistically stable directional associations that survive leave-one-unit deletion and multiplicity correction. However, this predictive structure is strongly conditioned by context: signal-outcome associations vary substantially across activity-composition strata and across the stages of the execution pipeline, from obligation through disbursement to final expenditure. Decomposing pooled from within-unit associations reveals that some aggregate patterns reflect cross-portfolio program composition rather than temporal dynamics within any given recovery program. These findings support integrating computational text analysis with structured financial monitoring, while cautioning that narrative indicators require explicit stratification and robustness discipline before they can serve as reliable early-warning diagnostics.</w:t>
      </w:r>
    </w:p>
    <w:p w14:paraId="7347EBEE" w14:textId="77777777" w:rsidR="007D3AD7" w:rsidRPr="00153C54" w:rsidRDefault="00000000">
      <w:pPr>
        <w:pStyle w:val="Heading1"/>
        <w:rPr>
          <w:rFonts w:ascii="Times New Roman" w:hAnsi="Times New Roman" w:cs="Times New Roman"/>
          <w:sz w:val="24"/>
          <w:szCs w:val="24"/>
        </w:rPr>
      </w:pPr>
      <w:bookmarkStart w:id="0" w:name="sec-introduction"/>
      <w:r w:rsidRPr="00153C54">
        <w:rPr>
          <w:rFonts w:ascii="Times New Roman" w:hAnsi="Times New Roman" w:cs="Times New Roman"/>
          <w:sz w:val="24"/>
          <w:szCs w:val="24"/>
        </w:rPr>
        <w:t>1. Introduction</w:t>
      </w:r>
    </w:p>
    <w:p w14:paraId="29330133"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Disaster recovery programs generate rich streams of narrative reporting that remain largely untapped as monitoring instruments, leaving agencies reliant on financial indicators that reflect execution conditions only after the fact. Drawing on 442 quarterly disaster recovery reports spanning Texas grant portfolios from 2009 to 2025, we extract topically classified narrative signals and evaluate whether their prevalence anticipates program execution outcomes over one- and two-quarter horizons. We find that two substantively distinct signals — emphasizing homeowner assistance and roadway reconstruction, respectively — exhibit robust temporal persistence, with statistically stable directional associations that survive leave-one-unit deletion and multiplicity correction. However, this predictive structure is strongly conditioned by context: signal-outcome associations vary substantially across activity-composition strata and across the stages of the execution pipeline, from obligation through disbursement to final expenditure. Decomposing pooled from within-unit associations reveals that some aggregate patterns reflect cross-portfolio program composition rather than temporal dynamics within any given recovery program. These findings support integrating computational text analysis with structured financial monitoring, while cautioning that narrative indicators require explicit stratification and robustness discipline before they can serve as reliable early-warning diagnostics.</w:t>
      </w:r>
    </w:p>
    <w:p w14:paraId="24C1BF0C"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br/>
      </w:r>
    </w:p>
    <w:p w14:paraId="37CAE7B5"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lastRenderedPageBreak/>
        <w:t>Disaster recovery agencies face a recurring measurement problem: the most visible indicators of performance are financial and lagging, while implementation frictions emerge earlier in narrative reporting. Quarterly narrative text can capture shifts in priorities, bottlenecks, and operational sequencing before these shifts fully appear in aggregate accounting ratios. Yet in most operational and academic workflows, narrative content remains descriptive rather than analytic.</w:t>
      </w:r>
    </w:p>
    <w:p w14:paraId="7E27D501" w14:textId="636CF912"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This paper evaluates whether narrative-signal prevalence is systematically linked to disaster-quarter execution outcomes in the Texas recovery context. We focus on two substantively distinct themes — homeowner-assistance language and roadway-reconstruction language — that represent contrasting implementation pathways and therefore constitute a demanding test of whether narrative composition tracks measurable execution dynamics. Signal prevalence is measured as a within-quarter share derived from a 40-signal topic classification of 442 quarterly DRGR report </w:t>
      </w:r>
      <w:r w:rsidR="00153C54" w:rsidRPr="00153C54">
        <w:rPr>
          <w:rFonts w:ascii="Times New Roman" w:hAnsi="Times New Roman" w:cs="Times New Roman"/>
        </w:rPr>
        <w:t>narratives and</w:t>
      </w:r>
      <w:r w:rsidRPr="00153C54">
        <w:rPr>
          <w:rFonts w:ascii="Times New Roman" w:hAnsi="Times New Roman" w:cs="Times New Roman"/>
        </w:rPr>
        <w:t xml:space="preserve"> is evaluated against a set of execution-stage outcomes constructed from financial and completion data in the same reporting system.</w:t>
      </w:r>
    </w:p>
    <w:p w14:paraId="592387C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central empirical questions are whether signal-outcome associations persist at one- and two-quarter leads, how those associations vary across the composition of program activity within a given quarter, and whether they concentrate at particular stages of the execution pipeline — obligation, drawdown, expenditure, and completion. A further question concerns whether pooled associations, which aggregate across structurally distinct disaster portfolios, reflect genuine within-portfolio temporal dynamics or are instead artifacts of cross-portfolio composition. We address all of these using a common diagnostic framework that separates pooled from within-unit estimands, controls false discovery rates with Benjamini-Hochberg q-values [1], and stress-tests findings against unit-influence and outlier-sensitivity checks.</w:t>
      </w:r>
    </w:p>
    <w:p w14:paraId="431D36F6"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paper’s contribution sits at the intersection of text-as-data methodology and disaster recovery implementation research. Substantively, it provides the first structured evidence — in the CDBG-DR context — that narrative signals from routine administrative reporting can anticipate execution outcomes at short horizons, while also demonstrating that these signals carry meaningfully different implications depending on program mix and pipeline stage. Methodologically, it introduces a mechanism-bounding logic that uses timing, stratification, decomposition, and compositional re-parameterization to discipline interpretation without overstating what observational text-based evidence can deliver. The goal is a framework rigorous enough to inform monitoring practice, while transparent enough to guide further causal inquiry.</w:t>
      </w:r>
    </w:p>
    <w:p w14:paraId="52D24865"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The remainder of the manuscript proceeds as follows. </w:t>
      </w:r>
      <w:hyperlink w:anchor="sec-literature">
        <w:r w:rsidRPr="00153C54">
          <w:rPr>
            <w:rStyle w:val="Hyperlink"/>
            <w:rFonts w:ascii="Times New Roman" w:hAnsi="Times New Roman" w:cs="Times New Roman"/>
          </w:rPr>
          <w:t>Section 2</w:t>
        </w:r>
      </w:hyperlink>
      <w:r w:rsidRPr="00153C54">
        <w:rPr>
          <w:rFonts w:ascii="Times New Roman" w:hAnsi="Times New Roman" w:cs="Times New Roman"/>
        </w:rPr>
        <w:t xml:space="preserve"> situates the design in text-as-data and disaster implementation literatures. </w:t>
      </w:r>
      <w:hyperlink w:anchor="sec-methods">
        <w:r w:rsidRPr="00153C54">
          <w:rPr>
            <w:rStyle w:val="Hyperlink"/>
            <w:rFonts w:ascii="Times New Roman" w:hAnsi="Times New Roman" w:cs="Times New Roman"/>
          </w:rPr>
          <w:t>Section 3</w:t>
        </w:r>
      </w:hyperlink>
      <w:r w:rsidRPr="00153C54">
        <w:rPr>
          <w:rFonts w:ascii="Times New Roman" w:hAnsi="Times New Roman" w:cs="Times New Roman"/>
        </w:rPr>
        <w:t xml:space="preserve"> documents data construction and analytic strategy. </w:t>
      </w:r>
      <w:hyperlink w:anchor="sec-results">
        <w:r w:rsidRPr="00153C54">
          <w:rPr>
            <w:rStyle w:val="Hyperlink"/>
            <w:rFonts w:ascii="Times New Roman" w:hAnsi="Times New Roman" w:cs="Times New Roman"/>
          </w:rPr>
          <w:t>Section 4</w:t>
        </w:r>
      </w:hyperlink>
      <w:r w:rsidRPr="00153C54">
        <w:rPr>
          <w:rFonts w:ascii="Times New Roman" w:hAnsi="Times New Roman" w:cs="Times New Roman"/>
        </w:rPr>
        <w:t xml:space="preserve"> presents the empirical findings, including robustness boundaries. </w:t>
      </w:r>
      <w:hyperlink w:anchor="sec-discussion">
        <w:r w:rsidRPr="00153C54">
          <w:rPr>
            <w:rStyle w:val="Hyperlink"/>
            <w:rFonts w:ascii="Times New Roman" w:hAnsi="Times New Roman" w:cs="Times New Roman"/>
          </w:rPr>
          <w:t>Section 5</w:t>
        </w:r>
      </w:hyperlink>
      <w:r w:rsidRPr="00153C54">
        <w:rPr>
          <w:rFonts w:ascii="Times New Roman" w:hAnsi="Times New Roman" w:cs="Times New Roman"/>
        </w:rPr>
        <w:t xml:space="preserve"> interprets implications for policy and research. </w:t>
      </w:r>
      <w:hyperlink w:anchor="sec-conclusion">
        <w:r w:rsidRPr="00153C54">
          <w:rPr>
            <w:rStyle w:val="Hyperlink"/>
            <w:rFonts w:ascii="Times New Roman" w:hAnsi="Times New Roman" w:cs="Times New Roman"/>
          </w:rPr>
          <w:t>Section 6</w:t>
        </w:r>
      </w:hyperlink>
      <w:r w:rsidRPr="00153C54">
        <w:rPr>
          <w:rFonts w:ascii="Times New Roman" w:hAnsi="Times New Roman" w:cs="Times New Roman"/>
        </w:rPr>
        <w:t xml:space="preserve"> summarizes contributions and next steps.</w:t>
      </w:r>
    </w:p>
    <w:p w14:paraId="68301A0A" w14:textId="77777777" w:rsidR="007D3AD7" w:rsidRPr="00153C54" w:rsidRDefault="00000000">
      <w:pPr>
        <w:pStyle w:val="Heading1"/>
        <w:rPr>
          <w:rFonts w:ascii="Times New Roman" w:hAnsi="Times New Roman" w:cs="Times New Roman"/>
          <w:sz w:val="24"/>
          <w:szCs w:val="24"/>
        </w:rPr>
      </w:pPr>
      <w:bookmarkStart w:id="1" w:name="sec-literature"/>
      <w:bookmarkEnd w:id="0"/>
      <w:r w:rsidRPr="00153C54">
        <w:rPr>
          <w:rFonts w:ascii="Times New Roman" w:hAnsi="Times New Roman" w:cs="Times New Roman"/>
          <w:sz w:val="24"/>
          <w:szCs w:val="24"/>
        </w:rPr>
        <w:t>2. Literature Review</w:t>
      </w:r>
    </w:p>
    <w:p w14:paraId="1863D930"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This review positions the study at the intersection of implementation theory, performance governance, and computational text analysis in disaster recovery. It draws on five strands that directly motivate the empirical design: implementation and administrative burden theory, narrative-policy scholarship, text-as-data validation norms, the institutional architecture of Community Development Block Grant Disaster Recovery (CDBG-DR) and Disaster Recovery </w:t>
      </w:r>
      <w:r w:rsidRPr="00153C54">
        <w:rPr>
          <w:rFonts w:ascii="Times New Roman" w:hAnsi="Times New Roman" w:cs="Times New Roman"/>
        </w:rPr>
        <w:lastRenderedPageBreak/>
        <w:t>Grant Reporting (DRGR), and empirical evidence on recovery-stage heterogeneity and equity barriers.</w:t>
      </w:r>
    </w:p>
    <w:p w14:paraId="498FBAF6" w14:textId="77777777" w:rsidR="007D3AD7" w:rsidRPr="00153C54" w:rsidRDefault="00000000">
      <w:pPr>
        <w:pStyle w:val="Heading2"/>
        <w:rPr>
          <w:rFonts w:ascii="Times New Roman" w:hAnsi="Times New Roman" w:cs="Times New Roman"/>
          <w:sz w:val="24"/>
          <w:szCs w:val="24"/>
        </w:rPr>
      </w:pPr>
      <w:bookmarkStart w:id="2" w:name="Xb6e86a7a192e36c988f1f311fe4105f8e15dd86"/>
      <w:r w:rsidRPr="00153C54">
        <w:rPr>
          <w:rFonts w:ascii="Times New Roman" w:hAnsi="Times New Roman" w:cs="Times New Roman"/>
          <w:sz w:val="24"/>
          <w:szCs w:val="24"/>
        </w:rPr>
        <w:t>2.1 Implementation Theory, Capacity, and Administrative Burden</w:t>
      </w:r>
    </w:p>
    <w:p w14:paraId="2A0455D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Implementation scholarship emphasizes that policy outcomes are produced through multi-step administrative chains rather than by formal policy adoption alone. Classic work on implementation failure shows how delays and slippage accumulate across organizations and procedural stages [2]. Street-level bureaucracy further clarifies that front-line workload, discretion, and coping behavior shape realized service delivery under resource constraints [3]. In performance-governance terms, reporting systems are not single-purpose evaluation tools: they serve overlapping functions of control, learning, accountability, and adaptation [4].</w:t>
      </w:r>
    </w:p>
    <w:p w14:paraId="035F1213"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For disaster recovery, these ideas imply that execution frictions are likely to surface first in routine implementation communication, not only in lagged financial aggregates. Administrative burden theory reinforces this expectation by showing how compliance complexity, documentation demands, and procedural friction create uneven access and pace of delivery [5].</w:t>
      </w:r>
    </w:p>
    <w:p w14:paraId="71451002" w14:textId="77777777" w:rsidR="007D3AD7" w:rsidRPr="00153C54" w:rsidRDefault="00000000">
      <w:pPr>
        <w:pStyle w:val="Heading2"/>
        <w:rPr>
          <w:rFonts w:ascii="Times New Roman" w:hAnsi="Times New Roman" w:cs="Times New Roman"/>
          <w:sz w:val="24"/>
          <w:szCs w:val="24"/>
        </w:rPr>
      </w:pPr>
      <w:bookmarkStart w:id="3" w:name="X6567c973ce73e0e1e3fbcac93c5e745ab9b0b8b"/>
      <w:bookmarkEnd w:id="2"/>
      <w:r w:rsidRPr="00153C54">
        <w:rPr>
          <w:rFonts w:ascii="Times New Roman" w:hAnsi="Times New Roman" w:cs="Times New Roman"/>
          <w:sz w:val="24"/>
          <w:szCs w:val="24"/>
        </w:rPr>
        <w:t>2.2 Narrative Policy Scholarship and Measurable Administrative Text</w:t>
      </w:r>
    </w:p>
    <w:p w14:paraId="018403E8"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Narrative policy research provides a conceptual bridge between qualitative reporting language and empirical measurement. The Narrative Policy Framework (NPF) established that policy narratives have analyzable structure and can be studied systematically rather than purely interpretively [6]. Subsequent reviews show broadening application and methodological consolidation while still calling for more cross-domain operational work [7]; [8].</w:t>
      </w:r>
    </w:p>
    <w:p w14:paraId="40969367"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This manuscript does not use narratives to study persuasion or coalition conflict; instead, it extends the same measurement logic to administrative implementation text. In this setting, narrative fields are treated as recurring operational records that can contain early evidence of bottlenecks, sequencing constraints, and coordination problems.</w:t>
      </w:r>
    </w:p>
    <w:p w14:paraId="6BA1B221" w14:textId="77777777" w:rsidR="007D3AD7" w:rsidRPr="00153C54" w:rsidRDefault="00000000">
      <w:pPr>
        <w:pStyle w:val="Heading2"/>
        <w:rPr>
          <w:rFonts w:ascii="Times New Roman" w:hAnsi="Times New Roman" w:cs="Times New Roman"/>
          <w:sz w:val="24"/>
          <w:szCs w:val="24"/>
        </w:rPr>
      </w:pPr>
      <w:bookmarkStart w:id="4" w:name="X7a33c41ee205bd913a89d153184cb5e488190d8"/>
      <w:bookmarkEnd w:id="3"/>
      <w:r w:rsidRPr="00153C54">
        <w:rPr>
          <w:rFonts w:ascii="Times New Roman" w:hAnsi="Times New Roman" w:cs="Times New Roman"/>
          <w:sz w:val="24"/>
          <w:szCs w:val="24"/>
        </w:rPr>
        <w:t>2.3 Text-as-Data Methods and Validation Discipline</w:t>
      </w:r>
    </w:p>
    <w:p w14:paraId="353B8DE1"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Text-as-data literature argues that institutional text can be transformed into policy-relevant indicators at scale, but only when validation is design-central [9]; [10]. Methodological progression from topic models to embeddings and transformer-based representations has expanded what can be measured in administrative corpora [11]; [12]; [13]. At the same time, these advances increase the risk of over-interpretation if model-derived structure is not stress-tested against substantive and statistical alternatives.</w:t>
      </w:r>
    </w:p>
    <w:p w14:paraId="48BECE2C"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Systematic evidence on NLP adoption in government also indicates rapid growth in operational applications, but uneven translation into high-rigor oversight diagnostics, especially for internal implementation monitoring rather than citizen-facing service automation [14].</w:t>
      </w:r>
    </w:p>
    <w:p w14:paraId="5AF85B3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That concern motivates the inferential safeguards used in this paper. Within/between distinctions are necessary to avoid conflating cross-unit composition with within-unit temporal movement [15], and multiplicity control is necessary when evaluating many signals across outcomes and horizons [1]. The review therefore supports a design in which robustness diagnostics are not auxiliary, but integral to interpretation.</w:t>
      </w:r>
    </w:p>
    <w:p w14:paraId="04D0B9D5" w14:textId="77777777" w:rsidR="007D3AD7" w:rsidRPr="00153C54" w:rsidRDefault="00000000">
      <w:pPr>
        <w:pStyle w:val="Heading2"/>
        <w:rPr>
          <w:rFonts w:ascii="Times New Roman" w:hAnsi="Times New Roman" w:cs="Times New Roman"/>
          <w:sz w:val="24"/>
          <w:szCs w:val="24"/>
        </w:rPr>
      </w:pPr>
      <w:bookmarkStart w:id="5" w:name="X9635a25137c90f680e7db41d3c51eea75ef8110"/>
      <w:bookmarkEnd w:id="4"/>
      <w:r w:rsidRPr="00153C54">
        <w:rPr>
          <w:rFonts w:ascii="Times New Roman" w:hAnsi="Times New Roman" w:cs="Times New Roman"/>
          <w:sz w:val="24"/>
          <w:szCs w:val="24"/>
        </w:rPr>
        <w:lastRenderedPageBreak/>
        <w:t>2.4 Disaster Recovery Reporting Infrastructure as Measurement Substrate</w:t>
      </w:r>
    </w:p>
    <w:p w14:paraId="5675DA39"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Disaster recovery literature characterizes recovery as a staged, institutionally mediated process shaped by underlying social vulnerability and governance capacity [16]; [17]. In the U.S. context, CDBG-DR operates as a long-horizon recovery backstop, and oversight depends heavily on DRGR-based quarterly reporting requirements and public disclosure expectations [18]; [19].</w:t>
      </w:r>
    </w:p>
    <w:p w14:paraId="02419F3E"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Crucially for this study, DRGR and Quarterly Performance Report (QPR) workflows embed narrative fields alongside financial and outcome reporting. This institutional feature justifies treating narrative text as a standardized administrative input rather than unstructured anecdote [20]. It also creates a testable proposition: narrative emphasis in quarter </w:t>
      </w:r>
      <m:oMath>
        <m:r>
          <w:rPr>
            <w:rFonts w:ascii="Cambria Math" w:hAnsi="Cambria Math" w:cs="Times New Roman"/>
          </w:rPr>
          <m:t>t</m:t>
        </m:r>
      </m:oMath>
      <w:r w:rsidRPr="00153C54">
        <w:rPr>
          <w:rFonts w:ascii="Times New Roman" w:hAnsi="Times New Roman" w:cs="Times New Roman"/>
        </w:rPr>
        <w:t xml:space="preserve"> may encode operational conditions that become visible in disbursement, expenditure, and completion metrics in quarter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oMath>
      <w:r w:rsidRPr="00153C54">
        <w:rPr>
          <w:rFonts w:ascii="Times New Roman" w:hAnsi="Times New Roman" w:cs="Times New Roman"/>
        </w:rPr>
        <w:t>.</w:t>
      </w:r>
    </w:p>
    <w:p w14:paraId="2A86BB88" w14:textId="77777777" w:rsidR="007D3AD7" w:rsidRPr="00153C54" w:rsidRDefault="00000000">
      <w:pPr>
        <w:pStyle w:val="Heading2"/>
        <w:rPr>
          <w:rFonts w:ascii="Times New Roman" w:hAnsi="Times New Roman" w:cs="Times New Roman"/>
          <w:sz w:val="24"/>
          <w:szCs w:val="24"/>
        </w:rPr>
      </w:pPr>
      <w:bookmarkStart w:id="6" w:name="X07083058498a9b10d75cf7abf9cad46cc6bbfb4"/>
      <w:bookmarkEnd w:id="5"/>
      <w:r w:rsidRPr="00153C54">
        <w:rPr>
          <w:rFonts w:ascii="Times New Roman" w:hAnsi="Times New Roman" w:cs="Times New Roman"/>
          <w:sz w:val="24"/>
          <w:szCs w:val="24"/>
        </w:rPr>
        <w:t>2.5 Stage Heterogeneity, Equity Barriers, and Remaining Empirical Gap</w:t>
      </w:r>
    </w:p>
    <w:p w14:paraId="0DD5181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Empirical recovery studies document that execution timing varies substantially by activity type, program structure, and administrative process burdens, with grant-execution phases often dominating total timelines [21]. Equity-focused reviews and case evidence likewise identify recurring implementation barriers, including process complexity, coordination burden, and exclusionary dynamics that can suppress or delay measurable progress [22]; [23].</w:t>
      </w:r>
    </w:p>
    <w:p w14:paraId="430AFADC"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Despite these advances, most adjacent work still uses narratives primarily for qualitative triangulation rather than as formally validated, high-frequency operational indicators. The unresolved gap is therefore not whether narratives matter, but how to convert them into defensible oversight diagnostics that account for timing, composition, stage differences, and inferential uncertainty.</w:t>
      </w:r>
    </w:p>
    <w:p w14:paraId="17469A19"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This paper addresses that gap by linking narrative-signal prevalence to stage-specific execution outcomes under a common diagnostic framework that combines lead-horizon checks, activity-stratum heterogeneity, pooled-versus-within decomposition, and explicit robustness boundaries. The next section operationalizes that framework in the Texas disaster-quarter panel.</w:t>
      </w:r>
    </w:p>
    <w:p w14:paraId="0A927233" w14:textId="77777777" w:rsidR="007D3AD7" w:rsidRPr="00153C54" w:rsidRDefault="00000000">
      <w:pPr>
        <w:pStyle w:val="Heading1"/>
        <w:rPr>
          <w:rFonts w:ascii="Times New Roman" w:hAnsi="Times New Roman" w:cs="Times New Roman"/>
          <w:sz w:val="24"/>
          <w:szCs w:val="24"/>
        </w:rPr>
      </w:pPr>
      <w:bookmarkStart w:id="7" w:name="sec-methods"/>
      <w:bookmarkEnd w:id="1"/>
      <w:bookmarkEnd w:id="6"/>
      <w:r w:rsidRPr="00153C54">
        <w:rPr>
          <w:rFonts w:ascii="Times New Roman" w:hAnsi="Times New Roman" w:cs="Times New Roman"/>
          <w:sz w:val="24"/>
          <w:szCs w:val="24"/>
        </w:rPr>
        <w:t>3. Methods</w:t>
      </w:r>
    </w:p>
    <w:p w14:paraId="2F33BC1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analysis is designed to produce associations that are interpretable and bounded, rather than maximally comprehensive. Each component — data construction, estimand definition, lead alignment, activity stratification, and robustness testing — is chosen to keep the resulting evidence connected to substantive questions about implementation timing, program mix, and stage-specific execution dynamics.</w:t>
      </w:r>
    </w:p>
    <w:p w14:paraId="6EC35C40" w14:textId="77777777" w:rsidR="007D3AD7" w:rsidRPr="00153C54" w:rsidRDefault="00000000">
      <w:pPr>
        <w:pStyle w:val="Heading2"/>
        <w:rPr>
          <w:rFonts w:ascii="Times New Roman" w:hAnsi="Times New Roman" w:cs="Times New Roman"/>
          <w:sz w:val="24"/>
          <w:szCs w:val="24"/>
        </w:rPr>
      </w:pPr>
      <w:bookmarkStart w:id="8" w:name="data-architecture-and-unit-of-analysis"/>
      <w:r w:rsidRPr="00153C54">
        <w:rPr>
          <w:rFonts w:ascii="Times New Roman" w:hAnsi="Times New Roman" w:cs="Times New Roman"/>
          <w:sz w:val="24"/>
          <w:szCs w:val="24"/>
        </w:rPr>
        <w:t>3.1 Data Architecture and Unit of Analysis</w:t>
      </w:r>
    </w:p>
    <w:p w14:paraId="57B6EF4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study links quarterly narrative-signal prevalence to SEM-adapter outcomes at the disaster-quarter level. The reporting context is the DRGR quarterly performance system used in CDBG-DR and Community Development Block Grant Mitigation (CDBG-MIT) program administration [18]; [20].</w:t>
      </w:r>
    </w:p>
    <w:p w14:paraId="20070D9A" w14:textId="77777777" w:rsidR="007D3AD7" w:rsidRPr="00153C54" w:rsidRDefault="00000000">
      <w:pPr>
        <w:pStyle w:val="BodyText"/>
        <w:rPr>
          <w:rFonts w:ascii="Times New Roman" w:hAnsi="Times New Roman" w:cs="Times New Roman"/>
        </w:rPr>
      </w:pPr>
      <w:hyperlink w:anchor="fig-pipeline">
        <w:r w:rsidRPr="00153C54">
          <w:rPr>
            <w:rStyle w:val="Hyperlink"/>
            <w:rFonts w:ascii="Times New Roman" w:hAnsi="Times New Roman" w:cs="Times New Roman"/>
          </w:rPr>
          <w:t>Figure 1</w:t>
        </w:r>
      </w:hyperlink>
      <w:r w:rsidRPr="00153C54">
        <w:rPr>
          <w:rFonts w:ascii="Times New Roman" w:hAnsi="Times New Roman" w:cs="Times New Roman"/>
        </w:rPr>
        <w:t xml:space="preserve"> provides a compact provenance view from source reports to the merged analytic panel used in estimation.</w:t>
      </w:r>
    </w:p>
    <w:tbl>
      <w:tblPr>
        <w:tblStyle w:val="Table"/>
        <w:tblW w:w="5000" w:type="pct"/>
        <w:tblLayout w:type="fixed"/>
        <w:tblLook w:val="0000" w:firstRow="0" w:lastRow="0" w:firstColumn="0" w:lastColumn="0" w:noHBand="0" w:noVBand="0"/>
      </w:tblPr>
      <w:tblGrid>
        <w:gridCol w:w="9576"/>
      </w:tblGrid>
      <w:tr w:rsidR="007D3AD7" w:rsidRPr="00153C54" w14:paraId="709F7E23" w14:textId="77777777">
        <w:tc>
          <w:tcPr>
            <w:tcW w:w="7920" w:type="dxa"/>
          </w:tcPr>
          <w:p w14:paraId="49A1A25D" w14:textId="77777777" w:rsidR="007D3AD7" w:rsidRPr="00153C54" w:rsidRDefault="00000000">
            <w:pPr>
              <w:pStyle w:val="Compact"/>
              <w:jc w:val="center"/>
              <w:rPr>
                <w:rFonts w:ascii="Times New Roman" w:hAnsi="Times New Roman" w:cs="Times New Roman"/>
              </w:rPr>
            </w:pPr>
            <w:bookmarkStart w:id="9" w:name="fig-pipeline"/>
            <w:r w:rsidRPr="00153C54">
              <w:rPr>
                <w:rFonts w:ascii="Times New Roman" w:hAnsi="Times New Roman" w:cs="Times New Roman"/>
                <w:noProof/>
              </w:rPr>
              <w:lastRenderedPageBreak/>
              <w:drawing>
                <wp:inline distT="0" distB="0" distL="0" distR="0" wp14:anchorId="66125E1B" wp14:editId="69B1159C">
                  <wp:extent cx="5334000" cy="156776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_01_pipeline.png"/>
                          <pic:cNvPicPr>
                            <a:picLocks noChangeAspect="1" noChangeArrowheads="1"/>
                          </pic:cNvPicPr>
                        </pic:nvPicPr>
                        <pic:blipFill>
                          <a:blip r:embed="rId5"/>
                          <a:stretch>
                            <a:fillRect/>
                          </a:stretch>
                        </pic:blipFill>
                        <pic:spPr bwMode="auto">
                          <a:xfrm>
                            <a:off x="0" y="0"/>
                            <a:ext cx="5334000" cy="1567768"/>
                          </a:xfrm>
                          <a:prstGeom prst="rect">
                            <a:avLst/>
                          </a:prstGeom>
                          <a:noFill/>
                          <a:ln w="9525">
                            <a:noFill/>
                            <a:headEnd/>
                            <a:tailEnd/>
                          </a:ln>
                        </pic:spPr>
                      </pic:pic>
                    </a:graphicData>
                  </a:graphic>
                </wp:inline>
              </w:drawing>
            </w:r>
          </w:p>
          <w:p w14:paraId="58DEA652"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1: Data provenance pipeline from DRGR source documents to merged disaster-quarter analytic panel, with record counts at each stage.</w:t>
            </w:r>
          </w:p>
        </w:tc>
        <w:bookmarkEnd w:id="9"/>
      </w:tr>
    </w:tbl>
    <w:p w14:paraId="31B70990"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primary corpus contains 442 disaster-quarter document records drawn from DRGR quarterly reporting streams and representing 438 unique PDF files. Coverage spans 2009 Q3 through 2025 Q4, across 18 reporting categories and 24 disaster codes. The corpus contains 153,540 pages in total, with a mean of 347 pages per report and a range from 1 to 2,742 pages. Four duplicate filenames appear in both action-plan and performance streams and are retained as separate category-context records for quarter-level accounting.</w:t>
      </w:r>
    </w:p>
    <w:tbl>
      <w:tblPr>
        <w:tblStyle w:val="Table"/>
        <w:tblW w:w="5000" w:type="pct"/>
        <w:tblLayout w:type="fixed"/>
        <w:tblLook w:val="0000" w:firstRow="0" w:lastRow="0" w:firstColumn="0" w:lastColumn="0" w:noHBand="0" w:noVBand="0"/>
      </w:tblPr>
      <w:tblGrid>
        <w:gridCol w:w="9576"/>
      </w:tblGrid>
      <w:tr w:rsidR="007D3AD7" w:rsidRPr="00153C54" w14:paraId="50DCD874" w14:textId="77777777">
        <w:tc>
          <w:tcPr>
            <w:tcW w:w="7920" w:type="dxa"/>
          </w:tcPr>
          <w:p w14:paraId="55F6B519" w14:textId="77777777" w:rsidR="007D3AD7" w:rsidRPr="00153C54" w:rsidRDefault="00000000">
            <w:pPr>
              <w:pStyle w:val="ImageCaption"/>
              <w:spacing w:before="200"/>
              <w:rPr>
                <w:rFonts w:ascii="Times New Roman" w:hAnsi="Times New Roman" w:cs="Times New Roman"/>
              </w:rPr>
            </w:pPr>
            <w:bookmarkStart w:id="10" w:name="tbl-document-provenance"/>
            <w:r w:rsidRPr="00153C54">
              <w:rPr>
                <w:rFonts w:ascii="Times New Roman" w:hAnsi="Times New Roman" w:cs="Times New Roman"/>
              </w:rPr>
              <w:t>Table 1: Document provenance and coverage in the DRGR corpus.</w:t>
            </w:r>
          </w:p>
          <w:tbl>
            <w:tblPr>
              <w:tblStyle w:val="Table"/>
              <w:tblW w:w="5000" w:type="pct"/>
              <w:tblLayout w:type="fixed"/>
              <w:tblLook w:val="0020" w:firstRow="1" w:lastRow="0" w:firstColumn="0" w:lastColumn="0" w:noHBand="0" w:noVBand="0"/>
            </w:tblPr>
            <w:tblGrid>
              <w:gridCol w:w="2006"/>
              <w:gridCol w:w="2674"/>
              <w:gridCol w:w="2674"/>
              <w:gridCol w:w="2006"/>
            </w:tblGrid>
            <w:tr w:rsidR="007D3AD7" w:rsidRPr="00153C54" w14:paraId="127BA992"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697" w:type="dxa"/>
                </w:tcPr>
                <w:p w14:paraId="748E6D79"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DRGR document stream</w:t>
                  </w:r>
                </w:p>
              </w:tc>
              <w:tc>
                <w:tcPr>
                  <w:tcW w:w="2262" w:type="dxa"/>
                </w:tcPr>
                <w:p w14:paraId="170AC2A8"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Disaster-quarter records</w:t>
                  </w:r>
                </w:p>
              </w:tc>
              <w:tc>
                <w:tcPr>
                  <w:tcW w:w="2262" w:type="dxa"/>
                </w:tcPr>
                <w:p w14:paraId="12DA58B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Distinct disaster codes</w:t>
                  </w:r>
                </w:p>
              </w:tc>
              <w:tc>
                <w:tcPr>
                  <w:tcW w:w="1697" w:type="dxa"/>
                </w:tcPr>
                <w:p w14:paraId="5D8A020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Coverage</w:t>
                  </w:r>
                </w:p>
              </w:tc>
            </w:tr>
            <w:tr w:rsidR="007D3AD7" w:rsidRPr="00153C54" w14:paraId="514F8D61" w14:textId="77777777">
              <w:tc>
                <w:tcPr>
                  <w:tcW w:w="1697" w:type="dxa"/>
                </w:tcPr>
                <w:p w14:paraId="2D250B4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Legacy hazard/disaster reporting streams</w:t>
                  </w:r>
                </w:p>
              </w:tc>
              <w:tc>
                <w:tcPr>
                  <w:tcW w:w="2262" w:type="dxa"/>
                </w:tcPr>
                <w:p w14:paraId="012E4FFB"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225</w:t>
                  </w:r>
                </w:p>
              </w:tc>
              <w:tc>
                <w:tcPr>
                  <w:tcW w:w="2262" w:type="dxa"/>
                </w:tcPr>
                <w:p w14:paraId="68BEF199"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9</w:t>
                  </w:r>
                </w:p>
              </w:tc>
              <w:tc>
                <w:tcPr>
                  <w:tcW w:w="1697" w:type="dxa"/>
                </w:tcPr>
                <w:p w14:paraId="00477B3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2009-2025</w:t>
                  </w:r>
                </w:p>
              </w:tc>
            </w:tr>
            <w:tr w:rsidR="007D3AD7" w:rsidRPr="00153C54" w14:paraId="4C1B644F" w14:textId="77777777">
              <w:tc>
                <w:tcPr>
                  <w:tcW w:w="1697" w:type="dxa"/>
                </w:tcPr>
                <w:p w14:paraId="73EFA13F"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Harvey action-plan/performance streams</w:t>
                  </w:r>
                </w:p>
              </w:tc>
              <w:tc>
                <w:tcPr>
                  <w:tcW w:w="2262" w:type="dxa"/>
                </w:tcPr>
                <w:p w14:paraId="4B09E26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106</w:t>
                  </w:r>
                </w:p>
              </w:tc>
              <w:tc>
                <w:tcPr>
                  <w:tcW w:w="2262" w:type="dxa"/>
                </w:tcPr>
                <w:p w14:paraId="553F4E4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6</w:t>
                  </w:r>
                </w:p>
              </w:tc>
              <w:tc>
                <w:tcPr>
                  <w:tcW w:w="1697" w:type="dxa"/>
                </w:tcPr>
                <w:p w14:paraId="78AAD0DB"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2018-2025</w:t>
                  </w:r>
                </w:p>
              </w:tc>
            </w:tr>
            <w:tr w:rsidR="007D3AD7" w:rsidRPr="00153C54" w14:paraId="084064B9" w14:textId="77777777">
              <w:tc>
                <w:tcPr>
                  <w:tcW w:w="1697" w:type="dxa"/>
                </w:tcPr>
                <w:p w14:paraId="51E4033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2018/2019 action-plan/performance streams</w:t>
                  </w:r>
                </w:p>
              </w:tc>
              <w:tc>
                <w:tcPr>
                  <w:tcW w:w="2262" w:type="dxa"/>
                </w:tcPr>
                <w:p w14:paraId="335B3622"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70</w:t>
                  </w:r>
                </w:p>
              </w:tc>
              <w:tc>
                <w:tcPr>
                  <w:tcW w:w="2262" w:type="dxa"/>
                </w:tcPr>
                <w:p w14:paraId="4D388D31"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5</w:t>
                  </w:r>
                </w:p>
              </w:tc>
              <w:tc>
                <w:tcPr>
                  <w:tcW w:w="1697" w:type="dxa"/>
                </w:tcPr>
                <w:p w14:paraId="0D8D7EA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2021-2025</w:t>
                  </w:r>
                </w:p>
              </w:tc>
            </w:tr>
            <w:tr w:rsidR="007D3AD7" w:rsidRPr="00153C54" w14:paraId="5B201B80" w14:textId="77777777">
              <w:tc>
                <w:tcPr>
                  <w:tcW w:w="1697" w:type="dxa"/>
                </w:tcPr>
                <w:p w14:paraId="2964CC73"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Mitigation action-plan/performance streams</w:t>
                  </w:r>
                </w:p>
              </w:tc>
              <w:tc>
                <w:tcPr>
                  <w:tcW w:w="2262" w:type="dxa"/>
                </w:tcPr>
                <w:p w14:paraId="1B0416F2"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38</w:t>
                  </w:r>
                </w:p>
              </w:tc>
              <w:tc>
                <w:tcPr>
                  <w:tcW w:w="2262" w:type="dxa"/>
                </w:tcPr>
                <w:p w14:paraId="06F0FA1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w:t>
                  </w:r>
                </w:p>
              </w:tc>
              <w:tc>
                <w:tcPr>
                  <w:tcW w:w="1697" w:type="dxa"/>
                </w:tcPr>
                <w:p w14:paraId="65B7E6DA"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2021-2025</w:t>
                  </w:r>
                </w:p>
              </w:tc>
            </w:tr>
            <w:tr w:rsidR="007D3AD7" w:rsidRPr="00153C54" w14:paraId="7649B8C3" w14:textId="77777777">
              <w:tc>
                <w:tcPr>
                  <w:tcW w:w="1697" w:type="dxa"/>
                </w:tcPr>
                <w:p w14:paraId="79CBE353"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Timely expenditure reports</w:t>
                  </w:r>
                </w:p>
              </w:tc>
              <w:tc>
                <w:tcPr>
                  <w:tcW w:w="2262" w:type="dxa"/>
                </w:tcPr>
                <w:p w14:paraId="1DDCE19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w:t>
                  </w:r>
                </w:p>
              </w:tc>
              <w:tc>
                <w:tcPr>
                  <w:tcW w:w="2262" w:type="dxa"/>
                </w:tcPr>
                <w:p w14:paraId="3DC709B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w:t>
                  </w:r>
                </w:p>
              </w:tc>
              <w:tc>
                <w:tcPr>
                  <w:tcW w:w="1697" w:type="dxa"/>
                </w:tcPr>
                <w:p w14:paraId="17CB88BF"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2020</w:t>
                  </w:r>
                </w:p>
              </w:tc>
            </w:tr>
            <w:bookmarkEnd w:id="10"/>
          </w:tbl>
          <w:p w14:paraId="05420595" w14:textId="77777777" w:rsidR="007D3AD7" w:rsidRPr="00153C54" w:rsidRDefault="007D3AD7">
            <w:pPr>
              <w:rPr>
                <w:rFonts w:ascii="Times New Roman" w:hAnsi="Times New Roman" w:cs="Times New Roman"/>
              </w:rPr>
            </w:pPr>
          </w:p>
        </w:tc>
      </w:tr>
    </w:tbl>
    <w:p w14:paraId="4368C43D" w14:textId="77777777" w:rsidR="007D3AD7" w:rsidRPr="00153C54" w:rsidRDefault="00000000">
      <w:pPr>
        <w:pStyle w:val="BodyText"/>
        <w:rPr>
          <w:rFonts w:ascii="Times New Roman" w:hAnsi="Times New Roman" w:cs="Times New Roman"/>
        </w:rPr>
      </w:pPr>
      <w:hyperlink w:anchor="fig-coverage-attrition">
        <w:r w:rsidRPr="00153C54">
          <w:rPr>
            <w:rStyle w:val="Hyperlink"/>
            <w:rFonts w:ascii="Times New Roman" w:hAnsi="Times New Roman" w:cs="Times New Roman"/>
          </w:rPr>
          <w:t>Figure 2</w:t>
        </w:r>
      </w:hyperlink>
      <w:r w:rsidRPr="00153C54">
        <w:rPr>
          <w:rFonts w:ascii="Times New Roman" w:hAnsi="Times New Roman" w:cs="Times New Roman"/>
        </w:rPr>
        <w:t xml:space="preserve"> visualizes quarter-level coverage and the outcome-specific sample attrition profile.</w:t>
      </w:r>
    </w:p>
    <w:tbl>
      <w:tblPr>
        <w:tblStyle w:val="Table"/>
        <w:tblW w:w="5000" w:type="pct"/>
        <w:tblLayout w:type="fixed"/>
        <w:tblLook w:val="0000" w:firstRow="0" w:lastRow="0" w:firstColumn="0" w:lastColumn="0" w:noHBand="0" w:noVBand="0"/>
      </w:tblPr>
      <w:tblGrid>
        <w:gridCol w:w="9576"/>
      </w:tblGrid>
      <w:tr w:rsidR="007D3AD7" w:rsidRPr="00153C54" w14:paraId="5B65D380" w14:textId="77777777">
        <w:tc>
          <w:tcPr>
            <w:tcW w:w="7920" w:type="dxa"/>
          </w:tcPr>
          <w:p w14:paraId="253D39CB" w14:textId="77777777" w:rsidR="007D3AD7" w:rsidRPr="00153C54" w:rsidRDefault="00000000">
            <w:pPr>
              <w:pStyle w:val="Compact"/>
              <w:jc w:val="center"/>
              <w:rPr>
                <w:rFonts w:ascii="Times New Roman" w:hAnsi="Times New Roman" w:cs="Times New Roman"/>
              </w:rPr>
            </w:pPr>
            <w:bookmarkStart w:id="11" w:name="fig-coverage-attrition"/>
            <w:r w:rsidRPr="00153C54">
              <w:rPr>
                <w:rFonts w:ascii="Times New Roman" w:hAnsi="Times New Roman" w:cs="Times New Roman"/>
                <w:noProof/>
              </w:rPr>
              <w:lastRenderedPageBreak/>
              <w:drawing>
                <wp:inline distT="0" distB="0" distL="0" distR="0" wp14:anchorId="4996FFC7" wp14:editId="40DF43AB">
                  <wp:extent cx="5334000" cy="4155483"/>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02_coverage_attrition.png"/>
                          <pic:cNvPicPr>
                            <a:picLocks noChangeAspect="1" noChangeArrowheads="1"/>
                          </pic:cNvPicPr>
                        </pic:nvPicPr>
                        <pic:blipFill>
                          <a:blip r:embed="rId6"/>
                          <a:stretch>
                            <a:fillRect/>
                          </a:stretch>
                        </pic:blipFill>
                        <pic:spPr bwMode="auto">
                          <a:xfrm>
                            <a:off x="0" y="0"/>
                            <a:ext cx="5334000" cy="4155483"/>
                          </a:xfrm>
                          <a:prstGeom prst="rect">
                            <a:avLst/>
                          </a:prstGeom>
                          <a:noFill/>
                          <a:ln w="9525">
                            <a:noFill/>
                            <a:headEnd/>
                            <a:tailEnd/>
                          </a:ln>
                        </pic:spPr>
                      </pic:pic>
                    </a:graphicData>
                  </a:graphic>
                </wp:inline>
              </w:drawing>
            </w:r>
          </w:p>
          <w:p w14:paraId="38DEEE39"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2: Quarter-disaster coverage heatmap in the left panel and analytic sample availability by merge/denominator gate in the right panel.</w:t>
            </w:r>
          </w:p>
        </w:tc>
        <w:bookmarkEnd w:id="11"/>
      </w:tr>
    </w:tbl>
    <w:p w14:paraId="6C6FCAAF"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In </w:t>
      </w:r>
      <w:hyperlink w:anchor="fig-coverage-attrition">
        <w:r w:rsidRPr="00153C54">
          <w:rPr>
            <w:rStyle w:val="Hyperlink"/>
            <w:rFonts w:ascii="Times New Roman" w:hAnsi="Times New Roman" w:cs="Times New Roman"/>
          </w:rPr>
          <w:t>Figure 2</w:t>
        </w:r>
      </w:hyperlink>
      <w:r w:rsidRPr="00153C54">
        <w:rPr>
          <w:rFonts w:ascii="Times New Roman" w:hAnsi="Times New Roman" w:cs="Times New Roman"/>
        </w:rPr>
        <w:t>, row labels use reader-facing disaster portfolio names, with the raw DRGR disaster code retained in brackets for traceability.</w:t>
      </w:r>
    </w:p>
    <w:p w14:paraId="17BF9F13"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Alongside the PDF corpus, structured DRGR workbook exports provide activity-level financial and implementation data. These include quarterly financial records by project and activity, activity progress narratives, accomplishment measures, and household characteristics by tenure and ethnicity. Together these structured sources contribute roughly 28,000 records that supplement the narrative panel with financial and beneficiary signals at the activity level.</w:t>
      </w:r>
    </w:p>
    <w:p w14:paraId="2D466D5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Construction of the analytic panel proceeds from source documents to estimation-ready observations in three steps. Page text and table content are parsed into heading-delimited sections, which are then classified into 40 thematic signal channels, yielding 1,008,100 sections and 69,339 assigned narrative chunks. Financial and completion fields from the same reporting system are aggregated into a disaster-quarter panel capturing stage-specific execution outcomes. Finally, the narrative and financial panels are merged with activity-composition indicators that classify each quarter by the predominant type of programmatic activity — whether housing, infrastructure, a mix of both, or neither.</w:t>
      </w:r>
    </w:p>
    <w:p w14:paraId="01DDDA2F" w14:textId="71F43668"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The unit of analysis is a disaster-quarter </w:t>
      </w:r>
      <w:r w:rsidR="00C9780F">
        <w:rPr>
          <w:rFonts w:ascii="Times New Roman" w:hAnsi="Times New Roman" w:cs="Times New Roman"/>
        </w:rPr>
        <w:t>representing</w:t>
      </w:r>
      <w:r w:rsidRPr="00153C54">
        <w:rPr>
          <w:rFonts w:ascii="Times New Roman" w:hAnsi="Times New Roman" w:cs="Times New Roman"/>
        </w:rPr>
        <w:t xml:space="preserve"> a single reporting period for a given disaster portfolio, identified by reporting category, disaster code, year, and quarter. The full </w:t>
      </w:r>
      <w:r w:rsidRPr="00153C54">
        <w:rPr>
          <w:rFonts w:ascii="Times New Roman" w:hAnsi="Times New Roman" w:cs="Times New Roman"/>
        </w:rPr>
        <w:lastRenderedPageBreak/>
        <w:t xml:space="preserve">panel contains 442 disaster-quarters across 32 category-disaster portfolios, of which 439 have narrative signal assignments; the three unmatched records are expenditure-only quarters that lacked narrative content. Reporting category here denotes a distinct DRGR program portfolio — such as action-plan versus performance streams — with its own implementation cadence, compliance workflow, and activity mix. Each category-disaster combination is therefore treated as a coherent execution portfolio rather than as repeated observations of a single administrative unit. Outcome-specific coverage varies with denominator availability and missingness, as detailed in </w:t>
      </w:r>
      <w:hyperlink w:anchor="sec-sample-construction">
        <w:r w:rsidRPr="00153C54">
          <w:rPr>
            <w:rStyle w:val="Hyperlink"/>
            <w:rFonts w:ascii="Times New Roman" w:hAnsi="Times New Roman" w:cs="Times New Roman"/>
          </w:rPr>
          <w:t>Section A.2</w:t>
        </w:r>
      </w:hyperlink>
      <w:r w:rsidRPr="00153C54">
        <w:rPr>
          <w:rFonts w:ascii="Times New Roman" w:hAnsi="Times New Roman" w:cs="Times New Roman"/>
        </w:rPr>
        <w:t>.</w:t>
      </w:r>
    </w:p>
    <w:p w14:paraId="3707F14D" w14:textId="77777777" w:rsidR="007D3AD7" w:rsidRPr="00153C54" w:rsidRDefault="00000000">
      <w:pPr>
        <w:pStyle w:val="Heading2"/>
        <w:rPr>
          <w:rFonts w:ascii="Times New Roman" w:hAnsi="Times New Roman" w:cs="Times New Roman"/>
          <w:sz w:val="24"/>
          <w:szCs w:val="24"/>
        </w:rPr>
      </w:pPr>
      <w:bookmarkStart w:id="12" w:name="key-variables"/>
      <w:bookmarkEnd w:id="8"/>
      <w:r w:rsidRPr="00153C54">
        <w:rPr>
          <w:rFonts w:ascii="Times New Roman" w:hAnsi="Times New Roman" w:cs="Times New Roman"/>
          <w:sz w:val="24"/>
          <w:szCs w:val="24"/>
        </w:rPr>
        <w:t>3.2 Key Variables</w:t>
      </w:r>
    </w:p>
    <w:p w14:paraId="46C0E19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focal explanatory variables are quarterly shares for a homeowner-assistance narrative signal and a roadway-reconstruction narrative signal. The stage-specific outcome set includes two rate outcomes: disbursed-to-obligated ratio and expended-to-disbursed ratio. It also includes two scale outcomes, total obligated dollars and total expended dollars, plus one completion proxy, program completion rate. To evaluate compositional heterogeneity, each disaster-quarter is assigned to an activity stratum: housing, mixed, infrastructure, or neither.</w:t>
      </w:r>
    </w:p>
    <w:p w14:paraId="709BBE7D" w14:textId="77777777" w:rsidR="007D3AD7" w:rsidRPr="00153C54" w:rsidRDefault="00000000">
      <w:pPr>
        <w:pStyle w:val="Heading2"/>
        <w:rPr>
          <w:rFonts w:ascii="Times New Roman" w:hAnsi="Times New Roman" w:cs="Times New Roman"/>
          <w:sz w:val="24"/>
          <w:szCs w:val="24"/>
        </w:rPr>
      </w:pPr>
      <w:bookmarkStart w:id="13" w:name="variable-derivation-and-transformations"/>
      <w:bookmarkEnd w:id="12"/>
      <w:r w:rsidRPr="00153C54">
        <w:rPr>
          <w:rFonts w:ascii="Times New Roman" w:hAnsi="Times New Roman" w:cs="Times New Roman"/>
          <w:sz w:val="24"/>
          <w:szCs w:val="24"/>
        </w:rPr>
        <w:t>3.3 Variable Derivation and Transformations</w:t>
      </w:r>
    </w:p>
    <w:p w14:paraId="21E7B0A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Signal intensity is measured as a within-quarter share rather than a raw count. For narrative signal </w:t>
      </w:r>
      <m:oMath>
        <m:r>
          <w:rPr>
            <w:rFonts w:ascii="Cambria Math" w:hAnsi="Cambria Math" w:cs="Times New Roman"/>
          </w:rPr>
          <m:t>k</m:t>
        </m:r>
      </m:oMath>
      <w:r w:rsidRPr="00153C54">
        <w:rPr>
          <w:rFonts w:ascii="Times New Roman" w:hAnsi="Times New Roman" w:cs="Times New Roman"/>
        </w:rPr>
        <w:t xml:space="preserve"> in disaster-quarter </w:t>
      </w:r>
      <m:oMath>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Pr="00153C54">
        <w:rPr>
          <w:rFonts w:ascii="Times New Roman" w:hAnsi="Times New Roman" w:cs="Times New Roman"/>
        </w:rPr>
        <w:t>, signal share is computed as:</w:t>
      </w:r>
    </w:p>
    <w:p w14:paraId="5071D302" w14:textId="77777777" w:rsidR="007D3AD7" w:rsidRPr="00153C54"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num>
            <m:den>
              <m:nary>
                <m:naryPr>
                  <m:chr m:val="∑"/>
                  <m:limLoc m:val="undOvr"/>
                  <m:supHide m:val="1"/>
                  <m:ctrlPr>
                    <w:rPr>
                      <w:rFonts w:ascii="Cambria Math" w:hAnsi="Cambria Math" w:cs="Times New Roman"/>
                    </w:rPr>
                  </m:ctrlPr>
                </m:naryPr>
                <m:sub>
                  <m:r>
                    <w:rPr>
                      <w:rFonts w:ascii="Cambria Math" w:hAnsi="Cambria Math" w:cs="Times New Roman"/>
                    </w:rPr>
                    <m:t>k</m:t>
                  </m:r>
                  <m:r>
                    <m:rPr>
                      <m:sty m:val="p"/>
                    </m:rPr>
                    <w:rPr>
                      <w:rFonts w:ascii="Cambria Math" w:hAnsi="Cambria Math" w:cs="Times New Roman"/>
                    </w:rPr>
                    <m:t>'</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m:t>
                      </m:r>
                    </m:sub>
                  </m:sSub>
                </m:e>
              </m:nary>
            </m:den>
          </m:f>
          <m:r>
            <m:rPr>
              <m:sty m:val="p"/>
            </m:rPr>
            <w:rPr>
              <w:rFonts w:ascii="Cambria Math" w:hAnsi="Cambria Math" w:cs="Times New Roman"/>
            </w:rPr>
            <m:t>.</m:t>
          </m:r>
        </m:oMath>
      </m:oMathPara>
    </w:p>
    <w:p w14:paraId="39B8DEB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oMath>
      <w:r w:rsidRPr="00153C54">
        <w:rPr>
          <w:rFonts w:ascii="Times New Roman" w:hAnsi="Times New Roman" w:cs="Times New Roman"/>
        </w:rPr>
        <w:t xml:space="preserve"> is the number of narrative chunks assigned to signal </w:t>
      </w:r>
      <m:oMath>
        <m:r>
          <w:rPr>
            <w:rFonts w:ascii="Cambria Math" w:hAnsi="Cambria Math" w:cs="Times New Roman"/>
          </w:rPr>
          <m:t>k</m:t>
        </m:r>
      </m:oMath>
      <w:r w:rsidRPr="00153C54">
        <w:rPr>
          <w:rFonts w:ascii="Times New Roman" w:hAnsi="Times New Roman" w:cs="Times New Roman"/>
        </w:rPr>
        <w:t xml:space="preserve"> in quarter </w:t>
      </w:r>
      <m:oMath>
        <m:d>
          <m:dPr>
            <m:ctrlPr>
              <w:rPr>
                <w:rFonts w:ascii="Cambria Math" w:hAnsi="Cambria Math" w:cs="Times New Roman"/>
              </w:rPr>
            </m:ctrlPr>
          </m:dPr>
          <m:e>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e>
        </m:d>
      </m:oMath>
      <w:r w:rsidRPr="00153C54">
        <w:rPr>
          <w:rFonts w:ascii="Times New Roman" w:hAnsi="Times New Roman" w:cs="Times New Roman"/>
        </w:rPr>
        <w:t>. This normalization adjusts for quarter-level variation in total narrative volume and makes coefficients comparable across units and periods. Because signal shares are compositional and obey a constant-sum constraint within each quarter, coefficients are interpreted as relative narrative emphasis, not absolute narrative intensity.</w:t>
      </w:r>
    </w:p>
    <w:p w14:paraId="044547BC"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To assess compositional sensitivity, key focal-signal estimates are re-computed with two alternative constructions: a log-ratio transform, </w:t>
      </w:r>
      <m:oMath>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0.5</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other</m:t>
                    </m:r>
                  </m:sub>
                </m:sSub>
                <m:r>
                  <m:rPr>
                    <m:sty m:val="p"/>
                  </m:rPr>
                  <w:rPr>
                    <w:rFonts w:ascii="Cambria Math" w:hAnsi="Cambria Math" w:cs="Times New Roman"/>
                  </w:rPr>
                  <m:t>+</m:t>
                </m:r>
                <m:r>
                  <w:rPr>
                    <w:rFonts w:ascii="Cambria Math" w:hAnsi="Cambria Math" w:cs="Times New Roman"/>
                  </w:rPr>
                  <m:t>0.5</m:t>
                </m:r>
              </m:den>
            </m:f>
          </m:e>
        </m:d>
      </m:oMath>
      <w:r w:rsidRPr="00153C54">
        <w:rPr>
          <w:rFonts w:ascii="Times New Roman" w:hAnsi="Times New Roman" w:cs="Times New Roman"/>
        </w:rPr>
        <w:t xml:space="preserve">, and a volume-adjusted log-count residual defined as the residual from regressing </w:t>
      </w: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oMath>
      <w:r w:rsidRPr="00153C54">
        <w:rPr>
          <w:rFonts w:ascii="Times New Roman" w:hAnsi="Times New Roman" w:cs="Times New Roman"/>
        </w:rPr>
        <w:t xml:space="preserve"> on </w:t>
      </w:r>
      <m:oMath>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total</m:t>
                </m:r>
              </m:sub>
            </m:sSub>
          </m:e>
        </m:d>
      </m:oMath>
      <w:r w:rsidRPr="00153C54">
        <w:rPr>
          <w:rFonts w:ascii="Times New Roman" w:hAnsi="Times New Roman" w:cs="Times New Roman"/>
        </w:rPr>
        <w:t>. These diagnostics test whether core signs depend on the share parameterization.</w:t>
      </w:r>
    </w:p>
    <w:p w14:paraId="70DDB9AE"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The SEM adapter variables are derived from quarterly financial and completion rollups. Specifically, the disbursed-to-obligated ratio is defined as drawdown dollars divided by obligated dollars, the expended-to-disbursed ratio as expended dollars divided by drawdown dollars, and the program completion rate as an alias of the source completion field. Timeliness, which is used in auxiliary checks, is defined as the inverse of mean program duration in quarters. Ratio variables are treated as missing when denominators are zero or unavailable; the resulting outcome-specific coverage is documented in </w:t>
      </w:r>
      <w:hyperlink w:anchor="sec-data-sources">
        <w:r w:rsidRPr="00153C54">
          <w:rPr>
            <w:rStyle w:val="Hyperlink"/>
            <w:rFonts w:ascii="Times New Roman" w:hAnsi="Times New Roman" w:cs="Times New Roman"/>
          </w:rPr>
          <w:t>Section A.1</w:t>
        </w:r>
      </w:hyperlink>
      <w:r w:rsidRPr="00153C54">
        <w:rPr>
          <w:rFonts w:ascii="Times New Roman" w:hAnsi="Times New Roman" w:cs="Times New Roman"/>
        </w:rPr>
        <w:t xml:space="preserve"> and </w:t>
      </w:r>
      <w:hyperlink w:anchor="sec-sample-construction">
        <w:r w:rsidRPr="00153C54">
          <w:rPr>
            <w:rStyle w:val="Hyperlink"/>
            <w:rFonts w:ascii="Times New Roman" w:hAnsi="Times New Roman" w:cs="Times New Roman"/>
          </w:rPr>
          <w:t>Section A.2</w:t>
        </w:r>
      </w:hyperlink>
      <w:r w:rsidRPr="00153C54">
        <w:rPr>
          <w:rFonts w:ascii="Times New Roman" w:hAnsi="Times New Roman" w:cs="Times New Roman"/>
        </w:rPr>
        <w:t>.</w:t>
      </w:r>
    </w:p>
    <w:p w14:paraId="052945DF" w14:textId="77777777" w:rsidR="007D3AD7" w:rsidRPr="00153C54" w:rsidRDefault="00000000">
      <w:pPr>
        <w:pStyle w:val="Heading2"/>
        <w:rPr>
          <w:rFonts w:ascii="Times New Roman" w:hAnsi="Times New Roman" w:cs="Times New Roman"/>
          <w:sz w:val="24"/>
          <w:szCs w:val="24"/>
        </w:rPr>
      </w:pPr>
      <w:bookmarkStart w:id="14" w:name="empirical-strategy"/>
      <w:bookmarkEnd w:id="13"/>
      <w:r w:rsidRPr="00153C54">
        <w:rPr>
          <w:rFonts w:ascii="Times New Roman" w:hAnsi="Times New Roman" w:cs="Times New Roman"/>
          <w:sz w:val="24"/>
          <w:szCs w:val="24"/>
        </w:rPr>
        <w:t>3.4 Empirical Strategy</w:t>
      </w:r>
    </w:p>
    <w:p w14:paraId="1B6A20A7"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A unified set of diagnostic estimands is applied consistently across pooled samples, within-unit transforms, lead horizons, activity strata, and outcome stages. Holding the estimand definition </w:t>
      </w:r>
      <w:r w:rsidRPr="00153C54">
        <w:rPr>
          <w:rFonts w:ascii="Times New Roman" w:hAnsi="Times New Roman" w:cs="Times New Roman"/>
        </w:rPr>
        <w:lastRenderedPageBreak/>
        <w:t>constant across these comparisons ensures that differences in results reflect genuine heterogeneity rather than changes in the underlying metric.</w:t>
      </w:r>
    </w:p>
    <w:p w14:paraId="517379B0" w14:textId="77777777" w:rsidR="007D3AD7" w:rsidRPr="00153C54" w:rsidRDefault="00000000">
      <w:pPr>
        <w:pStyle w:val="Heading3"/>
        <w:rPr>
          <w:rFonts w:ascii="Times New Roman" w:hAnsi="Times New Roman" w:cs="Times New Roman"/>
          <w:sz w:val="24"/>
          <w:szCs w:val="24"/>
        </w:rPr>
      </w:pPr>
      <w:bookmarkStart w:id="15" w:name="pooled-and-within-unit-correlations"/>
      <w:r w:rsidRPr="00153C54">
        <w:rPr>
          <w:rFonts w:ascii="Times New Roman" w:hAnsi="Times New Roman" w:cs="Times New Roman"/>
          <w:sz w:val="24"/>
          <w:szCs w:val="24"/>
        </w:rPr>
        <w:t>3.4.1 Pooled and Within-Unit Correlations</w:t>
      </w:r>
    </w:p>
    <w:p w14:paraId="561038AB"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baseline diagnostic is Spearman rank correlation between signal share and each outcome. We report two estimators: a pooled Spearman correlation over all merged disaster-quarters and a within-unit Spearman correlation constructed from within-disaster ranks and then pooled. This dual-estimator design separates associations driven by cross-unit composition from associations that reflect within-unit temporal movement. Spearman is used because the core variables are skewed, potentially nonlinear in levels, and more plausibly related through monotonic rather than strictly linear structure [24].</w:t>
      </w:r>
    </w:p>
    <w:p w14:paraId="475AC8E5" w14:textId="77777777" w:rsidR="007D3AD7" w:rsidRPr="00153C54" w:rsidRDefault="00000000">
      <w:pPr>
        <w:pStyle w:val="Heading3"/>
        <w:rPr>
          <w:rFonts w:ascii="Times New Roman" w:hAnsi="Times New Roman" w:cs="Times New Roman"/>
          <w:sz w:val="24"/>
          <w:szCs w:val="24"/>
        </w:rPr>
      </w:pPr>
      <w:bookmarkStart w:id="16" w:name="lead-lag-design"/>
      <w:bookmarkEnd w:id="15"/>
      <w:r w:rsidRPr="00153C54">
        <w:rPr>
          <w:rFonts w:ascii="Times New Roman" w:hAnsi="Times New Roman" w:cs="Times New Roman"/>
          <w:sz w:val="24"/>
          <w:szCs w:val="24"/>
        </w:rPr>
        <w:t>3.4.2 Lead-Lag Design</w:t>
      </w:r>
    </w:p>
    <w:p w14:paraId="00D9CBB1"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To evaluate temporal persistence, outcomes are shifted forward by one and two quarters. For lead horizon </w:t>
      </w:r>
      <m:oMath>
        <m:r>
          <w:rPr>
            <w:rFonts w:ascii="Cambria Math" w:hAnsi="Cambria Math" w:cs="Times New Roman"/>
          </w:rPr>
          <m:t>h</m:t>
        </m:r>
      </m:oMath>
      <w:r w:rsidRPr="00153C54">
        <w:rPr>
          <w:rFonts w:ascii="Times New Roman" w:hAnsi="Times New Roman" w:cs="Times New Roman"/>
        </w:rPr>
        <w:t xml:space="preserve">, the reported statistic correlates signal share at quarter </w:t>
      </w:r>
      <m:oMath>
        <m:r>
          <w:rPr>
            <w:rFonts w:ascii="Cambria Math" w:hAnsi="Cambria Math" w:cs="Times New Roman"/>
          </w:rPr>
          <m:t>t</m:t>
        </m:r>
      </m:oMath>
      <w:r w:rsidRPr="00153C54">
        <w:rPr>
          <w:rFonts w:ascii="Times New Roman" w:hAnsi="Times New Roman" w:cs="Times New Roman"/>
        </w:rPr>
        <w:t xml:space="preserve"> with outcome at quarter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oMath>
      <w:r w:rsidRPr="00153C54">
        <w:rPr>
          <w:rFonts w:ascii="Times New Roman" w:hAnsi="Times New Roman" w:cs="Times New Roman"/>
        </w:rPr>
        <w:t>. This design tests whether narrative composition has predictive continuity over short operational horizons, while avoiding causal interpretation.</w:t>
      </w:r>
    </w:p>
    <w:p w14:paraId="3E67F841"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Because lead associations can be inflated by outcome autocorrelation and reporting-template inertia, supplementary diagnostics estimate two quantities: correlations with change outcomes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oMath>
      <w:r w:rsidRPr="00153C54">
        <w:rPr>
          <w:rFonts w:ascii="Times New Roman" w:hAnsi="Times New Roman" w:cs="Times New Roman"/>
        </w:rPr>
        <w:t xml:space="preserve"> and correlations with residualized leads after regressing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oMath>
      <w:r w:rsidRPr="00153C54">
        <w:rPr>
          <w:rFonts w:ascii="Times New Roman" w:hAnsi="Times New Roman" w:cs="Times New Roman"/>
        </w:rPr>
        <w:t xml:space="preserve"> on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sidRPr="00153C54">
        <w:rPr>
          <w:rFonts w:ascii="Times New Roman" w:hAnsi="Times New Roman" w:cs="Times New Roman"/>
        </w:rPr>
        <w:t>. Signal autocorrelation is also reported as a narrative-inertia check.</w:t>
      </w:r>
    </w:p>
    <w:p w14:paraId="35AB9CDF" w14:textId="77777777" w:rsidR="007D3AD7" w:rsidRPr="00153C54" w:rsidRDefault="00000000">
      <w:pPr>
        <w:pStyle w:val="Heading3"/>
        <w:rPr>
          <w:rFonts w:ascii="Times New Roman" w:hAnsi="Times New Roman" w:cs="Times New Roman"/>
          <w:sz w:val="24"/>
          <w:szCs w:val="24"/>
        </w:rPr>
      </w:pPr>
      <w:bookmarkStart w:id="17" w:name="stratum-and-stage-analyses"/>
      <w:bookmarkEnd w:id="16"/>
      <w:r w:rsidRPr="00153C54">
        <w:rPr>
          <w:rFonts w:ascii="Times New Roman" w:hAnsi="Times New Roman" w:cs="Times New Roman"/>
          <w:sz w:val="24"/>
          <w:szCs w:val="24"/>
        </w:rPr>
        <w:t>3.4.3 Stratum and Stage Analyses</w:t>
      </w:r>
    </w:p>
    <w:p w14:paraId="13ADF25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correlation framework is re-estimated within activity strata to evaluate implementation-context heterogeneity, and across the stage-specific outcome set to identify where associations concentrate in the execution pipeline. This stratum-by-stage mapping is central to interpretation because a single pooled estimate can mask offsetting patterns across program types and administrative stages.</w:t>
      </w:r>
    </w:p>
    <w:p w14:paraId="13372A49" w14:textId="77777777" w:rsidR="007D3AD7" w:rsidRPr="00153C54" w:rsidRDefault="00000000">
      <w:pPr>
        <w:pStyle w:val="Heading3"/>
        <w:rPr>
          <w:rFonts w:ascii="Times New Roman" w:hAnsi="Times New Roman" w:cs="Times New Roman"/>
          <w:sz w:val="24"/>
          <w:szCs w:val="24"/>
        </w:rPr>
      </w:pPr>
      <w:bookmarkStart w:id="18" w:name="robustness-framework"/>
      <w:bookmarkEnd w:id="17"/>
      <w:r w:rsidRPr="00153C54">
        <w:rPr>
          <w:rFonts w:ascii="Times New Roman" w:hAnsi="Times New Roman" w:cs="Times New Roman"/>
          <w:sz w:val="24"/>
          <w:szCs w:val="24"/>
        </w:rPr>
        <w:t>3.4.4 Robustness Framework</w:t>
      </w:r>
    </w:p>
    <w:p w14:paraId="465DDFD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Four robustness diagnostics bound interpretation. Leave-one-disaster-out (LOO) re-estimation identifies whether any single portfolio drives the pooled result. Ratio-cap sensitivity progressively trims the expended-to-disbursed ratio to evaluate dependence on extreme denominator realizations. Compositional re-parameterization re-estimates key associations using log-ratio and volume-adjusted count constructions to guard against artifacts of the share normalization. Lead incremental-content diagnostics compare baseline lead associations against change-outcome and residualized-lead alternatives to separate signal content from outcome persistence. False discovery rates across method families are controlled using Benjamini-Hochberg q-values [1].</w:t>
      </w:r>
    </w:p>
    <w:p w14:paraId="1A6183EA" w14:textId="77777777" w:rsidR="007D3AD7" w:rsidRPr="00153C54" w:rsidRDefault="00000000">
      <w:pPr>
        <w:pStyle w:val="Heading2"/>
        <w:rPr>
          <w:rFonts w:ascii="Times New Roman" w:hAnsi="Times New Roman" w:cs="Times New Roman"/>
          <w:sz w:val="24"/>
          <w:szCs w:val="24"/>
        </w:rPr>
      </w:pPr>
      <w:bookmarkStart w:id="19" w:name="scope-and-identification"/>
      <w:bookmarkEnd w:id="14"/>
      <w:bookmarkEnd w:id="18"/>
      <w:r w:rsidRPr="00153C54">
        <w:rPr>
          <w:rFonts w:ascii="Times New Roman" w:hAnsi="Times New Roman" w:cs="Times New Roman"/>
          <w:sz w:val="24"/>
          <w:szCs w:val="24"/>
        </w:rPr>
        <w:t>3.5 Scope and Identification</w:t>
      </w:r>
    </w:p>
    <w:p w14:paraId="2A0E7A0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This is an exploratory, diagnostic study. The design establishes structured associations and characterizes their heterogeneity and </w:t>
      </w:r>
      <w:proofErr w:type="gramStart"/>
      <w:r w:rsidRPr="00153C54">
        <w:rPr>
          <w:rFonts w:ascii="Times New Roman" w:hAnsi="Times New Roman" w:cs="Times New Roman"/>
        </w:rPr>
        <w:t>stability, but</w:t>
      </w:r>
      <w:proofErr w:type="gramEnd"/>
      <w:r w:rsidRPr="00153C54">
        <w:rPr>
          <w:rFonts w:ascii="Times New Roman" w:hAnsi="Times New Roman" w:cs="Times New Roman"/>
        </w:rPr>
        <w:t xml:space="preserve"> does not support causal claims. The temporal lead-horizon checks provide evidence of predictive persistence, not anticipatory causation, and </w:t>
      </w:r>
      <w:r w:rsidRPr="00153C54">
        <w:rPr>
          <w:rFonts w:ascii="Times New Roman" w:hAnsi="Times New Roman" w:cs="Times New Roman"/>
        </w:rPr>
        <w:lastRenderedPageBreak/>
        <w:t>the observational design cannot rule out common causes, reporting inertia, or selection into program activity types. We interpret results as hypothesis-organizing evidence that can motivate more targeted identification strategies in subsequent work.</w:t>
      </w:r>
    </w:p>
    <w:p w14:paraId="086D40F5" w14:textId="77777777" w:rsidR="007D3AD7" w:rsidRPr="00153C54" w:rsidRDefault="00000000">
      <w:pPr>
        <w:pStyle w:val="Heading1"/>
        <w:rPr>
          <w:rFonts w:ascii="Times New Roman" w:hAnsi="Times New Roman" w:cs="Times New Roman"/>
          <w:sz w:val="24"/>
          <w:szCs w:val="24"/>
        </w:rPr>
      </w:pPr>
      <w:bookmarkStart w:id="20" w:name="sec-results"/>
      <w:bookmarkEnd w:id="7"/>
      <w:bookmarkEnd w:id="19"/>
      <w:r w:rsidRPr="00153C54">
        <w:rPr>
          <w:rFonts w:ascii="Times New Roman" w:hAnsi="Times New Roman" w:cs="Times New Roman"/>
          <w:sz w:val="24"/>
          <w:szCs w:val="24"/>
        </w:rPr>
        <w:t>4. Results</w:t>
      </w:r>
    </w:p>
    <w:p w14:paraId="6261B09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results build the empirical argument in four stages. We first establish that both focal signals carry forward-looking information about execution outcomes over one- and two-quarter horizons. We then show that this predictive structure is conditioned by program composition, that signals concentrate at different stages of the execution pipeline, and that the two signals exhibit characteristically different decomposition profiles. Robustness boundaries and asymmetries between the signals are addressed throughout and synthesized at the end of the section.</w:t>
      </w:r>
    </w:p>
    <w:p w14:paraId="58C1B7C0" w14:textId="77777777" w:rsidR="007D3AD7" w:rsidRPr="00153C54" w:rsidRDefault="00000000">
      <w:pPr>
        <w:pStyle w:val="Heading2"/>
        <w:rPr>
          <w:rFonts w:ascii="Times New Roman" w:hAnsi="Times New Roman" w:cs="Times New Roman"/>
          <w:sz w:val="24"/>
          <w:szCs w:val="24"/>
        </w:rPr>
      </w:pPr>
      <w:bookmarkStart w:id="21" w:name="X79238d2465648371861fbfef744ee89b2e676b1"/>
      <w:r w:rsidRPr="00153C54">
        <w:rPr>
          <w:rFonts w:ascii="Times New Roman" w:hAnsi="Times New Roman" w:cs="Times New Roman"/>
          <w:sz w:val="24"/>
          <w:szCs w:val="24"/>
        </w:rPr>
        <w:t>4.1 Temporal Persistence: Lead-Horizon Evidence</w:t>
      </w:r>
    </w:p>
    <w:p w14:paraId="1AB3217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Both focal signals show consistent directional persistence across lead horizons. The homeowner-assistance signal is negatively associated with the expended-to-disbursed ratio contemporaneously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0.331</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8.16</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153C54">
        <w:rPr>
          <w:rFonts w:ascii="Times New Roman" w:hAnsi="Times New Roman" w:cs="Times New Roman"/>
        </w:rPr>
        <w:t>) and remains so at one-quarter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0.362</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1.84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153C54">
        <w:rPr>
          <w:rFonts w:ascii="Times New Roman" w:hAnsi="Times New Roman" w:cs="Times New Roman"/>
        </w:rPr>
        <w:t>) and two-quarter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0.328</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1.57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7</m:t>
            </m:r>
          </m:sup>
        </m:sSup>
      </m:oMath>
      <w:r w:rsidRPr="00153C54">
        <w:rPr>
          <w:rFonts w:ascii="Times New Roman" w:hAnsi="Times New Roman" w:cs="Times New Roman"/>
        </w:rPr>
        <w:t>) leads. The roadway-reconstruction signal runs in the opposite direction, with a positive association that likewise holds at lag 0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0.339</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5.74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153C54">
        <w:rPr>
          <w:rFonts w:ascii="Times New Roman" w:hAnsi="Times New Roman" w:cs="Times New Roman"/>
        </w:rPr>
        <w:t>), lag 1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0.339</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2.08</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8</m:t>
            </m:r>
          </m:sup>
        </m:sSup>
      </m:oMath>
      <w:r w:rsidRPr="00153C54">
        <w:rPr>
          <w:rFonts w:ascii="Times New Roman" w:hAnsi="Times New Roman" w:cs="Times New Roman"/>
        </w:rPr>
        <w:t>), and lag 2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0.352</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1.54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8</m:t>
            </m:r>
          </m:sup>
        </m:sSup>
      </m:oMath>
      <w:r w:rsidRPr="00153C54">
        <w:rPr>
          <w:rFonts w:ascii="Times New Roman" w:hAnsi="Times New Roman" w:cs="Times New Roman"/>
        </w:rPr>
        <w:t>).</w:t>
      </w:r>
    </w:p>
    <w:tbl>
      <w:tblPr>
        <w:tblStyle w:val="Table"/>
        <w:tblW w:w="5000" w:type="pct"/>
        <w:tblLayout w:type="fixed"/>
        <w:tblLook w:val="0000" w:firstRow="0" w:lastRow="0" w:firstColumn="0" w:lastColumn="0" w:noHBand="0" w:noVBand="0"/>
      </w:tblPr>
      <w:tblGrid>
        <w:gridCol w:w="9576"/>
      </w:tblGrid>
      <w:tr w:rsidR="007D3AD7" w:rsidRPr="00153C54" w14:paraId="76548B33" w14:textId="77777777">
        <w:tc>
          <w:tcPr>
            <w:tcW w:w="7920" w:type="dxa"/>
          </w:tcPr>
          <w:p w14:paraId="651858A1" w14:textId="77777777" w:rsidR="007D3AD7" w:rsidRPr="00153C54" w:rsidRDefault="00000000">
            <w:pPr>
              <w:pStyle w:val="Compact"/>
              <w:jc w:val="center"/>
              <w:rPr>
                <w:rFonts w:ascii="Times New Roman" w:hAnsi="Times New Roman" w:cs="Times New Roman"/>
              </w:rPr>
            </w:pPr>
            <w:bookmarkStart w:id="22" w:name="fig-lead-persistence"/>
            <w:r w:rsidRPr="00153C54">
              <w:rPr>
                <w:rFonts w:ascii="Times New Roman" w:hAnsi="Times New Roman" w:cs="Times New Roman"/>
                <w:noProof/>
              </w:rPr>
              <w:drawing>
                <wp:inline distT="0" distB="0" distL="0" distR="0" wp14:anchorId="5033D0CF" wp14:editId="6EDE7F4C">
                  <wp:extent cx="5334000" cy="266416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fig_03_lead_persistence.png"/>
                          <pic:cNvPicPr>
                            <a:picLocks noChangeAspect="1" noChangeArrowheads="1"/>
                          </pic:cNvPicPr>
                        </pic:nvPicPr>
                        <pic:blipFill>
                          <a:blip r:embed="rId7"/>
                          <a:stretch>
                            <a:fillRect/>
                          </a:stretch>
                        </pic:blipFill>
                        <pic:spPr bwMode="auto">
                          <a:xfrm>
                            <a:off x="0" y="0"/>
                            <a:ext cx="5334000" cy="2664161"/>
                          </a:xfrm>
                          <a:prstGeom prst="rect">
                            <a:avLst/>
                          </a:prstGeom>
                          <a:noFill/>
                          <a:ln w="9525">
                            <a:noFill/>
                            <a:headEnd/>
                            <a:tailEnd/>
                          </a:ln>
                        </pic:spPr>
                      </pic:pic>
                    </a:graphicData>
                  </a:graphic>
                </wp:inline>
              </w:drawing>
            </w:r>
          </w:p>
          <w:p w14:paraId="720CF65F"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3: Lead-horizon persistence for focal signals on the expended-to-disbursed ratio, with 95% confidence intervals computed using the Fisher-z approximation.</w:t>
            </w:r>
          </w:p>
        </w:tc>
        <w:bookmarkEnd w:id="22"/>
      </w:tr>
    </w:tbl>
    <w:p w14:paraId="246D2AED"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This persistence indicates that signal composition is not only contemporaneous description; it tracks near-term execution dynamics. The result supports narrative monitoring use cases where agencies require forward-looking triage rather than purely retrospective reporting.</w:t>
      </w:r>
    </w:p>
    <w:p w14:paraId="0B148245"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lastRenderedPageBreak/>
        <w:t xml:space="preserve">This persistence is not reducible to simple outcome carry-over. After partialing out the contemporaneous value of the expended-to-disbursed ratio, residualized-lead correlations remain directionally aligned and statistically meaningful for both signals. For homeowner assistance, the residualized associations are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0.313</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3.75</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7</m:t>
            </m:r>
          </m:sup>
        </m:sSup>
      </m:oMath>
      <w:r w:rsidRPr="00153C54">
        <w:rPr>
          <w:rFonts w:ascii="Times New Roman" w:hAnsi="Times New Roman" w:cs="Times New Roman"/>
        </w:rPr>
        <w:t xml:space="preserve">) at lag 1 and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0.257</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3.60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5</m:t>
            </m:r>
          </m:sup>
        </m:sSup>
      </m:oMath>
      <w:r w:rsidRPr="00153C54">
        <w:rPr>
          <w:rFonts w:ascii="Times New Roman" w:hAnsi="Times New Roman" w:cs="Times New Roman"/>
        </w:rPr>
        <w:t xml:space="preserve">) at lag 2; for roadway reconstruction,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0.271</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1.02</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5</m:t>
            </m:r>
          </m:sup>
        </m:sSup>
      </m:oMath>
      <w:r w:rsidRPr="00153C54">
        <w:rPr>
          <w:rFonts w:ascii="Times New Roman" w:hAnsi="Times New Roman" w:cs="Times New Roman"/>
        </w:rPr>
        <w:t xml:space="preserve">) and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0.209</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8.37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oMath>
      <w:r w:rsidRPr="00153C54">
        <w:rPr>
          <w:rFonts w:ascii="Times New Roman" w:hAnsi="Times New Roman" w:cs="Times New Roman"/>
        </w:rPr>
        <w:t>) respectively. By contrast, change-outcome correlations are considerably weaker, in several cases approaching zero. Together, these diagnostics suggest that the baseline lead associations combine genuine incremental information with mechanically persistent outcome trajectories — rather than reflecting either component alone.</w:t>
      </w:r>
    </w:p>
    <w:p w14:paraId="2CD63F13" w14:textId="77777777" w:rsidR="007D3AD7" w:rsidRPr="00153C54" w:rsidRDefault="00000000">
      <w:pPr>
        <w:pStyle w:val="Heading2"/>
        <w:rPr>
          <w:rFonts w:ascii="Times New Roman" w:hAnsi="Times New Roman" w:cs="Times New Roman"/>
          <w:sz w:val="24"/>
          <w:szCs w:val="24"/>
        </w:rPr>
      </w:pPr>
      <w:bookmarkStart w:id="23" w:name="X1d1b3321bfbd54e103c0c31de4683c16a5dc64e"/>
      <w:bookmarkEnd w:id="21"/>
      <w:r w:rsidRPr="00153C54">
        <w:rPr>
          <w:rFonts w:ascii="Times New Roman" w:hAnsi="Times New Roman" w:cs="Times New Roman"/>
          <w:sz w:val="24"/>
          <w:szCs w:val="24"/>
        </w:rPr>
        <w:t>4.2 Program-Mix Heterogeneity: Stratum Evidence</w:t>
      </w:r>
    </w:p>
    <w:p w14:paraId="323E839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Stratifying by activity composition substantially changes what the associations imply. Among quarters with a mix of housing and infrastructure activity — the largest stratum — both focal signals retain their baseline direction and statistical strength: homeowner assistance remains negative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0.345</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2.37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153C54">
        <w:rPr>
          <w:rFonts w:ascii="Times New Roman" w:hAnsi="Times New Roman" w:cs="Times New Roman"/>
        </w:rPr>
        <w:t>) and roadway reconstruction remains positive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0.348</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2.37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153C54">
        <w:rPr>
          <w:rFonts w:ascii="Times New Roman" w:hAnsi="Times New Roman" w:cs="Times New Roman"/>
        </w:rPr>
        <w:t>). In housing-dominant quarters, by contrast, both signals weaken to statistical non-significance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0.144</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0.302</m:t>
        </m:r>
      </m:oMath>
      <w:r w:rsidRPr="00153C54">
        <w:rPr>
          <w:rFonts w:ascii="Times New Roman" w:hAnsi="Times New Roman" w:cs="Times New Roman"/>
        </w:rPr>
        <w:t xml:space="preserve"> and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0.228</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0.109</m:t>
        </m:r>
      </m:oMath>
      <w:r w:rsidRPr="00153C54">
        <w:rPr>
          <w:rFonts w:ascii="Times New Roman" w:hAnsi="Times New Roman" w:cs="Times New Roman"/>
        </w:rPr>
        <w:t xml:space="preserve">, respectively). The infrastructure and neither </w:t>
      </w:r>
      <w:proofErr w:type="gramStart"/>
      <w:r w:rsidRPr="00153C54">
        <w:rPr>
          <w:rFonts w:ascii="Times New Roman" w:hAnsi="Times New Roman" w:cs="Times New Roman"/>
        </w:rPr>
        <w:t>strata</w:t>
      </w:r>
      <w:proofErr w:type="gramEnd"/>
      <w:r w:rsidRPr="00153C54">
        <w:rPr>
          <w:rFonts w:ascii="Times New Roman" w:hAnsi="Times New Roman" w:cs="Times New Roman"/>
        </w:rPr>
        <w:t xml:space="preserve"> offer limited sample power, but sign shifts in these smaller cells reinforce the broader interpretation: the pooled results aggregate across operationally distinct program contexts rather than reflecting a single common mechanism.</w:t>
      </w:r>
    </w:p>
    <w:tbl>
      <w:tblPr>
        <w:tblStyle w:val="Table"/>
        <w:tblW w:w="5000" w:type="pct"/>
        <w:tblLayout w:type="fixed"/>
        <w:tblLook w:val="0000" w:firstRow="0" w:lastRow="0" w:firstColumn="0" w:lastColumn="0" w:noHBand="0" w:noVBand="0"/>
      </w:tblPr>
      <w:tblGrid>
        <w:gridCol w:w="9576"/>
      </w:tblGrid>
      <w:tr w:rsidR="007D3AD7" w:rsidRPr="00153C54" w14:paraId="6BD8C73D" w14:textId="77777777">
        <w:tc>
          <w:tcPr>
            <w:tcW w:w="7920" w:type="dxa"/>
          </w:tcPr>
          <w:p w14:paraId="234BCAFF" w14:textId="77777777" w:rsidR="007D3AD7" w:rsidRPr="00153C54" w:rsidRDefault="00000000">
            <w:pPr>
              <w:pStyle w:val="Compact"/>
              <w:jc w:val="center"/>
              <w:rPr>
                <w:rFonts w:ascii="Times New Roman" w:hAnsi="Times New Roman" w:cs="Times New Roman"/>
              </w:rPr>
            </w:pPr>
            <w:bookmarkStart w:id="24" w:name="fig-stratum-heterogeneity"/>
            <w:r w:rsidRPr="00153C54">
              <w:rPr>
                <w:rFonts w:ascii="Times New Roman" w:hAnsi="Times New Roman" w:cs="Times New Roman"/>
                <w:noProof/>
              </w:rPr>
              <w:drawing>
                <wp:inline distT="0" distB="0" distL="0" distR="0" wp14:anchorId="68C6683D" wp14:editId="1E99E014">
                  <wp:extent cx="5334000" cy="2636108"/>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figures/fig_05_stratum_heterogeneity.png"/>
                          <pic:cNvPicPr>
                            <a:picLocks noChangeAspect="1" noChangeArrowheads="1"/>
                          </pic:cNvPicPr>
                        </pic:nvPicPr>
                        <pic:blipFill>
                          <a:blip r:embed="rId8"/>
                          <a:stretch>
                            <a:fillRect/>
                          </a:stretch>
                        </pic:blipFill>
                        <pic:spPr bwMode="auto">
                          <a:xfrm>
                            <a:off x="0" y="0"/>
                            <a:ext cx="5334000" cy="2636108"/>
                          </a:xfrm>
                          <a:prstGeom prst="rect">
                            <a:avLst/>
                          </a:prstGeom>
                          <a:noFill/>
                          <a:ln w="9525">
                            <a:noFill/>
                            <a:headEnd/>
                            <a:tailEnd/>
                          </a:ln>
                        </pic:spPr>
                      </pic:pic>
                    </a:graphicData>
                  </a:graphic>
                </wp:inline>
              </w:drawing>
            </w:r>
          </w:p>
          <w:p w14:paraId="2DB74B84"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4: Activity-stratum heterogeneity for focal signals on the expended-to-disbursed ratio; marker size is proportional to the observation-pair count.</w:t>
            </w:r>
          </w:p>
        </w:tc>
        <w:bookmarkEnd w:id="24"/>
      </w:tr>
    </w:tbl>
    <w:p w14:paraId="76606984" w14:textId="77777777" w:rsidR="007D3AD7" w:rsidRPr="00153C54" w:rsidRDefault="00000000">
      <w:pPr>
        <w:pStyle w:val="Heading2"/>
        <w:rPr>
          <w:rFonts w:ascii="Times New Roman" w:hAnsi="Times New Roman" w:cs="Times New Roman"/>
          <w:sz w:val="24"/>
          <w:szCs w:val="24"/>
        </w:rPr>
      </w:pPr>
      <w:bookmarkStart w:id="25" w:name="stage-specific-dynamics-outcome-mapping"/>
      <w:bookmarkEnd w:id="23"/>
      <w:r w:rsidRPr="00153C54">
        <w:rPr>
          <w:rFonts w:ascii="Times New Roman" w:hAnsi="Times New Roman" w:cs="Times New Roman"/>
          <w:sz w:val="24"/>
          <w:szCs w:val="24"/>
        </w:rPr>
        <w:t>4.3 Stage-Specific Dynamics: Outcome Mapping</w:t>
      </w:r>
    </w:p>
    <w:p w14:paraId="6BBCDE9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two signals occupy strikingly different positions in the execution pipeline. The homeowner-assistance signal is positively associated with the disbursed-to-obligated ratio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0.342</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2.07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7</m:t>
            </m:r>
          </m:sup>
        </m:sSup>
      </m:oMath>
      <w:r w:rsidRPr="00153C54">
        <w:rPr>
          <w:rFonts w:ascii="Times New Roman" w:hAnsi="Times New Roman" w:cs="Times New Roman"/>
        </w:rPr>
        <w:t>) — the early drawdown stage — but negatively associated with all downstream outcomes: expended-to-disbursed ratio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0.331</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1.43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9</m:t>
            </m:r>
          </m:sup>
        </m:sSup>
      </m:oMath>
      <w:r w:rsidRPr="00153C54">
        <w:rPr>
          <w:rFonts w:ascii="Times New Roman" w:hAnsi="Times New Roman" w:cs="Times New Roman"/>
        </w:rPr>
        <w:t>), total obligated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0.360</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7.87</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14</m:t>
            </m:r>
          </m:sup>
        </m:sSup>
      </m:oMath>
      <w:r w:rsidRPr="00153C54">
        <w:rPr>
          <w:rFonts w:ascii="Times New Roman" w:hAnsi="Times New Roman" w:cs="Times New Roman"/>
        </w:rPr>
        <w:t>), total expended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0.304</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4.23</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10</m:t>
            </m:r>
          </m:sup>
        </m:sSup>
      </m:oMath>
      <w:r w:rsidRPr="00153C54">
        <w:rPr>
          <w:rFonts w:ascii="Times New Roman" w:hAnsi="Times New Roman" w:cs="Times New Roman"/>
        </w:rPr>
        <w:t xml:space="preserve">), and program </w:t>
      </w:r>
      <w:r w:rsidRPr="00153C54">
        <w:rPr>
          <w:rFonts w:ascii="Times New Roman" w:hAnsi="Times New Roman" w:cs="Times New Roman"/>
        </w:rPr>
        <w:lastRenderedPageBreak/>
        <w:t>completion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0.188</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2.04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4</m:t>
            </m:r>
          </m:sup>
        </m:sSup>
      </m:oMath>
      <w:r w:rsidRPr="00153C54">
        <w:rPr>
          <w:rFonts w:ascii="Times New Roman" w:hAnsi="Times New Roman" w:cs="Times New Roman"/>
        </w:rPr>
        <w:t>). The roadway-reconstruction signal shows the opposite pattern: it is essentially unrelated to early drawdown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0.071</m:t>
        </m:r>
      </m:oMath>
      <w:r w:rsidRPr="00153C54">
        <w:rPr>
          <w:rFonts w:ascii="Times New Roman" w:hAnsi="Times New Roman"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0.365</m:t>
        </m:r>
      </m:oMath>
      <w:r w:rsidRPr="00153C54">
        <w:rPr>
          <w:rFonts w:ascii="Times New Roman" w:hAnsi="Times New Roman" w:cs="Times New Roman"/>
        </w:rPr>
        <w:t xml:space="preserve">), while exhibiting positive and significant associations with expenditure conversion, obligation volume, expenditure volume, and completion (ranging from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0.146</m:t>
        </m:r>
      </m:oMath>
      <w:r w:rsidRPr="00153C54">
        <w:rPr>
          <w:rFonts w:ascii="Times New Roman" w:hAnsi="Times New Roman" w:cs="Times New Roman"/>
        </w:rPr>
        <w:t xml:space="preserve"> to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0.354</m:t>
        </m:r>
      </m:oMath>
      <w:r w:rsidRPr="00153C54">
        <w:rPr>
          <w:rFonts w:ascii="Times New Roman" w:hAnsi="Times New Roman" w:cs="Times New Roman"/>
        </w:rPr>
        <w:t xml:space="preserve"> across outcomes). A signal can therefore be favorable at one stage of the pipeline while appearing unfavorable — or irrelevant — at another, making single-metric summaries of performance misleading.</w:t>
      </w:r>
    </w:p>
    <w:tbl>
      <w:tblPr>
        <w:tblStyle w:val="Table"/>
        <w:tblW w:w="5000" w:type="pct"/>
        <w:tblLayout w:type="fixed"/>
        <w:tblLook w:val="0000" w:firstRow="0" w:lastRow="0" w:firstColumn="0" w:lastColumn="0" w:noHBand="0" w:noVBand="0"/>
      </w:tblPr>
      <w:tblGrid>
        <w:gridCol w:w="9576"/>
      </w:tblGrid>
      <w:tr w:rsidR="007D3AD7" w:rsidRPr="00153C54" w14:paraId="50919FCE" w14:textId="77777777">
        <w:tc>
          <w:tcPr>
            <w:tcW w:w="7920" w:type="dxa"/>
          </w:tcPr>
          <w:p w14:paraId="47B5425E" w14:textId="77777777" w:rsidR="007D3AD7" w:rsidRPr="00153C54" w:rsidRDefault="00000000">
            <w:pPr>
              <w:pStyle w:val="Compact"/>
              <w:jc w:val="center"/>
              <w:rPr>
                <w:rFonts w:ascii="Times New Roman" w:hAnsi="Times New Roman" w:cs="Times New Roman"/>
              </w:rPr>
            </w:pPr>
            <w:bookmarkStart w:id="26" w:name="fig-stage-map"/>
            <w:r w:rsidRPr="00153C54">
              <w:rPr>
                <w:rFonts w:ascii="Times New Roman" w:hAnsi="Times New Roman" w:cs="Times New Roman"/>
                <w:noProof/>
              </w:rPr>
              <w:drawing>
                <wp:inline distT="0" distB="0" distL="0" distR="0" wp14:anchorId="103612AB" wp14:editId="0576F4D4">
                  <wp:extent cx="5334000" cy="378083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figures/fig_04_stage_outcome_map.png"/>
                          <pic:cNvPicPr>
                            <a:picLocks noChangeAspect="1" noChangeArrowheads="1"/>
                          </pic:cNvPicPr>
                        </pic:nvPicPr>
                        <pic:blipFill>
                          <a:blip r:embed="rId9"/>
                          <a:stretch>
                            <a:fillRect/>
                          </a:stretch>
                        </pic:blipFill>
                        <pic:spPr bwMode="auto">
                          <a:xfrm>
                            <a:off x="0" y="0"/>
                            <a:ext cx="5334000" cy="3780830"/>
                          </a:xfrm>
                          <a:prstGeom prst="rect">
                            <a:avLst/>
                          </a:prstGeom>
                          <a:noFill/>
                          <a:ln w="9525">
                            <a:noFill/>
                            <a:headEnd/>
                            <a:tailEnd/>
                          </a:ln>
                        </pic:spPr>
                      </pic:pic>
                    </a:graphicData>
                  </a:graphic>
                </wp:inline>
              </w:drawing>
            </w:r>
          </w:p>
          <w:p w14:paraId="0FBFEA71"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5: Stage-specific outcome map for focal signals. Asterisks denote q-value thresholds: * q &lt; 0.05, ** q &lt; 0.01, *** q &lt; 0.001.</w:t>
            </w:r>
          </w:p>
        </w:tc>
        <w:bookmarkEnd w:id="26"/>
      </w:tr>
    </w:tbl>
    <w:p w14:paraId="7DAC88DC"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These patterns reinforce a core design claim of the paper: stage-specific interpretation is necessary for valid monitoring use. A narrative signal can be favorable on one stage metric and unfavorable on another, so single-metric summaries can misclassify implementation state.</w:t>
      </w:r>
    </w:p>
    <w:p w14:paraId="5F0B56C2" w14:textId="77777777" w:rsidR="007D3AD7" w:rsidRPr="00153C54" w:rsidRDefault="00000000">
      <w:pPr>
        <w:pStyle w:val="Heading2"/>
        <w:rPr>
          <w:rFonts w:ascii="Times New Roman" w:hAnsi="Times New Roman" w:cs="Times New Roman"/>
          <w:sz w:val="24"/>
          <w:szCs w:val="24"/>
        </w:rPr>
      </w:pPr>
      <w:bookmarkStart w:id="27" w:name="composition-versus-within-unit-dynamics"/>
      <w:bookmarkEnd w:id="25"/>
      <w:r w:rsidRPr="00153C54">
        <w:rPr>
          <w:rFonts w:ascii="Times New Roman" w:hAnsi="Times New Roman" w:cs="Times New Roman"/>
          <w:sz w:val="24"/>
          <w:szCs w:val="24"/>
        </w:rPr>
        <w:t>4.4 Composition Versus Within-Unit Dynamics</w:t>
      </w:r>
    </w:p>
    <w:p w14:paraId="510C2D7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Decomposing pooled from within-unit associations clarifies a central interpretive ambiguity. For the homeowner-assistance signal, the pooled correlation with the expended-to-disbursed ratio is </w:t>
      </w:r>
      <m:oMath>
        <m:r>
          <m:rPr>
            <m:sty m:val="p"/>
          </m:rPr>
          <w:rPr>
            <w:rFonts w:ascii="Cambria Math" w:hAnsi="Cambria Math" w:cs="Times New Roman"/>
          </w:rPr>
          <m:t>-</m:t>
        </m:r>
        <m:r>
          <w:rPr>
            <w:rFonts w:ascii="Cambria Math" w:hAnsi="Cambria Math" w:cs="Times New Roman"/>
          </w:rPr>
          <m:t>0.331</m:t>
        </m:r>
      </m:oMath>
      <w:r w:rsidRPr="00153C54">
        <w:rPr>
          <w:rFonts w:ascii="Times New Roman" w:hAnsi="Times New Roman" w:cs="Times New Roman"/>
        </w:rPr>
        <w:t xml:space="preserve">, while the within-portfolio correlation is </w:t>
      </w:r>
      <m:oMath>
        <m:r>
          <m:rPr>
            <m:sty m:val="p"/>
          </m:rPr>
          <w:rPr>
            <w:rFonts w:ascii="Cambria Math" w:hAnsi="Cambria Math" w:cs="Times New Roman"/>
          </w:rPr>
          <m:t>+</m:t>
        </m:r>
        <m:r>
          <w:rPr>
            <w:rFonts w:ascii="Cambria Math" w:hAnsi="Cambria Math" w:cs="Times New Roman"/>
          </w:rPr>
          <m:t>0.500</m:t>
        </m:r>
      </m:oMath>
      <w:r w:rsidRPr="00153C54">
        <w:rPr>
          <w:rFonts w:ascii="Times New Roman" w:hAnsi="Times New Roman" w:cs="Times New Roman"/>
        </w:rPr>
        <w:t xml:space="preserve"> — a sign reversal that indicates the aggregate negative pattern is at least partly compositional: portfolios that are structurally homeowner-intensive tend to exhibit slower expenditure conversion relative to other portfolios, even if, within a given portfolio, periods of heightened homeowner-assistance emphasis do not coincide with deteriorating conversion rates. For the roadway-reconstruction signal, pooled and within-unit correlations align in direction, with within-unit associations (</w:t>
      </w:r>
      <m:oMath>
        <m:r>
          <m:rPr>
            <m:sty m:val="p"/>
          </m:rPr>
          <w:rPr>
            <w:rFonts w:ascii="Cambria Math" w:hAnsi="Cambria Math" w:cs="Times New Roman"/>
          </w:rPr>
          <m:t>+</m:t>
        </m:r>
        <m:r>
          <w:rPr>
            <w:rFonts w:ascii="Cambria Math" w:hAnsi="Cambria Math" w:cs="Times New Roman"/>
          </w:rPr>
          <m:t>0.673</m:t>
        </m:r>
      </m:oMath>
      <w:r w:rsidRPr="00153C54">
        <w:rPr>
          <w:rFonts w:ascii="Times New Roman" w:hAnsi="Times New Roman" w:cs="Times New Roman"/>
        </w:rPr>
        <w:t>) actually stronger than pooled (</w:t>
      </w:r>
      <m:oMath>
        <m:r>
          <m:rPr>
            <m:sty m:val="p"/>
          </m:rPr>
          <w:rPr>
            <w:rFonts w:ascii="Cambria Math" w:hAnsi="Cambria Math" w:cs="Times New Roman"/>
          </w:rPr>
          <m:t>+</m:t>
        </m:r>
        <m:r>
          <w:rPr>
            <w:rFonts w:ascii="Cambria Math" w:hAnsi="Cambria Math" w:cs="Times New Roman"/>
          </w:rPr>
          <m:t>0.339</m:t>
        </m:r>
      </m:oMath>
      <w:r w:rsidRPr="00153C54">
        <w:rPr>
          <w:rFonts w:ascii="Times New Roman" w:hAnsi="Times New Roman" w:cs="Times New Roman"/>
        </w:rPr>
        <w:t>), suggesting a more consistent temporal pattern across contexts.</w:t>
      </w:r>
    </w:p>
    <w:tbl>
      <w:tblPr>
        <w:tblStyle w:val="Table"/>
        <w:tblW w:w="5000" w:type="pct"/>
        <w:tblLayout w:type="fixed"/>
        <w:tblLook w:val="0000" w:firstRow="0" w:lastRow="0" w:firstColumn="0" w:lastColumn="0" w:noHBand="0" w:noVBand="0"/>
      </w:tblPr>
      <w:tblGrid>
        <w:gridCol w:w="9576"/>
      </w:tblGrid>
      <w:tr w:rsidR="007D3AD7" w:rsidRPr="00153C54" w14:paraId="23C17FB3" w14:textId="77777777">
        <w:tc>
          <w:tcPr>
            <w:tcW w:w="7920" w:type="dxa"/>
          </w:tcPr>
          <w:p w14:paraId="5B38F1AA" w14:textId="77777777" w:rsidR="007D3AD7" w:rsidRPr="00153C54" w:rsidRDefault="00000000">
            <w:pPr>
              <w:pStyle w:val="Compact"/>
              <w:jc w:val="center"/>
              <w:rPr>
                <w:rFonts w:ascii="Times New Roman" w:hAnsi="Times New Roman" w:cs="Times New Roman"/>
              </w:rPr>
            </w:pPr>
            <w:bookmarkStart w:id="28" w:name="fig-decomposition"/>
            <w:r w:rsidRPr="00153C54">
              <w:rPr>
                <w:rFonts w:ascii="Times New Roman" w:hAnsi="Times New Roman" w:cs="Times New Roman"/>
                <w:noProof/>
              </w:rPr>
              <w:lastRenderedPageBreak/>
              <w:drawing>
                <wp:inline distT="0" distB="0" distL="0" distR="0" wp14:anchorId="3F9B202A" wp14:editId="3D2DB91C">
                  <wp:extent cx="5334000" cy="2953094"/>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63" name="Picture" descr="figures/fig_06_pooled_within_decomposition.png"/>
                          <pic:cNvPicPr>
                            <a:picLocks noChangeAspect="1" noChangeArrowheads="1"/>
                          </pic:cNvPicPr>
                        </pic:nvPicPr>
                        <pic:blipFill>
                          <a:blip r:embed="rId10"/>
                          <a:stretch>
                            <a:fillRect/>
                          </a:stretch>
                        </pic:blipFill>
                        <pic:spPr bwMode="auto">
                          <a:xfrm>
                            <a:off x="0" y="0"/>
                            <a:ext cx="5334000" cy="2953094"/>
                          </a:xfrm>
                          <a:prstGeom prst="rect">
                            <a:avLst/>
                          </a:prstGeom>
                          <a:noFill/>
                          <a:ln w="9525">
                            <a:noFill/>
                            <a:headEnd/>
                            <a:tailEnd/>
                          </a:ln>
                        </pic:spPr>
                      </pic:pic>
                    </a:graphicData>
                  </a:graphic>
                </wp:inline>
              </w:drawing>
            </w:r>
          </w:p>
          <w:p w14:paraId="329BF2E1"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6: Pooled versus within-unit decomposition for focal signals on the expended-to-disbursed ratio.</w:t>
            </w:r>
          </w:p>
        </w:tc>
        <w:bookmarkEnd w:id="28"/>
      </w:tr>
    </w:tbl>
    <w:p w14:paraId="514CC753"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This distinction matters for how monitoring systems should be designed: treating the homeowner-assistance signal as a within-portfolio early warning for expenditure conversion would reverse its population-level sign and therefore mislead.</w:t>
      </w:r>
    </w:p>
    <w:p w14:paraId="09879811" w14:textId="77777777" w:rsidR="007D3AD7" w:rsidRPr="00153C54" w:rsidRDefault="00000000">
      <w:pPr>
        <w:pStyle w:val="Heading2"/>
        <w:rPr>
          <w:rFonts w:ascii="Times New Roman" w:hAnsi="Times New Roman" w:cs="Times New Roman"/>
          <w:sz w:val="24"/>
          <w:szCs w:val="24"/>
        </w:rPr>
      </w:pPr>
      <w:bookmarkStart w:id="29" w:name="robustness-boundaries"/>
      <w:bookmarkEnd w:id="27"/>
      <w:r w:rsidRPr="00153C54">
        <w:rPr>
          <w:rFonts w:ascii="Times New Roman" w:hAnsi="Times New Roman" w:cs="Times New Roman"/>
          <w:sz w:val="24"/>
          <w:szCs w:val="24"/>
        </w:rPr>
        <w:t>4.5 Robustness Boundaries</w:t>
      </w:r>
    </w:p>
    <w:p w14:paraId="31E180A5"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The robustness profile differs substantially between the two signals. Both pass leave-one-disaster-out stability: across 30 deletion runs, the homeowner-assistance correlation ranges from </w:t>
      </w:r>
      <m:oMath>
        <m:r>
          <m:rPr>
            <m:sty m:val="p"/>
          </m:rPr>
          <w:rPr>
            <w:rFonts w:ascii="Cambria Math" w:hAnsi="Cambria Math" w:cs="Times New Roman"/>
          </w:rPr>
          <m:t>-</m:t>
        </m:r>
        <m:r>
          <w:rPr>
            <w:rFonts w:ascii="Cambria Math" w:hAnsi="Cambria Math" w:cs="Times New Roman"/>
          </w:rPr>
          <m:t>0.453</m:t>
        </m:r>
      </m:oMath>
      <w:r w:rsidRPr="00153C54">
        <w:rPr>
          <w:rFonts w:ascii="Times New Roman" w:hAnsi="Times New Roman" w:cs="Times New Roman"/>
        </w:rPr>
        <w:t xml:space="preserve"> to </w:t>
      </w:r>
      <m:oMath>
        <m:r>
          <m:rPr>
            <m:sty m:val="p"/>
          </m:rPr>
          <w:rPr>
            <w:rFonts w:ascii="Cambria Math" w:hAnsi="Cambria Math" w:cs="Times New Roman"/>
          </w:rPr>
          <m:t>-</m:t>
        </m:r>
        <m:r>
          <w:rPr>
            <w:rFonts w:ascii="Cambria Math" w:hAnsi="Cambria Math" w:cs="Times New Roman"/>
          </w:rPr>
          <m:t>0.265</m:t>
        </m:r>
      </m:oMath>
      <w:r w:rsidRPr="00153C54">
        <w:rPr>
          <w:rFonts w:ascii="Times New Roman" w:hAnsi="Times New Roman" w:cs="Times New Roman"/>
        </w:rPr>
        <w:t xml:space="preserve"> with zero sign flips, and the roadway-reconstruction correlation ranges from </w:t>
      </w:r>
      <m:oMath>
        <m:r>
          <m:rPr>
            <m:sty m:val="p"/>
          </m:rPr>
          <w:rPr>
            <w:rFonts w:ascii="Cambria Math" w:hAnsi="Cambria Math" w:cs="Times New Roman"/>
          </w:rPr>
          <m:t>+</m:t>
        </m:r>
        <m:r>
          <w:rPr>
            <w:rFonts w:ascii="Cambria Math" w:hAnsi="Cambria Math" w:cs="Times New Roman"/>
          </w:rPr>
          <m:t>0.281</m:t>
        </m:r>
      </m:oMath>
      <w:r w:rsidRPr="00153C54">
        <w:rPr>
          <w:rFonts w:ascii="Times New Roman" w:hAnsi="Times New Roman" w:cs="Times New Roman"/>
        </w:rPr>
        <w:t xml:space="preserve"> to </w:t>
      </w:r>
      <m:oMath>
        <m:r>
          <m:rPr>
            <m:sty m:val="p"/>
          </m:rPr>
          <w:rPr>
            <w:rFonts w:ascii="Cambria Math" w:hAnsi="Cambria Math" w:cs="Times New Roman"/>
          </w:rPr>
          <m:t>+</m:t>
        </m:r>
        <m:r>
          <w:rPr>
            <w:rFonts w:ascii="Cambria Math" w:hAnsi="Cambria Math" w:cs="Times New Roman"/>
          </w:rPr>
          <m:t>0.390</m:t>
        </m:r>
      </m:oMath>
      <w:r w:rsidRPr="00153C54">
        <w:rPr>
          <w:rFonts w:ascii="Times New Roman" w:hAnsi="Times New Roman" w:cs="Times New Roman"/>
        </w:rPr>
        <w:t xml:space="preserve"> with zero sign flips. Neither result appears to be driven by a single influential portfolio.</w:t>
      </w:r>
    </w:p>
    <w:p w14:paraId="331103D2"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The signals diverge, however, on sensitivity to extreme ratio values. The homeowner-assistance signal retains a negative sign as the expended-to-disbursed ratio is progressively capped. The roadway-reconstruction signal reverses to negative under the same caps (e.g.,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0.256</m:t>
        </m:r>
      </m:oMath>
      <w:r w:rsidRPr="00153C54">
        <w:rPr>
          <w:rFonts w:ascii="Times New Roman" w:hAnsi="Times New Roman" w:cs="Times New Roman"/>
        </w:rPr>
        <w:t xml:space="preserve"> at cap </w:t>
      </w:r>
      <m:oMath>
        <m:r>
          <m:rPr>
            <m:sty m:val="p"/>
          </m:rPr>
          <w:rPr>
            <w:rFonts w:ascii="Cambria Math" w:hAnsi="Cambria Math" w:cs="Times New Roman"/>
          </w:rPr>
          <m:t>≤</m:t>
        </m:r>
        <m:r>
          <w:rPr>
            <w:rFonts w:ascii="Cambria Math" w:hAnsi="Cambria Math" w:cs="Times New Roman"/>
          </w:rPr>
          <m:t>2</m:t>
        </m:r>
      </m:oMath>
      <w:r w:rsidRPr="00153C54">
        <w:rPr>
          <w:rFonts w:ascii="Times New Roman" w:hAnsi="Times New Roman" w:cs="Times New Roman"/>
        </w:rPr>
        <w:t>), indicating that its positive pooled association for this specific outcome depends on observations with exceptionally high ratio values. This asymmetry does not undermine the roadway signal’s evidence on expenditure volume or completion, where no ratio capping is involved, but it cautions against treating the expenditure-conversion ratio as the primary evidence base for that signal.</w:t>
      </w:r>
    </w:p>
    <w:p w14:paraId="2ECC6CE0"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Alternative signal parameterizations are largely reassuring. Replacing the share with a log-ratio or a volume-adjusted residualized count preserves the baseline direction in 9 out of 10 and 10 out of 10 stage-outcome comparisons, respectively, with the one exception being the roadway signal on program completion rate under the log-ratio specification. For the central expended-to-disbursed outcome, both signals are directionally stable across all three parameterizations.</w:t>
      </w:r>
    </w:p>
    <w:p w14:paraId="7379A231"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lastRenderedPageBreak/>
        <w:t>Finally, the lead associations should be read in light of substantial persistence in both signals and outcomes. The homeowner-assistance signal is highly autocorrelated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0.925</m:t>
        </m:r>
      </m:oMath>
      <w:r w:rsidRPr="00153C54">
        <w:rPr>
          <w:rFonts w:ascii="Times New Roman" w:hAnsi="Times New Roman" w:cs="Times New Roman"/>
        </w:rPr>
        <w:t xml:space="preserve"> at one-quarter lead; </w:t>
      </w:r>
      <m:oMath>
        <m:r>
          <w:rPr>
            <w:rFonts w:ascii="Cambria Math" w:hAnsi="Cambria Math" w:cs="Times New Roman"/>
          </w:rPr>
          <m:t>0.921</m:t>
        </m:r>
      </m:oMath>
      <w:r w:rsidRPr="00153C54">
        <w:rPr>
          <w:rFonts w:ascii="Times New Roman" w:hAnsi="Times New Roman" w:cs="Times New Roman"/>
        </w:rPr>
        <w:t xml:space="preserve"> at two), reflecting language that changes slowly, likely due to reporting templates and portfolio composition inertia. Outcome persistence is also strong (</w:t>
      </w:r>
      <m:oMath>
        <m:r>
          <w:rPr>
            <w:rFonts w:ascii="Cambria Math" w:hAnsi="Cambria Math" w:cs="Times New Roman"/>
          </w:rPr>
          <m:t>ρ</m:t>
        </m:r>
        <m:r>
          <m:rPr>
            <m:sty m:val="p"/>
          </m:rPr>
          <w:rPr>
            <w:rFonts w:ascii="Cambria Math" w:hAnsi="Cambria Math" w:cs="Times New Roman"/>
          </w:rPr>
          <m:t>=</m:t>
        </m:r>
        <m:r>
          <w:rPr>
            <w:rFonts w:ascii="Cambria Math" w:hAnsi="Cambria Math" w:cs="Times New Roman"/>
          </w:rPr>
          <m:t>0.725</m:t>
        </m:r>
      </m:oMath>
      <w:r w:rsidRPr="00153C54">
        <w:rPr>
          <w:rFonts w:ascii="Times New Roman" w:hAnsi="Times New Roman" w:cs="Times New Roman"/>
        </w:rPr>
        <w:t xml:space="preserve"> and </w:t>
      </w:r>
      <m:oMath>
        <m:r>
          <w:rPr>
            <w:rFonts w:ascii="Cambria Math" w:hAnsi="Cambria Math" w:cs="Times New Roman"/>
          </w:rPr>
          <m:t>0.651</m:t>
        </m:r>
      </m:oMath>
      <w:r w:rsidRPr="00153C54">
        <w:rPr>
          <w:rFonts w:ascii="Times New Roman" w:hAnsi="Times New Roman" w:cs="Times New Roman"/>
        </w:rPr>
        <w:t xml:space="preserve"> for the expended-to-disbursed ratio at one and two quarters). The residualized-lead evidence establishes that signals carry monitoring information beyond what outcome persistence alone </w:t>
      </w:r>
      <w:proofErr w:type="gramStart"/>
      <w:r w:rsidRPr="00153C54">
        <w:rPr>
          <w:rFonts w:ascii="Times New Roman" w:hAnsi="Times New Roman" w:cs="Times New Roman"/>
        </w:rPr>
        <w:t>predicts, but</w:t>
      </w:r>
      <w:proofErr w:type="gramEnd"/>
      <w:r w:rsidRPr="00153C54">
        <w:rPr>
          <w:rFonts w:ascii="Times New Roman" w:hAnsi="Times New Roman" w:cs="Times New Roman"/>
        </w:rPr>
        <w:t xml:space="preserve"> claims of anticipatory power should acknowledge this structural backdrop.</w:t>
      </w:r>
    </w:p>
    <w:tbl>
      <w:tblPr>
        <w:tblStyle w:val="Table"/>
        <w:tblW w:w="5000" w:type="pct"/>
        <w:tblLayout w:type="fixed"/>
        <w:tblLook w:val="0000" w:firstRow="0" w:lastRow="0" w:firstColumn="0" w:lastColumn="0" w:noHBand="0" w:noVBand="0"/>
      </w:tblPr>
      <w:tblGrid>
        <w:gridCol w:w="9576"/>
      </w:tblGrid>
      <w:tr w:rsidR="007D3AD7" w:rsidRPr="00153C54" w14:paraId="2B8F59F6" w14:textId="77777777">
        <w:tc>
          <w:tcPr>
            <w:tcW w:w="7920" w:type="dxa"/>
          </w:tcPr>
          <w:p w14:paraId="1C502352" w14:textId="77777777" w:rsidR="007D3AD7" w:rsidRPr="00153C54" w:rsidRDefault="00000000">
            <w:pPr>
              <w:pStyle w:val="Compact"/>
              <w:jc w:val="center"/>
              <w:rPr>
                <w:rFonts w:ascii="Times New Roman" w:hAnsi="Times New Roman" w:cs="Times New Roman"/>
              </w:rPr>
            </w:pPr>
            <w:bookmarkStart w:id="30" w:name="fig-ratio-cap"/>
            <w:r w:rsidRPr="00153C54">
              <w:rPr>
                <w:rFonts w:ascii="Times New Roman" w:hAnsi="Times New Roman" w:cs="Times New Roman"/>
                <w:noProof/>
              </w:rPr>
              <w:drawing>
                <wp:inline distT="0" distB="0" distL="0" distR="0" wp14:anchorId="1E233673" wp14:editId="47EC93FF">
                  <wp:extent cx="5334000" cy="266416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gures/fig_07_ratio_cap_sensitivity.png"/>
                          <pic:cNvPicPr>
                            <a:picLocks noChangeAspect="1" noChangeArrowheads="1"/>
                          </pic:cNvPicPr>
                        </pic:nvPicPr>
                        <pic:blipFill>
                          <a:blip r:embed="rId11"/>
                          <a:stretch>
                            <a:fillRect/>
                          </a:stretch>
                        </pic:blipFill>
                        <pic:spPr bwMode="auto">
                          <a:xfrm>
                            <a:off x="0" y="0"/>
                            <a:ext cx="5334000" cy="2664161"/>
                          </a:xfrm>
                          <a:prstGeom prst="rect">
                            <a:avLst/>
                          </a:prstGeom>
                          <a:noFill/>
                          <a:ln w="9525">
                            <a:noFill/>
                            <a:headEnd/>
                            <a:tailEnd/>
                          </a:ln>
                        </pic:spPr>
                      </pic:pic>
                    </a:graphicData>
                  </a:graphic>
                </wp:inline>
              </w:drawing>
            </w:r>
          </w:p>
          <w:p w14:paraId="4967BB75"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7: Ratio-cap sensitivity for focal signals across progressively stricter cap rules on the expended-to-disbursed ratio.</w:t>
            </w:r>
          </w:p>
        </w:tc>
        <w:bookmarkEnd w:id="30"/>
      </w:tr>
    </w:tbl>
    <w:p w14:paraId="357AFFC5"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576"/>
      </w:tblGrid>
      <w:tr w:rsidR="007D3AD7" w:rsidRPr="00153C54" w14:paraId="6B50DEF9" w14:textId="77777777">
        <w:tc>
          <w:tcPr>
            <w:tcW w:w="7920" w:type="dxa"/>
          </w:tcPr>
          <w:p w14:paraId="4AB2F465" w14:textId="77777777" w:rsidR="007D3AD7" w:rsidRPr="00153C54" w:rsidRDefault="00000000">
            <w:pPr>
              <w:pStyle w:val="Compact"/>
              <w:jc w:val="center"/>
              <w:rPr>
                <w:rFonts w:ascii="Times New Roman" w:hAnsi="Times New Roman" w:cs="Times New Roman"/>
              </w:rPr>
            </w:pPr>
            <w:bookmarkStart w:id="31" w:name="fig-loo"/>
            <w:r w:rsidRPr="00153C54">
              <w:rPr>
                <w:rFonts w:ascii="Times New Roman" w:hAnsi="Times New Roman" w:cs="Times New Roman"/>
                <w:noProof/>
              </w:rPr>
              <w:drawing>
                <wp:inline distT="0" distB="0" distL="0" distR="0" wp14:anchorId="59F67CA5" wp14:editId="6018AC11">
                  <wp:extent cx="5334000" cy="2123763"/>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figures/fig_08_loo_influence.png"/>
                          <pic:cNvPicPr>
                            <a:picLocks noChangeAspect="1" noChangeArrowheads="1"/>
                          </pic:cNvPicPr>
                        </pic:nvPicPr>
                        <pic:blipFill>
                          <a:blip r:embed="rId12"/>
                          <a:stretch>
                            <a:fillRect/>
                          </a:stretch>
                        </pic:blipFill>
                        <pic:spPr bwMode="auto">
                          <a:xfrm>
                            <a:off x="0" y="0"/>
                            <a:ext cx="5334000" cy="2123763"/>
                          </a:xfrm>
                          <a:prstGeom prst="rect">
                            <a:avLst/>
                          </a:prstGeom>
                          <a:noFill/>
                          <a:ln w="9525">
                            <a:noFill/>
                            <a:headEnd/>
                            <a:tailEnd/>
                          </a:ln>
                        </pic:spPr>
                      </pic:pic>
                    </a:graphicData>
                  </a:graphic>
                </wp:inline>
              </w:drawing>
            </w:r>
          </w:p>
          <w:p w14:paraId="4E5699A3" w14:textId="77777777" w:rsidR="007D3AD7" w:rsidRPr="00153C54" w:rsidRDefault="00000000">
            <w:pPr>
              <w:pStyle w:val="ImageCaption"/>
              <w:spacing w:before="200"/>
              <w:rPr>
                <w:rFonts w:ascii="Times New Roman" w:hAnsi="Times New Roman" w:cs="Times New Roman"/>
              </w:rPr>
            </w:pPr>
            <w:r w:rsidRPr="00153C54">
              <w:rPr>
                <w:rFonts w:ascii="Times New Roman" w:hAnsi="Times New Roman" w:cs="Times New Roman"/>
              </w:rPr>
              <w:t>Figure 8: Leave-one-disaster-out influence distributions for focal signals; dotted lines denote full-sample baselines.</w:t>
            </w:r>
          </w:p>
        </w:tc>
        <w:bookmarkEnd w:id="31"/>
      </w:tr>
    </w:tbl>
    <w:p w14:paraId="1886F1B8" w14:textId="77777777" w:rsidR="007D3AD7" w:rsidRPr="00153C54" w:rsidRDefault="00000000">
      <w:pPr>
        <w:pStyle w:val="BodyText"/>
        <w:rPr>
          <w:rFonts w:ascii="Times New Roman" w:hAnsi="Times New Roman" w:cs="Times New Roman"/>
        </w:rPr>
      </w:pPr>
      <w:hyperlink w:anchor="tbl-focus-summary">
        <w:r w:rsidRPr="00153C54">
          <w:rPr>
            <w:rStyle w:val="Hyperlink"/>
            <w:rFonts w:ascii="Times New Roman" w:hAnsi="Times New Roman" w:cs="Times New Roman"/>
          </w:rPr>
          <w:t>Table 2</w:t>
        </w:r>
      </w:hyperlink>
      <w:r w:rsidRPr="00153C54">
        <w:rPr>
          <w:rFonts w:ascii="Times New Roman" w:hAnsi="Times New Roman" w:cs="Times New Roman"/>
        </w:rPr>
        <w:t xml:space="preserve"> provides an integrated view of which claims survive robustness scrutiny and which require qualification.</w:t>
      </w:r>
    </w:p>
    <w:tbl>
      <w:tblPr>
        <w:tblStyle w:val="Table"/>
        <w:tblW w:w="5000" w:type="pct"/>
        <w:tblLayout w:type="fixed"/>
        <w:tblLook w:val="0000" w:firstRow="0" w:lastRow="0" w:firstColumn="0" w:lastColumn="0" w:noHBand="0" w:noVBand="0"/>
      </w:tblPr>
      <w:tblGrid>
        <w:gridCol w:w="9576"/>
      </w:tblGrid>
      <w:tr w:rsidR="007D3AD7" w:rsidRPr="00153C54" w14:paraId="49AB8F35" w14:textId="77777777">
        <w:tc>
          <w:tcPr>
            <w:tcW w:w="7920" w:type="dxa"/>
          </w:tcPr>
          <w:p w14:paraId="0BF3CBAE" w14:textId="77777777" w:rsidR="007D3AD7" w:rsidRPr="00153C54" w:rsidRDefault="00000000">
            <w:pPr>
              <w:pStyle w:val="ImageCaption"/>
              <w:spacing w:before="200"/>
              <w:rPr>
                <w:rFonts w:ascii="Times New Roman" w:hAnsi="Times New Roman" w:cs="Times New Roman"/>
              </w:rPr>
            </w:pPr>
            <w:bookmarkStart w:id="32" w:name="tbl-focus-summary"/>
            <w:r w:rsidRPr="00153C54">
              <w:rPr>
                <w:rFonts w:ascii="Times New Roman" w:hAnsi="Times New Roman" w:cs="Times New Roman"/>
              </w:rPr>
              <w:lastRenderedPageBreak/>
              <w:t>Table 2: Integrated diagnostic summary for the two focal narrative signals.</w:t>
            </w:r>
          </w:p>
          <w:tbl>
            <w:tblPr>
              <w:tblStyle w:val="Table"/>
              <w:tblW w:w="5000" w:type="pct"/>
              <w:tblLayout w:type="fixed"/>
              <w:tblLook w:val="0020" w:firstRow="1" w:lastRow="0" w:firstColumn="0" w:lastColumn="0" w:noHBand="0" w:noVBand="0"/>
            </w:tblPr>
            <w:tblGrid>
              <w:gridCol w:w="1872"/>
              <w:gridCol w:w="2496"/>
              <w:gridCol w:w="2496"/>
              <w:gridCol w:w="2496"/>
            </w:tblGrid>
            <w:tr w:rsidR="007D3AD7" w:rsidRPr="00153C54" w14:paraId="18442777"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584" w:type="dxa"/>
                </w:tcPr>
                <w:p w14:paraId="22D98FA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Diagnostic</w:t>
                  </w:r>
                </w:p>
              </w:tc>
              <w:tc>
                <w:tcPr>
                  <w:tcW w:w="2112" w:type="dxa"/>
                </w:tcPr>
                <w:p w14:paraId="0F68D16A"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Homeowner-Assistance Signal</w:t>
                  </w:r>
                </w:p>
              </w:tc>
              <w:tc>
                <w:tcPr>
                  <w:tcW w:w="2112" w:type="dxa"/>
                </w:tcPr>
                <w:p w14:paraId="43367785"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Roadway-Reconstruction Signal</w:t>
                  </w:r>
                </w:p>
              </w:tc>
              <w:tc>
                <w:tcPr>
                  <w:tcW w:w="2112" w:type="dxa"/>
                </w:tcPr>
                <w:p w14:paraId="1B940302"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Finding</w:t>
                  </w:r>
                </w:p>
              </w:tc>
            </w:tr>
            <w:tr w:rsidR="007D3AD7" w:rsidRPr="00153C54" w14:paraId="2D7936B7" w14:textId="77777777">
              <w:tc>
                <w:tcPr>
                  <w:tcW w:w="1584" w:type="dxa"/>
                </w:tcPr>
                <w:p w14:paraId="09AABB81"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Lead persistence</w:t>
                  </w:r>
                </w:p>
              </w:tc>
              <w:tc>
                <w:tcPr>
                  <w:tcW w:w="2112" w:type="dxa"/>
                </w:tcPr>
                <w:p w14:paraId="75E7EAF9"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5D2E4B9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5417BB4C"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Directional associations hold at 1- and 2-quarter horizons</w:t>
                  </w:r>
                </w:p>
              </w:tc>
            </w:tr>
            <w:tr w:rsidR="007D3AD7" w:rsidRPr="00153C54" w14:paraId="1B153D86" w14:textId="77777777">
              <w:tc>
                <w:tcPr>
                  <w:tcW w:w="1584" w:type="dxa"/>
                </w:tcPr>
                <w:p w14:paraId="1E34D7BC"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Residualized-lead content</w:t>
                  </w:r>
                </w:p>
              </w:tc>
              <w:tc>
                <w:tcPr>
                  <w:tcW w:w="2112" w:type="dxa"/>
                </w:tcPr>
                <w:p w14:paraId="6C45052F"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2EE4DDA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1D171F3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Signal carries monitoring value beyond outcome persistence</w:t>
                  </w:r>
                </w:p>
              </w:tc>
            </w:tr>
            <w:tr w:rsidR="007D3AD7" w:rsidRPr="00153C54" w14:paraId="175F1101" w14:textId="77777777">
              <w:tc>
                <w:tcPr>
                  <w:tcW w:w="1584" w:type="dxa"/>
                </w:tcPr>
                <w:p w14:paraId="18E60E88"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Stratum heterogeneity</w:t>
                  </w:r>
                </w:p>
              </w:tc>
              <w:tc>
                <w:tcPr>
                  <w:tcW w:w="2112" w:type="dxa"/>
                </w:tcPr>
                <w:p w14:paraId="4CC82A82"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Present</w:t>
                  </w:r>
                </w:p>
              </w:tc>
              <w:tc>
                <w:tcPr>
                  <w:tcW w:w="2112" w:type="dxa"/>
                </w:tcPr>
                <w:p w14:paraId="3613926C"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Present</w:t>
                  </w:r>
                </w:p>
              </w:tc>
              <w:tc>
                <w:tcPr>
                  <w:tcW w:w="2112" w:type="dxa"/>
                </w:tcPr>
                <w:p w14:paraId="27E500DE"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Associations vary substantially with activity composition</w:t>
                  </w:r>
                </w:p>
              </w:tc>
            </w:tr>
            <w:tr w:rsidR="007D3AD7" w:rsidRPr="00153C54" w14:paraId="68DDEF91" w14:textId="77777777">
              <w:tc>
                <w:tcPr>
                  <w:tcW w:w="1584" w:type="dxa"/>
                </w:tcPr>
                <w:p w14:paraId="351C0A5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Stage contrast</w:t>
                  </w:r>
                </w:p>
              </w:tc>
              <w:tc>
                <w:tcPr>
                  <w:tcW w:w="2112" w:type="dxa"/>
                </w:tcPr>
                <w:p w14:paraId="0FC651B4"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Present</w:t>
                  </w:r>
                </w:p>
              </w:tc>
              <w:tc>
                <w:tcPr>
                  <w:tcW w:w="2112" w:type="dxa"/>
                </w:tcPr>
                <w:p w14:paraId="4639178B"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Present</w:t>
                  </w:r>
                </w:p>
              </w:tc>
              <w:tc>
                <w:tcPr>
                  <w:tcW w:w="2112" w:type="dxa"/>
                </w:tcPr>
                <w:p w14:paraId="17490F55"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Signals concentrate at different execution stages</w:t>
                  </w:r>
                </w:p>
              </w:tc>
            </w:tr>
            <w:tr w:rsidR="007D3AD7" w:rsidRPr="00153C54" w14:paraId="21B4DE01" w14:textId="77777777">
              <w:tc>
                <w:tcPr>
                  <w:tcW w:w="1584" w:type="dxa"/>
                </w:tcPr>
                <w:p w14:paraId="253C76A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Compositional parameterization</w:t>
                  </w:r>
                </w:p>
              </w:tc>
              <w:tc>
                <w:tcPr>
                  <w:tcW w:w="2112" w:type="dxa"/>
                </w:tcPr>
                <w:p w14:paraId="1BA0AA81"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7DB9D56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Mostly stable (1 exception)</w:t>
                  </w:r>
                </w:p>
              </w:tc>
              <w:tc>
                <w:tcPr>
                  <w:tcW w:w="2112" w:type="dxa"/>
                </w:tcPr>
                <w:p w14:paraId="5D3DAA23"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Core directions hold under alternative signal constructions</w:t>
                  </w:r>
                </w:p>
              </w:tc>
            </w:tr>
            <w:tr w:rsidR="007D3AD7" w:rsidRPr="00153C54" w14:paraId="7F2E9829" w14:textId="77777777">
              <w:tc>
                <w:tcPr>
                  <w:tcW w:w="1584" w:type="dxa"/>
                </w:tcPr>
                <w:p w14:paraId="32B5854F"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Pooled vs. within decomposition</w:t>
                  </w:r>
                </w:p>
              </w:tc>
              <w:tc>
                <w:tcPr>
                  <w:tcW w:w="2112" w:type="dxa"/>
                </w:tcPr>
                <w:p w14:paraId="78C80355"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Sign conflict</w:t>
                  </w:r>
                </w:p>
              </w:tc>
              <w:tc>
                <w:tcPr>
                  <w:tcW w:w="2112" w:type="dxa"/>
                </w:tcPr>
                <w:p w14:paraId="2C34D9B4"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Aligned</w:t>
                  </w:r>
                </w:p>
              </w:tc>
              <w:tc>
                <w:tcPr>
                  <w:tcW w:w="2112" w:type="dxa"/>
                </w:tcPr>
                <w:p w14:paraId="0290919B"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Homeowner-assistance pooled pattern is partly compositional</w:t>
                  </w:r>
                </w:p>
              </w:tc>
            </w:tr>
            <w:tr w:rsidR="007D3AD7" w:rsidRPr="00153C54" w14:paraId="2153E59D" w14:textId="77777777">
              <w:tc>
                <w:tcPr>
                  <w:tcW w:w="1584" w:type="dxa"/>
                </w:tcPr>
                <w:p w14:paraId="39904739"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Leave-one-out stability</w:t>
                  </w:r>
                </w:p>
              </w:tc>
              <w:tc>
                <w:tcPr>
                  <w:tcW w:w="2112" w:type="dxa"/>
                </w:tcPr>
                <w:p w14:paraId="6F091684"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4AB1CABA"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21BB1651"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No sign reversals under unit deletion</w:t>
                  </w:r>
                </w:p>
              </w:tc>
            </w:tr>
            <w:tr w:rsidR="007D3AD7" w:rsidRPr="00153C54" w14:paraId="3567FAFF" w14:textId="77777777">
              <w:tc>
                <w:tcPr>
                  <w:tcW w:w="1584" w:type="dxa"/>
                </w:tcPr>
                <w:p w14:paraId="2A9C76C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Ratio-cap sensitivity</w:t>
                  </w:r>
                </w:p>
              </w:tc>
              <w:tc>
                <w:tcPr>
                  <w:tcW w:w="2112" w:type="dxa"/>
                </w:tcPr>
                <w:p w14:paraId="4F847ED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Stable</w:t>
                  </w:r>
                </w:p>
              </w:tc>
              <w:tc>
                <w:tcPr>
                  <w:tcW w:w="2112" w:type="dxa"/>
                </w:tcPr>
                <w:p w14:paraId="2903B955"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Sensitive</w:t>
                  </w:r>
                </w:p>
              </w:tc>
              <w:tc>
                <w:tcPr>
                  <w:tcW w:w="2112" w:type="dxa"/>
                </w:tcPr>
                <w:p w14:paraId="0EE9AB94"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Roadway expenditure-conversion result depends on extreme values</w:t>
                  </w:r>
                </w:p>
              </w:tc>
            </w:tr>
            <w:bookmarkEnd w:id="32"/>
          </w:tbl>
          <w:p w14:paraId="7114E53F" w14:textId="77777777" w:rsidR="007D3AD7" w:rsidRPr="00153C54" w:rsidRDefault="007D3AD7">
            <w:pPr>
              <w:rPr>
                <w:rFonts w:ascii="Times New Roman" w:hAnsi="Times New Roman" w:cs="Times New Roman"/>
              </w:rPr>
            </w:pPr>
          </w:p>
        </w:tc>
      </w:tr>
    </w:tbl>
    <w:p w14:paraId="55A1BEB1" w14:textId="77777777" w:rsidR="007D3AD7" w:rsidRPr="00153C54" w:rsidRDefault="00000000">
      <w:pPr>
        <w:pStyle w:val="Heading1"/>
        <w:rPr>
          <w:rFonts w:ascii="Times New Roman" w:hAnsi="Times New Roman" w:cs="Times New Roman"/>
          <w:sz w:val="24"/>
          <w:szCs w:val="24"/>
        </w:rPr>
      </w:pPr>
      <w:bookmarkStart w:id="33" w:name="sec-discussion"/>
      <w:bookmarkEnd w:id="20"/>
      <w:bookmarkEnd w:id="29"/>
      <w:r w:rsidRPr="00153C54">
        <w:rPr>
          <w:rFonts w:ascii="Times New Roman" w:hAnsi="Times New Roman" w:cs="Times New Roman"/>
          <w:sz w:val="24"/>
          <w:szCs w:val="24"/>
        </w:rPr>
        <w:t>5. Discussion</w:t>
      </w:r>
    </w:p>
    <w:p w14:paraId="391D6F5B"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results establish that narrative signals carry systematic information about near-term execution dynamics, but that this information is conditional, asymmetric, and sensitive to how it is measured. The strongest evidence — temporal persistence, stratum coherence, and compositional stability — supports treating narrative monitoring as a meaningful supplement to financial indicators. The important qualifications — decomposition conflicts, ratio sensitivity, and signal inertia — define the interpretive discipline required before that supplement becomes reliable.</w:t>
      </w:r>
    </w:p>
    <w:p w14:paraId="3945D4D8" w14:textId="77777777" w:rsidR="007D3AD7" w:rsidRPr="00153C54" w:rsidRDefault="00000000">
      <w:pPr>
        <w:pStyle w:val="Heading2"/>
        <w:rPr>
          <w:rFonts w:ascii="Times New Roman" w:hAnsi="Times New Roman" w:cs="Times New Roman"/>
          <w:sz w:val="24"/>
          <w:szCs w:val="24"/>
        </w:rPr>
      </w:pPr>
      <w:bookmarkStart w:id="34" w:name="Xcc667e1e220f56b6131284d37efcaf9ada58983"/>
      <w:r w:rsidRPr="00153C54">
        <w:rPr>
          <w:rFonts w:ascii="Times New Roman" w:hAnsi="Times New Roman" w:cs="Times New Roman"/>
          <w:sz w:val="24"/>
          <w:szCs w:val="24"/>
        </w:rPr>
        <w:t>5.1 Mechanisms Linking Narrative Emphasis to Execution Outcomes</w:t>
      </w:r>
    </w:p>
    <w:p w14:paraId="470333B1"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The patterns are consistent with multiple co-occurring mechanisms, and the design is intentionally positioned to bound rather than identify among them. In the administrative burden and implementation literatures, both the attention/prioritization and friction/bottleneck </w:t>
      </w:r>
      <w:r w:rsidRPr="00153C54">
        <w:rPr>
          <w:rFonts w:ascii="Times New Roman" w:hAnsi="Times New Roman" w:cs="Times New Roman"/>
        </w:rPr>
        <w:lastRenderedPageBreak/>
        <w:t xml:space="preserve">interpretations receive theoretical support [5]; [3]. Narrative emphasis may rise when a </w:t>
      </w:r>
      <w:proofErr w:type="gramStart"/>
      <w:r w:rsidRPr="00153C54">
        <w:rPr>
          <w:rFonts w:ascii="Times New Roman" w:hAnsi="Times New Roman" w:cs="Times New Roman"/>
        </w:rPr>
        <w:t>program domain commands</w:t>
      </w:r>
      <w:proofErr w:type="gramEnd"/>
      <w:r w:rsidRPr="00153C54">
        <w:rPr>
          <w:rFonts w:ascii="Times New Roman" w:hAnsi="Times New Roman" w:cs="Times New Roman"/>
        </w:rPr>
        <w:t xml:space="preserve"> heightened managerial attention and resource allocation, or conversely when operational difficulties — eligibility screening, procurement delays, contractor management — generate more reportable activity without corresponding financial throughput. These two interpretations predict the same positive covariation between narrative emphasis and early-stage </w:t>
      </w:r>
      <w:proofErr w:type="gramStart"/>
      <w:r w:rsidRPr="00153C54">
        <w:rPr>
          <w:rFonts w:ascii="Times New Roman" w:hAnsi="Times New Roman" w:cs="Times New Roman"/>
        </w:rPr>
        <w:t>drawdown, but</w:t>
      </w:r>
      <w:proofErr w:type="gramEnd"/>
      <w:r w:rsidRPr="00153C54">
        <w:rPr>
          <w:rFonts w:ascii="Times New Roman" w:hAnsi="Times New Roman" w:cs="Times New Roman"/>
        </w:rPr>
        <w:t xml:space="preserve"> diverge in their implications for later-stage expenditure and completion.</w:t>
      </w:r>
    </w:p>
    <w:p w14:paraId="60E2E33E"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stage-marker interpretation — that signals shift predictably as portfolios advance through obligation, drawdown, expenditure, and closeout — is especially consistent with lifecycle theories of implementation [2] and with the observed asymmetry between early and late execution-stage associations. The homeowner-assistance signal’s positive early-stage and negative late-stage pattern is precisely what one would expect if homeowner-oriented language tracks the initial phases of program engagement, when funds are moving from obligation to drawdown but have not yet converted to expended activity. The roadway-reconstruction signal’s absent early-stage and strong late-stage associations suggest a different lifecycle rhythm, consistent with capital projects that require extended procurement and mobilization before generating expenditure and completion activity.</w:t>
      </w:r>
    </w:p>
    <w:p w14:paraId="7B34A879"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A fourth interpretation — that language partly reflects reporting templates and compliance boilerplate rather than real-time execution conditions — cannot be dismissed given the high signal autocorrelation documented in the robustness analysis. The homeowner-assistance signal’s autocorrelation of </w:t>
      </w:r>
      <m:oMath>
        <m:r>
          <w:rPr>
            <w:rFonts w:ascii="Cambria Math" w:hAnsi="Cambria Math" w:cs="Times New Roman"/>
          </w:rPr>
          <m:t>0.925</m:t>
        </m:r>
      </m:oMath>
      <w:r w:rsidRPr="00153C54">
        <w:rPr>
          <w:rFonts w:ascii="Times New Roman" w:hAnsi="Times New Roman" w:cs="Times New Roman"/>
        </w:rPr>
        <w:t xml:space="preserve"> at one-quarter lead is consistent with slowly evolving reporting language that may lag operational conditions rather than anticipate them. This interpretation reinforces the residualized-lead design as a necessary diagnostic rather than a secondary check: the persistence of associations after conditioning on current-period outcomes establishes that signals contain genuine monitoring content, even if that content is partly conveyed through the accumulated weight of templated language.</w:t>
      </w:r>
    </w:p>
    <w:p w14:paraId="2E3019D4" w14:textId="77777777" w:rsidR="007D3AD7" w:rsidRPr="00153C54" w:rsidRDefault="00000000">
      <w:pPr>
        <w:pStyle w:val="Heading2"/>
        <w:rPr>
          <w:rFonts w:ascii="Times New Roman" w:hAnsi="Times New Roman" w:cs="Times New Roman"/>
          <w:sz w:val="24"/>
          <w:szCs w:val="24"/>
        </w:rPr>
      </w:pPr>
      <w:bookmarkStart w:id="35" w:name="X2570e4233250ba188885bc1ab64c86c844fa402"/>
      <w:bookmarkEnd w:id="34"/>
      <w:r w:rsidRPr="00153C54">
        <w:rPr>
          <w:rFonts w:ascii="Times New Roman" w:hAnsi="Times New Roman" w:cs="Times New Roman"/>
          <w:sz w:val="24"/>
          <w:szCs w:val="24"/>
        </w:rPr>
        <w:t>5.2 Implications for Theory, Monitoring, and Research Design</w:t>
      </w:r>
    </w:p>
    <w:p w14:paraId="065B94D7"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results carry several implications that extend beyond the Texas context. For the text-as-data literature, they demonstrate that administrative narrative indicators can exhibit the kind of leading associations with outcome variables that are required for monitoring use, but that these associations are fragile to context and construction in ways that demand explicit diagnostic testing before operational deployment [9]. The heterogeneity by activity composition and execution stage is particularly consequential: it means that a signal useful for mixed-activity portfolios may be uninformative — or actively misleading — for housing-only programs, and that the same signal can be favorable at one stage while unfavorable at another. These patterns should encourage the field to move away from portfolio-wide signal averages toward stratified monitoring designs.</w:t>
      </w:r>
    </w:p>
    <w:p w14:paraId="02699FC7"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For implementation and performance-governance research, the decomposition </w:t>
      </w:r>
      <w:proofErr w:type="gramStart"/>
      <w:r w:rsidRPr="00153C54">
        <w:rPr>
          <w:rFonts w:ascii="Times New Roman" w:hAnsi="Times New Roman" w:cs="Times New Roman"/>
        </w:rPr>
        <w:t>result</w:t>
      </w:r>
      <w:proofErr w:type="gramEnd"/>
      <w:r w:rsidRPr="00153C54">
        <w:rPr>
          <w:rFonts w:ascii="Times New Roman" w:hAnsi="Times New Roman" w:cs="Times New Roman"/>
        </w:rPr>
        <w:t xml:space="preserve"> for homeowner assistance — where pooled and within-unit associations run in opposite directions — exemplifies the ecological inference problem that arises when cross-sectional variation in program composition is conflated with longitudinal variation in program performance [15]. Recovery agencies that use aggregate portfolio comparisons as management tools risk misclassifying what drives observed differences. Within-portfolio temporal analysis, combined </w:t>
      </w:r>
      <w:r w:rsidRPr="00153C54">
        <w:rPr>
          <w:rFonts w:ascii="Times New Roman" w:hAnsi="Times New Roman" w:cs="Times New Roman"/>
        </w:rPr>
        <w:lastRenderedPageBreak/>
        <w:t>with explicit activity-composition controls, provides a more interpretable diagnostic layer for understanding whether an individual program is improving or deteriorating over time.</w:t>
      </w:r>
    </w:p>
    <w:p w14:paraId="29233417"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For research practice, the framework developed here — pairing signal-outcome correlations with lead-horizon persistence tests, pooled-versus-within decomposition, stratum-specific estimation, and multi-parameterization checks — offers a transferable template for text-as-data studies that aim to move from exploratory association toward monitoring-ready inference. The next empirical priority is causal identification: quasi-experimental variation in reporting requirements, program eligibility rules, or administrative capacity that could isolate specific mechanisms would substantially advance understanding of when and why narrative signals predict execution outcomes.</w:t>
      </w:r>
    </w:p>
    <w:p w14:paraId="469222EF" w14:textId="77777777" w:rsidR="007D3AD7" w:rsidRPr="00153C54" w:rsidRDefault="00000000">
      <w:pPr>
        <w:pStyle w:val="Heading1"/>
        <w:rPr>
          <w:rFonts w:ascii="Times New Roman" w:hAnsi="Times New Roman" w:cs="Times New Roman"/>
          <w:sz w:val="24"/>
          <w:szCs w:val="24"/>
        </w:rPr>
      </w:pPr>
      <w:bookmarkStart w:id="36" w:name="sec-conclusion"/>
      <w:bookmarkEnd w:id="33"/>
      <w:bookmarkEnd w:id="35"/>
      <w:r w:rsidRPr="00153C54">
        <w:rPr>
          <w:rFonts w:ascii="Times New Roman" w:hAnsi="Times New Roman" w:cs="Times New Roman"/>
          <w:sz w:val="24"/>
          <w:szCs w:val="24"/>
        </w:rPr>
        <w:t>6. Conclusion</w:t>
      </w:r>
    </w:p>
    <w:p w14:paraId="6F530DB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Disaster recovery agencies currently monitor program performance primarily through lagging financial indicators, even as implementation problems surface first in the narrative records that programs generate every quarter. This paper develops and applies a diagnostic framework for evaluating whether that narrative content carries systematic forward-looking information about execution outcomes. Using a text-classified panel drawn from 442 quarterly Texas DRGR reports spanning 2009 to 2025, we show that two focal signals — emphasizing homeowner assistance and roadway reconstruction — exhibit robust temporal persistence across one- and two-quarter horizons, surviving multiplicity correction and leave-one-unit deletion.</w:t>
      </w:r>
    </w:p>
    <w:p w14:paraId="60428FC8"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more important finding, however, concerns the conditionality of this persistence. The same signal that anticipates slower expenditure conversion in aggregate mixed-activity portfolios is uninformative within housing-dominant programs, and the same signal that is negatively associated with late-stage execution is positively associated with early drawdown. A signal that appears to function as an early warning indicator at the portfolio level may reverse sign within a given program over time. These patterns are not anomalies to be explained away; they reflect the genuine complexity of multi-stage, multi-activity implementation systems that existing performance-monitoring frameworks tend to flatten into single composite measures.</w:t>
      </w:r>
    </w:p>
    <w:p w14:paraId="7492C531"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The framework developed here — pairing standard correlation analysis with pooled-versus-within decomposition, activity-composition stratification, execution-stage mapping, and multi-parameterization robustness checks — is intended as a transferable template for text-as-data oversight studies in disaster recovery and analogous policy domains. Its core logic is that interpretive discipline must accompany computational scale: extracting signals from large narrative corpora is feasible and increasingly routine, but those signals cannot be reliably operationalized without systematic evidence on their temporal stability, contextual heterogeneity, and dependence on outcome construction. The next step is to extend this diagnostic foundation toward causal identification, using variation in program design, administrative capacity, or reporting requirements to isolate the mechanisms through which narrative composition and execution outcomes are linked.</w:t>
      </w:r>
    </w:p>
    <w:p w14:paraId="3DA3EB54" w14:textId="77777777" w:rsidR="007D3AD7" w:rsidRPr="00153C54" w:rsidRDefault="00000000">
      <w:pPr>
        <w:pStyle w:val="Heading1"/>
        <w:rPr>
          <w:rFonts w:ascii="Times New Roman" w:hAnsi="Times New Roman" w:cs="Times New Roman"/>
          <w:sz w:val="24"/>
          <w:szCs w:val="24"/>
        </w:rPr>
      </w:pPr>
      <w:bookmarkStart w:id="37" w:name="acknowledgements"/>
      <w:bookmarkEnd w:id="36"/>
      <w:r w:rsidRPr="00153C54">
        <w:rPr>
          <w:rFonts w:ascii="Times New Roman" w:hAnsi="Times New Roman" w:cs="Times New Roman"/>
          <w:sz w:val="24"/>
          <w:szCs w:val="24"/>
        </w:rPr>
        <w:lastRenderedPageBreak/>
        <w:t>7. Acknowledgements</w:t>
      </w:r>
    </w:p>
    <w:p w14:paraId="5487B90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authors thank colleagues and practitioners who provided feedback on disaster-recovery reporting workflows and manuscript framing. Any remaining errors are the authors’ responsibility.</w:t>
      </w:r>
    </w:p>
    <w:p w14:paraId="75D20E44" w14:textId="77777777" w:rsidR="007D3AD7" w:rsidRPr="00153C54" w:rsidRDefault="00000000">
      <w:pPr>
        <w:pStyle w:val="Heading1"/>
        <w:rPr>
          <w:rFonts w:ascii="Times New Roman" w:hAnsi="Times New Roman" w:cs="Times New Roman"/>
          <w:sz w:val="24"/>
          <w:szCs w:val="24"/>
        </w:rPr>
      </w:pPr>
      <w:bookmarkStart w:id="38" w:name="author-contributions-credit"/>
      <w:bookmarkEnd w:id="37"/>
      <w:r w:rsidRPr="00153C54">
        <w:rPr>
          <w:rFonts w:ascii="Times New Roman" w:hAnsi="Times New Roman" w:cs="Times New Roman"/>
          <w:sz w:val="24"/>
          <w:szCs w:val="24"/>
        </w:rPr>
        <w:t>8. Author Contributions (CRediT)</w:t>
      </w:r>
    </w:p>
    <w:p w14:paraId="167A46E9"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Jesse R. Andrews, Ali Nejat, and Kaifa Lu jointly contributed to conceptualization, data curation, methodology, formal analysis, visualization, validation, and manuscript drafting and revision.</w:t>
      </w:r>
    </w:p>
    <w:p w14:paraId="6BFF0407" w14:textId="77777777" w:rsidR="007D3AD7" w:rsidRPr="00153C54" w:rsidRDefault="00000000">
      <w:pPr>
        <w:pStyle w:val="Heading1"/>
        <w:rPr>
          <w:rFonts w:ascii="Times New Roman" w:hAnsi="Times New Roman" w:cs="Times New Roman"/>
          <w:sz w:val="24"/>
          <w:szCs w:val="24"/>
        </w:rPr>
      </w:pPr>
      <w:bookmarkStart w:id="39" w:name="funding"/>
      <w:bookmarkEnd w:id="38"/>
      <w:r w:rsidRPr="00153C54">
        <w:rPr>
          <w:rFonts w:ascii="Times New Roman" w:hAnsi="Times New Roman" w:cs="Times New Roman"/>
          <w:sz w:val="24"/>
          <w:szCs w:val="24"/>
        </w:rPr>
        <w:t>9. Funding</w:t>
      </w:r>
    </w:p>
    <w:p w14:paraId="314A60E7"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This research did not receive any specific grant from funding agencies in the public, commercial, or not-for-profit sectors.</w:t>
      </w:r>
    </w:p>
    <w:p w14:paraId="0D744807" w14:textId="77777777" w:rsidR="007D3AD7" w:rsidRPr="00153C54" w:rsidRDefault="00000000">
      <w:pPr>
        <w:pStyle w:val="Heading1"/>
        <w:rPr>
          <w:rFonts w:ascii="Times New Roman" w:hAnsi="Times New Roman" w:cs="Times New Roman"/>
          <w:sz w:val="24"/>
          <w:szCs w:val="24"/>
        </w:rPr>
      </w:pPr>
      <w:bookmarkStart w:id="40" w:name="declaration-of-competing-interest"/>
      <w:bookmarkEnd w:id="39"/>
      <w:r w:rsidRPr="00153C54">
        <w:rPr>
          <w:rFonts w:ascii="Times New Roman" w:hAnsi="Times New Roman" w:cs="Times New Roman"/>
          <w:sz w:val="24"/>
          <w:szCs w:val="24"/>
        </w:rPr>
        <w:t>10. Declaration of Competing Interest</w:t>
      </w:r>
    </w:p>
    <w:p w14:paraId="40FBDA4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authors declare that they have no known competing financial interests or personal relationships that could have appeared to influence the work reported in this paper.</w:t>
      </w:r>
    </w:p>
    <w:p w14:paraId="18F2D128" w14:textId="77777777" w:rsidR="007D3AD7" w:rsidRPr="00153C54" w:rsidRDefault="00000000">
      <w:pPr>
        <w:pStyle w:val="Heading1"/>
        <w:rPr>
          <w:rFonts w:ascii="Times New Roman" w:hAnsi="Times New Roman" w:cs="Times New Roman"/>
          <w:sz w:val="24"/>
          <w:szCs w:val="24"/>
        </w:rPr>
      </w:pPr>
      <w:bookmarkStart w:id="41" w:name="data-availability"/>
      <w:bookmarkEnd w:id="40"/>
      <w:r w:rsidRPr="00153C54">
        <w:rPr>
          <w:rFonts w:ascii="Times New Roman" w:hAnsi="Times New Roman" w:cs="Times New Roman"/>
          <w:sz w:val="24"/>
          <w:szCs w:val="24"/>
        </w:rPr>
        <w:t>11. Data Availability</w:t>
      </w:r>
    </w:p>
    <w:p w14:paraId="364EB7C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analytic dataset is constructed from quarterly DRGR disaster-recovery reports and derived panel variables described in the Data and Methods and appendices. Replication materials are available from the corresponding author upon reasonable request and will be deposited in a public repository upon acceptance.</w:t>
      </w:r>
    </w:p>
    <w:p w14:paraId="04EE5698" w14:textId="77777777" w:rsidR="007D3AD7" w:rsidRPr="00153C54" w:rsidRDefault="00000000">
      <w:pPr>
        <w:pStyle w:val="Heading1"/>
        <w:rPr>
          <w:rFonts w:ascii="Times New Roman" w:hAnsi="Times New Roman" w:cs="Times New Roman"/>
          <w:sz w:val="24"/>
          <w:szCs w:val="24"/>
        </w:rPr>
      </w:pPr>
      <w:bookmarkStart w:id="42" w:name="X1f74eb43af444059c7518034463b6c89b1cacf4"/>
      <w:bookmarkEnd w:id="41"/>
      <w:r w:rsidRPr="00153C54">
        <w:rPr>
          <w:rFonts w:ascii="Times New Roman" w:hAnsi="Times New Roman" w:cs="Times New Roman"/>
          <w:sz w:val="24"/>
          <w:szCs w:val="24"/>
        </w:rPr>
        <w:t>12. Declaration of Generative AI and AI-Assisted Technologies in the Manuscript Preparation Process</w:t>
      </w:r>
    </w:p>
    <w:p w14:paraId="467CC941"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During the preparation of this work, the authors used generative AI and AI-assisted tooling to accelerate draft structuring, copyediting support, and formatting alignment with journal requirements. After using these tools, the authors reviewed and edited the content as needed and take full responsibility for the content of the published article.</w:t>
      </w:r>
    </w:p>
    <w:p w14:paraId="3C4199C1" w14:textId="77777777" w:rsidR="007D3AD7" w:rsidRPr="00153C54" w:rsidRDefault="00000000">
      <w:pPr>
        <w:pStyle w:val="Heading1"/>
        <w:rPr>
          <w:rFonts w:ascii="Times New Roman" w:hAnsi="Times New Roman" w:cs="Times New Roman"/>
          <w:sz w:val="24"/>
          <w:szCs w:val="24"/>
        </w:rPr>
      </w:pPr>
      <w:bookmarkStart w:id="43" w:name="references"/>
      <w:bookmarkEnd w:id="42"/>
      <w:r w:rsidRPr="00153C54">
        <w:rPr>
          <w:rFonts w:ascii="Times New Roman" w:hAnsi="Times New Roman" w:cs="Times New Roman"/>
          <w:sz w:val="24"/>
          <w:szCs w:val="24"/>
        </w:rPr>
        <w:t>References</w:t>
      </w:r>
    </w:p>
    <w:p w14:paraId="3BB46478" w14:textId="77777777" w:rsidR="007D3AD7" w:rsidRPr="00153C54" w:rsidRDefault="00000000">
      <w:pPr>
        <w:pStyle w:val="Bibliography"/>
        <w:rPr>
          <w:rFonts w:ascii="Times New Roman" w:hAnsi="Times New Roman" w:cs="Times New Roman"/>
        </w:rPr>
      </w:pPr>
      <w:bookmarkStart w:id="44" w:name="ref-benjamini1995controlling"/>
      <w:bookmarkStart w:id="45" w:name="refs"/>
      <w:r w:rsidRPr="00153C54">
        <w:rPr>
          <w:rFonts w:ascii="Times New Roman" w:hAnsi="Times New Roman" w:cs="Times New Roman"/>
        </w:rPr>
        <w:t xml:space="preserve">[1] </w:t>
      </w:r>
      <w:r w:rsidRPr="00153C54">
        <w:rPr>
          <w:rFonts w:ascii="Times New Roman" w:hAnsi="Times New Roman" w:cs="Times New Roman"/>
        </w:rPr>
        <w:tab/>
        <w:t xml:space="preserve">Benjamini Y, Hochberg Y. Controlling the false discovery rate: A practical and powerful approach to multiple testing. Journal of the Royal Statistical Society: Series B (Methodological) </w:t>
      </w:r>
      <w:proofErr w:type="gramStart"/>
      <w:r w:rsidRPr="00153C54">
        <w:rPr>
          <w:rFonts w:ascii="Times New Roman" w:hAnsi="Times New Roman" w:cs="Times New Roman"/>
        </w:rPr>
        <w:t>1995;57:289</w:t>
      </w:r>
      <w:proofErr w:type="gramEnd"/>
      <w:r w:rsidRPr="00153C54">
        <w:rPr>
          <w:rFonts w:ascii="Times New Roman" w:hAnsi="Times New Roman" w:cs="Times New Roman"/>
        </w:rPr>
        <w:t xml:space="preserve">–300. </w:t>
      </w:r>
      <w:hyperlink r:id="rId13">
        <w:r w:rsidRPr="00153C54">
          <w:rPr>
            <w:rStyle w:val="Hyperlink"/>
            <w:rFonts w:ascii="Times New Roman" w:hAnsi="Times New Roman" w:cs="Times New Roman"/>
          </w:rPr>
          <w:t>https://doi.org/10.1111/j.2517-6161.1995.tb02031.x</w:t>
        </w:r>
      </w:hyperlink>
      <w:r w:rsidRPr="00153C54">
        <w:rPr>
          <w:rFonts w:ascii="Times New Roman" w:hAnsi="Times New Roman" w:cs="Times New Roman"/>
        </w:rPr>
        <w:t>.</w:t>
      </w:r>
    </w:p>
    <w:p w14:paraId="127F23E4" w14:textId="77777777" w:rsidR="007D3AD7" w:rsidRPr="00153C54" w:rsidRDefault="00000000">
      <w:pPr>
        <w:pStyle w:val="Bibliography"/>
        <w:rPr>
          <w:rFonts w:ascii="Times New Roman" w:hAnsi="Times New Roman" w:cs="Times New Roman"/>
        </w:rPr>
      </w:pPr>
      <w:bookmarkStart w:id="46" w:name="ref-pressman1984implementation"/>
      <w:bookmarkEnd w:id="44"/>
      <w:r w:rsidRPr="00153C54">
        <w:rPr>
          <w:rFonts w:ascii="Times New Roman" w:hAnsi="Times New Roman" w:cs="Times New Roman"/>
        </w:rPr>
        <w:t xml:space="preserve">[2] </w:t>
      </w:r>
      <w:r w:rsidRPr="00153C54">
        <w:rPr>
          <w:rFonts w:ascii="Times New Roman" w:hAnsi="Times New Roman" w:cs="Times New Roman"/>
        </w:rPr>
        <w:tab/>
        <w:t xml:space="preserve">Pressman JL, Wildavsky A. Implementation: How great expectations in washington are dashed in oakland. Berkeley: University of California Press; 1980. </w:t>
      </w:r>
      <w:hyperlink r:id="rId14">
        <w:r w:rsidRPr="00153C54">
          <w:rPr>
            <w:rStyle w:val="Hyperlink"/>
            <w:rFonts w:ascii="Times New Roman" w:hAnsi="Times New Roman" w:cs="Times New Roman"/>
          </w:rPr>
          <w:t>https://doi.org/10.1525/9780520353497</w:t>
        </w:r>
      </w:hyperlink>
      <w:r w:rsidRPr="00153C54">
        <w:rPr>
          <w:rFonts w:ascii="Times New Roman" w:hAnsi="Times New Roman" w:cs="Times New Roman"/>
        </w:rPr>
        <w:t>.</w:t>
      </w:r>
    </w:p>
    <w:p w14:paraId="3290A291" w14:textId="77777777" w:rsidR="007D3AD7" w:rsidRPr="00153C54" w:rsidRDefault="00000000">
      <w:pPr>
        <w:pStyle w:val="Bibliography"/>
        <w:rPr>
          <w:rFonts w:ascii="Times New Roman" w:hAnsi="Times New Roman" w:cs="Times New Roman"/>
        </w:rPr>
      </w:pPr>
      <w:bookmarkStart w:id="47" w:name="ref-lipsky1980street"/>
      <w:bookmarkEnd w:id="46"/>
      <w:r w:rsidRPr="00153C54">
        <w:rPr>
          <w:rFonts w:ascii="Times New Roman" w:hAnsi="Times New Roman" w:cs="Times New Roman"/>
        </w:rPr>
        <w:t xml:space="preserve">[3] </w:t>
      </w:r>
      <w:r w:rsidRPr="00153C54">
        <w:rPr>
          <w:rFonts w:ascii="Times New Roman" w:hAnsi="Times New Roman" w:cs="Times New Roman"/>
        </w:rPr>
        <w:tab/>
        <w:t>Lipsky M. Street-level bureaucracy: Dilemmas of the individual in public services. New York: Russell Sage Foundation; 1980.</w:t>
      </w:r>
    </w:p>
    <w:p w14:paraId="71B96C1D" w14:textId="77777777" w:rsidR="007D3AD7" w:rsidRPr="00153C54" w:rsidRDefault="00000000">
      <w:pPr>
        <w:pStyle w:val="Bibliography"/>
        <w:rPr>
          <w:rFonts w:ascii="Times New Roman" w:hAnsi="Times New Roman" w:cs="Times New Roman"/>
        </w:rPr>
      </w:pPr>
      <w:bookmarkStart w:id="48" w:name="ref-behn2003why"/>
      <w:bookmarkEnd w:id="47"/>
      <w:r w:rsidRPr="00153C54">
        <w:rPr>
          <w:rFonts w:ascii="Times New Roman" w:hAnsi="Times New Roman" w:cs="Times New Roman"/>
        </w:rPr>
        <w:lastRenderedPageBreak/>
        <w:t xml:space="preserve">[4] </w:t>
      </w:r>
      <w:r w:rsidRPr="00153C54">
        <w:rPr>
          <w:rFonts w:ascii="Times New Roman" w:hAnsi="Times New Roman" w:cs="Times New Roman"/>
        </w:rPr>
        <w:tab/>
        <w:t xml:space="preserve">Behn RD. Why measure performance? Different purposes require different measures. Public Administration Review </w:t>
      </w:r>
      <w:proofErr w:type="gramStart"/>
      <w:r w:rsidRPr="00153C54">
        <w:rPr>
          <w:rFonts w:ascii="Times New Roman" w:hAnsi="Times New Roman" w:cs="Times New Roman"/>
        </w:rPr>
        <w:t>2003;63:586</w:t>
      </w:r>
      <w:proofErr w:type="gramEnd"/>
      <w:r w:rsidRPr="00153C54">
        <w:rPr>
          <w:rFonts w:ascii="Times New Roman" w:hAnsi="Times New Roman" w:cs="Times New Roman"/>
        </w:rPr>
        <w:t xml:space="preserve">–606. </w:t>
      </w:r>
      <w:hyperlink r:id="rId15">
        <w:r w:rsidRPr="00153C54">
          <w:rPr>
            <w:rStyle w:val="Hyperlink"/>
            <w:rFonts w:ascii="Times New Roman" w:hAnsi="Times New Roman" w:cs="Times New Roman"/>
          </w:rPr>
          <w:t>https://doi.org/10.1111/1540-6210.00322</w:t>
        </w:r>
      </w:hyperlink>
      <w:r w:rsidRPr="00153C54">
        <w:rPr>
          <w:rFonts w:ascii="Times New Roman" w:hAnsi="Times New Roman" w:cs="Times New Roman"/>
        </w:rPr>
        <w:t>.</w:t>
      </w:r>
    </w:p>
    <w:p w14:paraId="717593C3" w14:textId="77777777" w:rsidR="007D3AD7" w:rsidRPr="00153C54" w:rsidRDefault="00000000">
      <w:pPr>
        <w:pStyle w:val="Bibliography"/>
        <w:rPr>
          <w:rFonts w:ascii="Times New Roman" w:hAnsi="Times New Roman" w:cs="Times New Roman"/>
        </w:rPr>
      </w:pPr>
      <w:bookmarkStart w:id="49" w:name="ref-herd2018administrative"/>
      <w:bookmarkEnd w:id="48"/>
      <w:r w:rsidRPr="00153C54">
        <w:rPr>
          <w:rFonts w:ascii="Times New Roman" w:hAnsi="Times New Roman" w:cs="Times New Roman"/>
        </w:rPr>
        <w:t xml:space="preserve">[5] </w:t>
      </w:r>
      <w:r w:rsidRPr="00153C54">
        <w:rPr>
          <w:rFonts w:ascii="Times New Roman" w:hAnsi="Times New Roman" w:cs="Times New Roman"/>
        </w:rPr>
        <w:tab/>
        <w:t xml:space="preserve">Herd P, Moynihan DP. Administrative burden: Policymaking by other means. New York: Russell Sage Foundation; 2018. </w:t>
      </w:r>
      <w:hyperlink r:id="rId16">
        <w:r w:rsidRPr="00153C54">
          <w:rPr>
            <w:rStyle w:val="Hyperlink"/>
            <w:rFonts w:ascii="Times New Roman" w:hAnsi="Times New Roman" w:cs="Times New Roman"/>
          </w:rPr>
          <w:t>https://doi.org/10.7758/9781610448789</w:t>
        </w:r>
      </w:hyperlink>
      <w:r w:rsidRPr="00153C54">
        <w:rPr>
          <w:rFonts w:ascii="Times New Roman" w:hAnsi="Times New Roman" w:cs="Times New Roman"/>
        </w:rPr>
        <w:t>.</w:t>
      </w:r>
    </w:p>
    <w:p w14:paraId="46B28A03" w14:textId="77777777" w:rsidR="007D3AD7" w:rsidRPr="00153C54" w:rsidRDefault="00000000">
      <w:pPr>
        <w:pStyle w:val="Bibliography"/>
        <w:rPr>
          <w:rFonts w:ascii="Times New Roman" w:hAnsi="Times New Roman" w:cs="Times New Roman"/>
        </w:rPr>
      </w:pPr>
      <w:bookmarkStart w:id="50" w:name="ref-jones2010narrative"/>
      <w:bookmarkEnd w:id="49"/>
      <w:r w:rsidRPr="00153C54">
        <w:rPr>
          <w:rFonts w:ascii="Times New Roman" w:hAnsi="Times New Roman" w:cs="Times New Roman"/>
        </w:rPr>
        <w:t xml:space="preserve">[6] </w:t>
      </w:r>
      <w:r w:rsidRPr="00153C54">
        <w:rPr>
          <w:rFonts w:ascii="Times New Roman" w:hAnsi="Times New Roman" w:cs="Times New Roman"/>
        </w:rPr>
        <w:tab/>
        <w:t xml:space="preserve">Jones MD, McBeth MK. A narrative policy framework: Clear enough to be wrong? Policy Studies Journal </w:t>
      </w:r>
      <w:proofErr w:type="gramStart"/>
      <w:r w:rsidRPr="00153C54">
        <w:rPr>
          <w:rFonts w:ascii="Times New Roman" w:hAnsi="Times New Roman" w:cs="Times New Roman"/>
        </w:rPr>
        <w:t>2010;38:329</w:t>
      </w:r>
      <w:proofErr w:type="gramEnd"/>
      <w:r w:rsidRPr="00153C54">
        <w:rPr>
          <w:rFonts w:ascii="Times New Roman" w:hAnsi="Times New Roman" w:cs="Times New Roman"/>
        </w:rPr>
        <w:t xml:space="preserve">–53. </w:t>
      </w:r>
      <w:hyperlink r:id="rId17">
        <w:r w:rsidRPr="00153C54">
          <w:rPr>
            <w:rStyle w:val="Hyperlink"/>
            <w:rFonts w:ascii="Times New Roman" w:hAnsi="Times New Roman" w:cs="Times New Roman"/>
          </w:rPr>
          <w:t>https://doi.org/10.1111/j.1541-0072.2010.00364.x</w:t>
        </w:r>
      </w:hyperlink>
      <w:r w:rsidRPr="00153C54">
        <w:rPr>
          <w:rFonts w:ascii="Times New Roman" w:hAnsi="Times New Roman" w:cs="Times New Roman"/>
        </w:rPr>
        <w:t>.</w:t>
      </w:r>
    </w:p>
    <w:p w14:paraId="4A657DC4" w14:textId="77777777" w:rsidR="007D3AD7" w:rsidRPr="00153C54" w:rsidRDefault="00000000">
      <w:pPr>
        <w:pStyle w:val="Bibliography"/>
        <w:rPr>
          <w:rFonts w:ascii="Times New Roman" w:hAnsi="Times New Roman" w:cs="Times New Roman"/>
        </w:rPr>
      </w:pPr>
      <w:bookmarkStart w:id="51" w:name="ref-schlaufer2022traveler"/>
      <w:bookmarkEnd w:id="50"/>
      <w:r w:rsidRPr="00153C54">
        <w:rPr>
          <w:rFonts w:ascii="Times New Roman" w:hAnsi="Times New Roman" w:cs="Times New Roman"/>
        </w:rPr>
        <w:t xml:space="preserve">[7] </w:t>
      </w:r>
      <w:r w:rsidRPr="00153C54">
        <w:rPr>
          <w:rFonts w:ascii="Times New Roman" w:hAnsi="Times New Roman" w:cs="Times New Roman"/>
        </w:rPr>
        <w:tab/>
        <w:t xml:space="preserve">Schlaufer C, Kuenzler J, Jones MD, Shanahan EA. The narrative policy framework: A traveler’s guide to policy stories. Politische Vierteljahresschrift </w:t>
      </w:r>
      <w:proofErr w:type="gramStart"/>
      <w:r w:rsidRPr="00153C54">
        <w:rPr>
          <w:rFonts w:ascii="Times New Roman" w:hAnsi="Times New Roman" w:cs="Times New Roman"/>
        </w:rPr>
        <w:t>2022;63:249</w:t>
      </w:r>
      <w:proofErr w:type="gramEnd"/>
      <w:r w:rsidRPr="00153C54">
        <w:rPr>
          <w:rFonts w:ascii="Times New Roman" w:hAnsi="Times New Roman" w:cs="Times New Roman"/>
        </w:rPr>
        <w:t xml:space="preserve">–73. </w:t>
      </w:r>
      <w:hyperlink r:id="rId18">
        <w:r w:rsidRPr="00153C54">
          <w:rPr>
            <w:rStyle w:val="Hyperlink"/>
            <w:rFonts w:ascii="Times New Roman" w:hAnsi="Times New Roman" w:cs="Times New Roman"/>
          </w:rPr>
          <w:t>https://doi.org/10.1007/s11615-022-00379-6</w:t>
        </w:r>
      </w:hyperlink>
      <w:r w:rsidRPr="00153C54">
        <w:rPr>
          <w:rFonts w:ascii="Times New Roman" w:hAnsi="Times New Roman" w:cs="Times New Roman"/>
        </w:rPr>
        <w:t>.</w:t>
      </w:r>
    </w:p>
    <w:p w14:paraId="32969887" w14:textId="77777777" w:rsidR="007D3AD7" w:rsidRPr="00153C54" w:rsidRDefault="00000000">
      <w:pPr>
        <w:pStyle w:val="Bibliography"/>
        <w:rPr>
          <w:rFonts w:ascii="Times New Roman" w:hAnsi="Times New Roman" w:cs="Times New Roman"/>
        </w:rPr>
      </w:pPr>
      <w:bookmarkStart w:id="52" w:name="ref-kunzler2024systematic"/>
      <w:bookmarkEnd w:id="51"/>
      <w:r w:rsidRPr="00153C54">
        <w:rPr>
          <w:rFonts w:ascii="Times New Roman" w:hAnsi="Times New Roman" w:cs="Times New Roman"/>
        </w:rPr>
        <w:t xml:space="preserve">[8] </w:t>
      </w:r>
      <w:r w:rsidRPr="00153C54">
        <w:rPr>
          <w:rFonts w:ascii="Times New Roman" w:hAnsi="Times New Roman" w:cs="Times New Roman"/>
        </w:rPr>
        <w:tab/>
        <w:t xml:space="preserve">Kuenzler J, Stauffer B, Schlaufer C, Song G, Smith-Walter A, Jones MD. A systematic review of the narrative policy framework: A future research agenda. Policy &amp; Politics </w:t>
      </w:r>
      <w:proofErr w:type="gramStart"/>
      <w:r w:rsidRPr="00153C54">
        <w:rPr>
          <w:rFonts w:ascii="Times New Roman" w:hAnsi="Times New Roman" w:cs="Times New Roman"/>
        </w:rPr>
        <w:t>2025;53:129</w:t>
      </w:r>
      <w:proofErr w:type="gramEnd"/>
      <w:r w:rsidRPr="00153C54">
        <w:rPr>
          <w:rFonts w:ascii="Times New Roman" w:hAnsi="Times New Roman" w:cs="Times New Roman"/>
        </w:rPr>
        <w:t xml:space="preserve">–51. </w:t>
      </w:r>
      <w:hyperlink r:id="rId19">
        <w:r w:rsidRPr="00153C54">
          <w:rPr>
            <w:rStyle w:val="Hyperlink"/>
            <w:rFonts w:ascii="Times New Roman" w:hAnsi="Times New Roman" w:cs="Times New Roman"/>
          </w:rPr>
          <w:t>https://doi.org/10.1332/03055736y2024d000000046</w:t>
        </w:r>
      </w:hyperlink>
      <w:r w:rsidRPr="00153C54">
        <w:rPr>
          <w:rFonts w:ascii="Times New Roman" w:hAnsi="Times New Roman" w:cs="Times New Roman"/>
        </w:rPr>
        <w:t>.</w:t>
      </w:r>
    </w:p>
    <w:p w14:paraId="56664217" w14:textId="77777777" w:rsidR="007D3AD7" w:rsidRPr="00153C54" w:rsidRDefault="00000000">
      <w:pPr>
        <w:pStyle w:val="Bibliography"/>
        <w:rPr>
          <w:rFonts w:ascii="Times New Roman" w:hAnsi="Times New Roman" w:cs="Times New Roman"/>
        </w:rPr>
      </w:pPr>
      <w:bookmarkStart w:id="53" w:name="ref-grimmer2013text"/>
      <w:bookmarkEnd w:id="52"/>
      <w:r w:rsidRPr="00153C54">
        <w:rPr>
          <w:rFonts w:ascii="Times New Roman" w:hAnsi="Times New Roman" w:cs="Times New Roman"/>
        </w:rPr>
        <w:t xml:space="preserve">[9] </w:t>
      </w:r>
      <w:r w:rsidRPr="00153C54">
        <w:rPr>
          <w:rFonts w:ascii="Times New Roman" w:hAnsi="Times New Roman" w:cs="Times New Roman"/>
        </w:rPr>
        <w:tab/>
        <w:t xml:space="preserve">Grimmer J, Stewart BM. Text as data: The promise and pitfalls of automatic content analysis methods for political texts. Political Analysis </w:t>
      </w:r>
      <w:proofErr w:type="gramStart"/>
      <w:r w:rsidRPr="00153C54">
        <w:rPr>
          <w:rFonts w:ascii="Times New Roman" w:hAnsi="Times New Roman" w:cs="Times New Roman"/>
        </w:rPr>
        <w:t>2013;21:267</w:t>
      </w:r>
      <w:proofErr w:type="gramEnd"/>
      <w:r w:rsidRPr="00153C54">
        <w:rPr>
          <w:rFonts w:ascii="Times New Roman" w:hAnsi="Times New Roman" w:cs="Times New Roman"/>
        </w:rPr>
        <w:t xml:space="preserve">–97. </w:t>
      </w:r>
      <w:hyperlink r:id="rId20">
        <w:r w:rsidRPr="00153C54">
          <w:rPr>
            <w:rStyle w:val="Hyperlink"/>
            <w:rFonts w:ascii="Times New Roman" w:hAnsi="Times New Roman" w:cs="Times New Roman"/>
          </w:rPr>
          <w:t>https://doi.org/10.1093/pan/mps028</w:t>
        </w:r>
      </w:hyperlink>
      <w:r w:rsidRPr="00153C54">
        <w:rPr>
          <w:rFonts w:ascii="Times New Roman" w:hAnsi="Times New Roman" w:cs="Times New Roman"/>
        </w:rPr>
        <w:t>.</w:t>
      </w:r>
    </w:p>
    <w:p w14:paraId="2C025E66" w14:textId="77777777" w:rsidR="007D3AD7" w:rsidRPr="00153C54" w:rsidRDefault="00000000">
      <w:pPr>
        <w:pStyle w:val="Bibliography"/>
        <w:rPr>
          <w:rFonts w:ascii="Times New Roman" w:hAnsi="Times New Roman" w:cs="Times New Roman"/>
        </w:rPr>
      </w:pPr>
      <w:bookmarkStart w:id="54" w:name="ref-gentzkow2019text"/>
      <w:bookmarkEnd w:id="53"/>
      <w:r w:rsidRPr="00153C54">
        <w:rPr>
          <w:rFonts w:ascii="Times New Roman" w:hAnsi="Times New Roman" w:cs="Times New Roman"/>
        </w:rPr>
        <w:t xml:space="preserve">[10] </w:t>
      </w:r>
      <w:r w:rsidRPr="00153C54">
        <w:rPr>
          <w:rFonts w:ascii="Times New Roman" w:hAnsi="Times New Roman" w:cs="Times New Roman"/>
        </w:rPr>
        <w:tab/>
        <w:t xml:space="preserve">Gentzkow M, Kelly B, Taddy M. Text as data. Journal of Economic Literature </w:t>
      </w:r>
      <w:proofErr w:type="gramStart"/>
      <w:r w:rsidRPr="00153C54">
        <w:rPr>
          <w:rFonts w:ascii="Times New Roman" w:hAnsi="Times New Roman" w:cs="Times New Roman"/>
        </w:rPr>
        <w:t>2019;57:535</w:t>
      </w:r>
      <w:proofErr w:type="gramEnd"/>
      <w:r w:rsidRPr="00153C54">
        <w:rPr>
          <w:rFonts w:ascii="Times New Roman" w:hAnsi="Times New Roman" w:cs="Times New Roman"/>
        </w:rPr>
        <w:t xml:space="preserve">–74. </w:t>
      </w:r>
      <w:hyperlink r:id="rId21">
        <w:r w:rsidRPr="00153C54">
          <w:rPr>
            <w:rStyle w:val="Hyperlink"/>
            <w:rFonts w:ascii="Times New Roman" w:hAnsi="Times New Roman" w:cs="Times New Roman"/>
          </w:rPr>
          <w:t>https://doi.org/10.1257/jel.20181020</w:t>
        </w:r>
      </w:hyperlink>
      <w:r w:rsidRPr="00153C54">
        <w:rPr>
          <w:rFonts w:ascii="Times New Roman" w:hAnsi="Times New Roman" w:cs="Times New Roman"/>
        </w:rPr>
        <w:t>.</w:t>
      </w:r>
    </w:p>
    <w:p w14:paraId="71EC3410" w14:textId="77777777" w:rsidR="007D3AD7" w:rsidRPr="00153C54" w:rsidRDefault="00000000">
      <w:pPr>
        <w:pStyle w:val="Bibliography"/>
        <w:rPr>
          <w:rFonts w:ascii="Times New Roman" w:hAnsi="Times New Roman" w:cs="Times New Roman"/>
        </w:rPr>
      </w:pPr>
      <w:bookmarkStart w:id="55" w:name="ref-blei2003latent"/>
      <w:bookmarkEnd w:id="54"/>
      <w:r w:rsidRPr="00153C54">
        <w:rPr>
          <w:rFonts w:ascii="Times New Roman" w:hAnsi="Times New Roman" w:cs="Times New Roman"/>
        </w:rPr>
        <w:t xml:space="preserve">[11] </w:t>
      </w:r>
      <w:r w:rsidRPr="00153C54">
        <w:rPr>
          <w:rFonts w:ascii="Times New Roman" w:hAnsi="Times New Roman" w:cs="Times New Roman"/>
        </w:rPr>
        <w:tab/>
        <w:t xml:space="preserve">Blei DM, Ng AY, Jordan MI. </w:t>
      </w:r>
      <w:hyperlink r:id="rId22">
        <w:r w:rsidRPr="00153C54">
          <w:rPr>
            <w:rStyle w:val="Hyperlink"/>
            <w:rFonts w:ascii="Times New Roman" w:hAnsi="Times New Roman" w:cs="Times New Roman"/>
          </w:rPr>
          <w:t>Latent dirichlet allocation</w:t>
        </w:r>
      </w:hyperlink>
      <w:r w:rsidRPr="00153C54">
        <w:rPr>
          <w:rFonts w:ascii="Times New Roman" w:hAnsi="Times New Roman" w:cs="Times New Roman"/>
        </w:rPr>
        <w:t xml:space="preserve">. Journal of Machine Learning Research </w:t>
      </w:r>
      <w:proofErr w:type="gramStart"/>
      <w:r w:rsidRPr="00153C54">
        <w:rPr>
          <w:rFonts w:ascii="Times New Roman" w:hAnsi="Times New Roman" w:cs="Times New Roman"/>
        </w:rPr>
        <w:t>2003;3:993</w:t>
      </w:r>
      <w:proofErr w:type="gramEnd"/>
      <w:r w:rsidRPr="00153C54">
        <w:rPr>
          <w:rFonts w:ascii="Times New Roman" w:hAnsi="Times New Roman" w:cs="Times New Roman"/>
        </w:rPr>
        <w:t>–1022.</w:t>
      </w:r>
    </w:p>
    <w:p w14:paraId="0D962ED2" w14:textId="77777777" w:rsidR="007D3AD7" w:rsidRPr="00153C54" w:rsidRDefault="00000000">
      <w:pPr>
        <w:pStyle w:val="Bibliography"/>
        <w:rPr>
          <w:rFonts w:ascii="Times New Roman" w:hAnsi="Times New Roman" w:cs="Times New Roman"/>
        </w:rPr>
      </w:pPr>
      <w:bookmarkStart w:id="56" w:name="ref-mikolov2013efficient"/>
      <w:bookmarkEnd w:id="55"/>
      <w:r w:rsidRPr="00153C54">
        <w:rPr>
          <w:rFonts w:ascii="Times New Roman" w:hAnsi="Times New Roman" w:cs="Times New Roman"/>
        </w:rPr>
        <w:t xml:space="preserve">[12] </w:t>
      </w:r>
      <w:r w:rsidRPr="00153C54">
        <w:rPr>
          <w:rFonts w:ascii="Times New Roman" w:hAnsi="Times New Roman" w:cs="Times New Roman"/>
        </w:rPr>
        <w:tab/>
        <w:t xml:space="preserve">Mikolov T, Chen K, Corrado G, Dean J. Efficient estimation of word representations in vector space. arXiv </w:t>
      </w:r>
      <w:proofErr w:type="gramStart"/>
      <w:r w:rsidRPr="00153C54">
        <w:rPr>
          <w:rFonts w:ascii="Times New Roman" w:hAnsi="Times New Roman" w:cs="Times New Roman"/>
        </w:rPr>
        <w:t>2013;abs</w:t>
      </w:r>
      <w:proofErr w:type="gramEnd"/>
      <w:r w:rsidRPr="00153C54">
        <w:rPr>
          <w:rFonts w:ascii="Times New Roman" w:hAnsi="Times New Roman" w:cs="Times New Roman"/>
        </w:rPr>
        <w:t xml:space="preserve">/1301.3781. </w:t>
      </w:r>
      <w:hyperlink r:id="rId23">
        <w:r w:rsidRPr="00153C54">
          <w:rPr>
            <w:rStyle w:val="Hyperlink"/>
            <w:rFonts w:ascii="Times New Roman" w:hAnsi="Times New Roman" w:cs="Times New Roman"/>
          </w:rPr>
          <w:t>https://doi.org/10.48550/arXiv.1301.3781</w:t>
        </w:r>
      </w:hyperlink>
      <w:r w:rsidRPr="00153C54">
        <w:rPr>
          <w:rFonts w:ascii="Times New Roman" w:hAnsi="Times New Roman" w:cs="Times New Roman"/>
        </w:rPr>
        <w:t>.</w:t>
      </w:r>
    </w:p>
    <w:p w14:paraId="558EDC12" w14:textId="77777777" w:rsidR="007D3AD7" w:rsidRPr="00153C54" w:rsidRDefault="00000000">
      <w:pPr>
        <w:pStyle w:val="Bibliography"/>
        <w:rPr>
          <w:rFonts w:ascii="Times New Roman" w:hAnsi="Times New Roman" w:cs="Times New Roman"/>
        </w:rPr>
      </w:pPr>
      <w:bookmarkStart w:id="57" w:name="ref-devlin2019bert"/>
      <w:bookmarkEnd w:id="56"/>
      <w:r w:rsidRPr="00153C54">
        <w:rPr>
          <w:rFonts w:ascii="Times New Roman" w:hAnsi="Times New Roman" w:cs="Times New Roman"/>
        </w:rPr>
        <w:t xml:space="preserve">[13] </w:t>
      </w:r>
      <w:r w:rsidRPr="00153C54">
        <w:rPr>
          <w:rFonts w:ascii="Times New Roman" w:hAnsi="Times New Roman" w:cs="Times New Roman"/>
        </w:rPr>
        <w:tab/>
        <w:t xml:space="preserve">Devlin J, Chang M-W, Lee K, Toutanova K. BERT: Pre-training of deep bidirectional transformers for language understanding. Proceedings of the 2019 conference of the north american chapter of the association for computational linguistics: Human language technologies, volume 1 (long and short papers), Minneapolis, Minnesota: Association for Computational Linguistics; 2019, p. 4171–86. </w:t>
      </w:r>
      <w:hyperlink r:id="rId24">
        <w:r w:rsidRPr="00153C54">
          <w:rPr>
            <w:rStyle w:val="Hyperlink"/>
            <w:rFonts w:ascii="Times New Roman" w:hAnsi="Times New Roman" w:cs="Times New Roman"/>
          </w:rPr>
          <w:t>https://doi.org/10.18653/v1/N19-1423</w:t>
        </w:r>
      </w:hyperlink>
      <w:r w:rsidRPr="00153C54">
        <w:rPr>
          <w:rFonts w:ascii="Times New Roman" w:hAnsi="Times New Roman" w:cs="Times New Roman"/>
        </w:rPr>
        <w:t>.</w:t>
      </w:r>
    </w:p>
    <w:p w14:paraId="649D77B4" w14:textId="77777777" w:rsidR="007D3AD7" w:rsidRPr="00153C54" w:rsidRDefault="00000000">
      <w:pPr>
        <w:pStyle w:val="Bibliography"/>
        <w:rPr>
          <w:rFonts w:ascii="Times New Roman" w:hAnsi="Times New Roman" w:cs="Times New Roman"/>
        </w:rPr>
      </w:pPr>
      <w:bookmarkStart w:id="58" w:name="ref-jiang2023nlp"/>
      <w:bookmarkEnd w:id="57"/>
      <w:r w:rsidRPr="00153C54">
        <w:rPr>
          <w:rFonts w:ascii="Times New Roman" w:hAnsi="Times New Roman" w:cs="Times New Roman"/>
        </w:rPr>
        <w:t xml:space="preserve">[14] </w:t>
      </w:r>
      <w:r w:rsidRPr="00153C54">
        <w:rPr>
          <w:rFonts w:ascii="Times New Roman" w:hAnsi="Times New Roman" w:cs="Times New Roman"/>
        </w:rPr>
        <w:tab/>
        <w:t xml:space="preserve">Jiang Y, Pang PC-I, Wong D, Kan HY. Natural language processing adoption in governments and future research directions: A systematic review. Applied Sciences </w:t>
      </w:r>
      <w:proofErr w:type="gramStart"/>
      <w:r w:rsidRPr="00153C54">
        <w:rPr>
          <w:rFonts w:ascii="Times New Roman" w:hAnsi="Times New Roman" w:cs="Times New Roman"/>
        </w:rPr>
        <w:t>2023;13:12346</w:t>
      </w:r>
      <w:proofErr w:type="gramEnd"/>
      <w:r w:rsidRPr="00153C54">
        <w:rPr>
          <w:rFonts w:ascii="Times New Roman" w:hAnsi="Times New Roman" w:cs="Times New Roman"/>
        </w:rPr>
        <w:t xml:space="preserve">. </w:t>
      </w:r>
      <w:hyperlink r:id="rId25">
        <w:r w:rsidRPr="00153C54">
          <w:rPr>
            <w:rStyle w:val="Hyperlink"/>
            <w:rFonts w:ascii="Times New Roman" w:hAnsi="Times New Roman" w:cs="Times New Roman"/>
          </w:rPr>
          <w:t>https://doi.org/10.3390/app132212346</w:t>
        </w:r>
      </w:hyperlink>
      <w:r w:rsidRPr="00153C54">
        <w:rPr>
          <w:rFonts w:ascii="Times New Roman" w:hAnsi="Times New Roman" w:cs="Times New Roman"/>
        </w:rPr>
        <w:t>.</w:t>
      </w:r>
    </w:p>
    <w:p w14:paraId="08061414" w14:textId="77777777" w:rsidR="007D3AD7" w:rsidRPr="00153C54" w:rsidRDefault="00000000">
      <w:pPr>
        <w:pStyle w:val="Bibliography"/>
        <w:rPr>
          <w:rFonts w:ascii="Times New Roman" w:hAnsi="Times New Roman" w:cs="Times New Roman"/>
        </w:rPr>
      </w:pPr>
      <w:bookmarkStart w:id="59" w:name="ref-bell2015explaining"/>
      <w:bookmarkEnd w:id="58"/>
      <w:r w:rsidRPr="00153C54">
        <w:rPr>
          <w:rFonts w:ascii="Times New Roman" w:hAnsi="Times New Roman" w:cs="Times New Roman"/>
        </w:rPr>
        <w:t xml:space="preserve">[15] </w:t>
      </w:r>
      <w:r w:rsidRPr="00153C54">
        <w:rPr>
          <w:rFonts w:ascii="Times New Roman" w:hAnsi="Times New Roman" w:cs="Times New Roman"/>
        </w:rPr>
        <w:tab/>
        <w:t xml:space="preserve">Bell A, Jones K. Explaining fixed effects: Random effects modeling of time-series cross-sectional and panel data. Political Science Research and Methods </w:t>
      </w:r>
      <w:proofErr w:type="gramStart"/>
      <w:r w:rsidRPr="00153C54">
        <w:rPr>
          <w:rFonts w:ascii="Times New Roman" w:hAnsi="Times New Roman" w:cs="Times New Roman"/>
        </w:rPr>
        <w:t>2015;3:133</w:t>
      </w:r>
      <w:proofErr w:type="gramEnd"/>
      <w:r w:rsidRPr="00153C54">
        <w:rPr>
          <w:rFonts w:ascii="Times New Roman" w:hAnsi="Times New Roman" w:cs="Times New Roman"/>
        </w:rPr>
        <w:t xml:space="preserve">–53. </w:t>
      </w:r>
      <w:hyperlink r:id="rId26">
        <w:r w:rsidRPr="00153C54">
          <w:rPr>
            <w:rStyle w:val="Hyperlink"/>
            <w:rFonts w:ascii="Times New Roman" w:hAnsi="Times New Roman" w:cs="Times New Roman"/>
          </w:rPr>
          <w:t>https://doi.org/10.1017/psrm.2014.7</w:t>
        </w:r>
      </w:hyperlink>
      <w:r w:rsidRPr="00153C54">
        <w:rPr>
          <w:rFonts w:ascii="Times New Roman" w:hAnsi="Times New Roman" w:cs="Times New Roman"/>
        </w:rPr>
        <w:t>.</w:t>
      </w:r>
    </w:p>
    <w:p w14:paraId="6C3CF504" w14:textId="77777777" w:rsidR="007D3AD7" w:rsidRPr="00153C54" w:rsidRDefault="00000000">
      <w:pPr>
        <w:pStyle w:val="Bibliography"/>
        <w:rPr>
          <w:rFonts w:ascii="Times New Roman" w:hAnsi="Times New Roman" w:cs="Times New Roman"/>
        </w:rPr>
      </w:pPr>
      <w:bookmarkStart w:id="60" w:name="ref-tierney2014social"/>
      <w:bookmarkEnd w:id="59"/>
      <w:r w:rsidRPr="00153C54">
        <w:rPr>
          <w:rFonts w:ascii="Times New Roman" w:hAnsi="Times New Roman" w:cs="Times New Roman"/>
        </w:rPr>
        <w:t xml:space="preserve">[16] </w:t>
      </w:r>
      <w:r w:rsidRPr="00153C54">
        <w:rPr>
          <w:rFonts w:ascii="Times New Roman" w:hAnsi="Times New Roman" w:cs="Times New Roman"/>
        </w:rPr>
        <w:tab/>
        <w:t xml:space="preserve">Tierney K. The social roots of risk: Producing disasters, promoting resilience. Stanford: Stanford University Press; 2014. </w:t>
      </w:r>
      <w:hyperlink r:id="rId27">
        <w:r w:rsidRPr="00153C54">
          <w:rPr>
            <w:rStyle w:val="Hyperlink"/>
            <w:rFonts w:ascii="Times New Roman" w:hAnsi="Times New Roman" w:cs="Times New Roman"/>
          </w:rPr>
          <w:t>https://doi.org/10.1515/9780804791403</w:t>
        </w:r>
      </w:hyperlink>
      <w:r w:rsidRPr="00153C54">
        <w:rPr>
          <w:rFonts w:ascii="Times New Roman" w:hAnsi="Times New Roman" w:cs="Times New Roman"/>
        </w:rPr>
        <w:t>.</w:t>
      </w:r>
    </w:p>
    <w:p w14:paraId="79908BAB" w14:textId="77777777" w:rsidR="007D3AD7" w:rsidRPr="00153C54" w:rsidRDefault="00000000">
      <w:pPr>
        <w:pStyle w:val="Bibliography"/>
        <w:rPr>
          <w:rFonts w:ascii="Times New Roman" w:hAnsi="Times New Roman" w:cs="Times New Roman"/>
        </w:rPr>
      </w:pPr>
      <w:bookmarkStart w:id="61" w:name="ref-norris2008community"/>
      <w:bookmarkEnd w:id="60"/>
      <w:r w:rsidRPr="00153C54">
        <w:rPr>
          <w:rFonts w:ascii="Times New Roman" w:hAnsi="Times New Roman" w:cs="Times New Roman"/>
        </w:rPr>
        <w:t xml:space="preserve">[17] </w:t>
      </w:r>
      <w:r w:rsidRPr="00153C54">
        <w:rPr>
          <w:rFonts w:ascii="Times New Roman" w:hAnsi="Times New Roman" w:cs="Times New Roman"/>
        </w:rPr>
        <w:tab/>
        <w:t xml:space="preserve">Norris FH, Stevens SP, Pfefferbaum B, Wyche KF, Pfefferbaum RL. Community resilience as a metaphor, theory, set of capacities, and strategy for disaster readiness. American Journal of Community Psychology </w:t>
      </w:r>
      <w:proofErr w:type="gramStart"/>
      <w:r w:rsidRPr="00153C54">
        <w:rPr>
          <w:rFonts w:ascii="Times New Roman" w:hAnsi="Times New Roman" w:cs="Times New Roman"/>
        </w:rPr>
        <w:t>2008;41:127</w:t>
      </w:r>
      <w:proofErr w:type="gramEnd"/>
      <w:r w:rsidRPr="00153C54">
        <w:rPr>
          <w:rFonts w:ascii="Times New Roman" w:hAnsi="Times New Roman" w:cs="Times New Roman"/>
        </w:rPr>
        <w:t xml:space="preserve">–50. </w:t>
      </w:r>
      <w:hyperlink r:id="rId28">
        <w:r w:rsidRPr="00153C54">
          <w:rPr>
            <w:rStyle w:val="Hyperlink"/>
            <w:rFonts w:ascii="Times New Roman" w:hAnsi="Times New Roman" w:cs="Times New Roman"/>
          </w:rPr>
          <w:t>https://doi.org/10.1007/s10464-007-9156-6</w:t>
        </w:r>
      </w:hyperlink>
      <w:r w:rsidRPr="00153C54">
        <w:rPr>
          <w:rFonts w:ascii="Times New Roman" w:hAnsi="Times New Roman" w:cs="Times New Roman"/>
        </w:rPr>
        <w:t>.</w:t>
      </w:r>
    </w:p>
    <w:p w14:paraId="394B0AA5" w14:textId="77777777" w:rsidR="007D3AD7" w:rsidRPr="00153C54" w:rsidRDefault="00000000">
      <w:pPr>
        <w:pStyle w:val="Bibliography"/>
        <w:rPr>
          <w:rFonts w:ascii="Times New Roman" w:hAnsi="Times New Roman" w:cs="Times New Roman"/>
        </w:rPr>
      </w:pPr>
      <w:bookmarkStart w:id="62" w:name="ref-huddrgr"/>
      <w:bookmarkEnd w:id="61"/>
      <w:r w:rsidRPr="00153C54">
        <w:rPr>
          <w:rFonts w:ascii="Times New Roman" w:hAnsi="Times New Roman" w:cs="Times New Roman"/>
        </w:rPr>
        <w:lastRenderedPageBreak/>
        <w:t xml:space="preserve">[18] </w:t>
      </w:r>
      <w:r w:rsidRPr="00153C54">
        <w:rPr>
          <w:rFonts w:ascii="Times New Roman" w:hAnsi="Times New Roman" w:cs="Times New Roman"/>
        </w:rPr>
        <w:tab/>
        <w:t xml:space="preserve">U.S. Department of Housing and Urban Development. </w:t>
      </w:r>
      <w:hyperlink r:id="rId29">
        <w:r w:rsidRPr="00153C54">
          <w:rPr>
            <w:rStyle w:val="Hyperlink"/>
            <w:rFonts w:ascii="Times New Roman" w:hAnsi="Times New Roman" w:cs="Times New Roman"/>
          </w:rPr>
          <w:t>Disaster recovery grant reporting (DRGR) public data portal</w:t>
        </w:r>
      </w:hyperlink>
      <w:r w:rsidRPr="00153C54">
        <w:rPr>
          <w:rFonts w:ascii="Times New Roman" w:hAnsi="Times New Roman" w:cs="Times New Roman"/>
        </w:rPr>
        <w:t xml:space="preserve"> 2025.</w:t>
      </w:r>
    </w:p>
    <w:p w14:paraId="0EE42899" w14:textId="77777777" w:rsidR="007D3AD7" w:rsidRPr="00153C54" w:rsidRDefault="00000000">
      <w:pPr>
        <w:pStyle w:val="Bibliography"/>
        <w:rPr>
          <w:rFonts w:ascii="Times New Roman" w:hAnsi="Times New Roman" w:cs="Times New Roman"/>
        </w:rPr>
      </w:pPr>
      <w:bookmarkStart w:id="63" w:name="ref-gao2023cdbgdr"/>
      <w:bookmarkEnd w:id="62"/>
      <w:r w:rsidRPr="00153C54">
        <w:rPr>
          <w:rFonts w:ascii="Times New Roman" w:hAnsi="Times New Roman" w:cs="Times New Roman"/>
        </w:rPr>
        <w:t xml:space="preserve">[19] </w:t>
      </w:r>
      <w:r w:rsidRPr="00153C54">
        <w:rPr>
          <w:rFonts w:ascii="Times New Roman" w:hAnsi="Times New Roman" w:cs="Times New Roman"/>
        </w:rPr>
        <w:tab/>
        <w:t xml:space="preserve">U.S. Government Accountability Office. </w:t>
      </w:r>
      <w:hyperlink r:id="rId30">
        <w:r w:rsidRPr="00153C54">
          <w:rPr>
            <w:rStyle w:val="Hyperlink"/>
            <w:rFonts w:ascii="Times New Roman" w:hAnsi="Times New Roman" w:cs="Times New Roman"/>
          </w:rPr>
          <w:t>Disaster recovery: Better information is needed on the progress of block grant funds</w:t>
        </w:r>
      </w:hyperlink>
      <w:r w:rsidRPr="00153C54">
        <w:rPr>
          <w:rFonts w:ascii="Times New Roman" w:hAnsi="Times New Roman" w:cs="Times New Roman"/>
        </w:rPr>
        <w:t>. U.S. Government Accountability Office; 2022.</w:t>
      </w:r>
    </w:p>
    <w:p w14:paraId="61F62216" w14:textId="77777777" w:rsidR="007D3AD7" w:rsidRPr="00153C54" w:rsidRDefault="00000000">
      <w:pPr>
        <w:pStyle w:val="Bibliography"/>
        <w:rPr>
          <w:rFonts w:ascii="Times New Roman" w:hAnsi="Times New Roman" w:cs="Times New Roman"/>
        </w:rPr>
      </w:pPr>
      <w:bookmarkStart w:id="64" w:name="ref-texasglo2025qpr"/>
      <w:bookmarkEnd w:id="63"/>
      <w:r w:rsidRPr="00153C54">
        <w:rPr>
          <w:rFonts w:ascii="Times New Roman" w:hAnsi="Times New Roman" w:cs="Times New Roman"/>
        </w:rPr>
        <w:t xml:space="preserve">[20] </w:t>
      </w:r>
      <w:r w:rsidRPr="00153C54">
        <w:rPr>
          <w:rFonts w:ascii="Times New Roman" w:hAnsi="Times New Roman" w:cs="Times New Roman"/>
        </w:rPr>
        <w:tab/>
        <w:t xml:space="preserve">Texas General Land Office. </w:t>
      </w:r>
      <w:hyperlink r:id="rId31">
        <w:r w:rsidRPr="00153C54">
          <w:rPr>
            <w:rStyle w:val="Hyperlink"/>
            <w:rFonts w:ascii="Times New Roman" w:hAnsi="Times New Roman" w:cs="Times New Roman"/>
          </w:rPr>
          <w:t>HUD DRGR / QPR Reports</w:t>
        </w:r>
      </w:hyperlink>
      <w:r w:rsidRPr="00153C54">
        <w:rPr>
          <w:rFonts w:ascii="Times New Roman" w:hAnsi="Times New Roman" w:cs="Times New Roman"/>
        </w:rPr>
        <w:t xml:space="preserve"> 2025.</w:t>
      </w:r>
    </w:p>
    <w:p w14:paraId="3A86A226" w14:textId="77777777" w:rsidR="007D3AD7" w:rsidRPr="00153C54" w:rsidRDefault="00000000">
      <w:pPr>
        <w:pStyle w:val="Bibliography"/>
        <w:rPr>
          <w:rFonts w:ascii="Times New Roman" w:hAnsi="Times New Roman" w:cs="Times New Roman"/>
        </w:rPr>
      </w:pPr>
      <w:bookmarkStart w:id="65" w:name="ref-urbaninstitute2021housing"/>
      <w:bookmarkEnd w:id="64"/>
      <w:r w:rsidRPr="00153C54">
        <w:rPr>
          <w:rFonts w:ascii="Times New Roman" w:hAnsi="Times New Roman" w:cs="Times New Roman"/>
        </w:rPr>
        <w:t xml:space="preserve">[21] </w:t>
      </w:r>
      <w:r w:rsidRPr="00153C54">
        <w:rPr>
          <w:rFonts w:ascii="Times New Roman" w:hAnsi="Times New Roman" w:cs="Times New Roman"/>
        </w:rPr>
        <w:tab/>
        <w:t xml:space="preserve">Martin C, Gilbert B, Teles D, Theodos B, O’Brien A, Whaley K, et al. </w:t>
      </w:r>
      <w:hyperlink r:id="rId32">
        <w:r w:rsidRPr="00153C54">
          <w:rPr>
            <w:rStyle w:val="Hyperlink"/>
            <w:rFonts w:ascii="Times New Roman" w:hAnsi="Times New Roman" w:cs="Times New Roman"/>
          </w:rPr>
          <w:t>Housing recovery and CDBG-DR: A roadmap for better building and better outcomes</w:t>
        </w:r>
      </w:hyperlink>
      <w:r w:rsidRPr="00153C54">
        <w:rPr>
          <w:rFonts w:ascii="Times New Roman" w:hAnsi="Times New Roman" w:cs="Times New Roman"/>
        </w:rPr>
        <w:t>. U.S. Department of Housing &amp; Urban Development, Office of Policy Development &amp; Research; 2021.</w:t>
      </w:r>
    </w:p>
    <w:p w14:paraId="5A0764D1" w14:textId="77777777" w:rsidR="007D3AD7" w:rsidRPr="00153C54" w:rsidRDefault="00000000">
      <w:pPr>
        <w:pStyle w:val="Bibliography"/>
        <w:rPr>
          <w:rFonts w:ascii="Times New Roman" w:hAnsi="Times New Roman" w:cs="Times New Roman"/>
        </w:rPr>
      </w:pPr>
      <w:bookmarkStart w:id="66" w:name="ref-enterprise2024equity"/>
      <w:bookmarkEnd w:id="65"/>
      <w:r w:rsidRPr="00153C54">
        <w:rPr>
          <w:rFonts w:ascii="Times New Roman" w:hAnsi="Times New Roman" w:cs="Times New Roman"/>
        </w:rPr>
        <w:t xml:space="preserve">[22] </w:t>
      </w:r>
      <w:r w:rsidRPr="00153C54">
        <w:rPr>
          <w:rFonts w:ascii="Times New Roman" w:hAnsi="Times New Roman" w:cs="Times New Roman"/>
        </w:rPr>
        <w:tab/>
        <w:t xml:space="preserve">Enterprise Community Partners. </w:t>
      </w:r>
      <w:hyperlink r:id="rId33">
        <w:r w:rsidRPr="00153C54">
          <w:rPr>
            <w:rStyle w:val="Hyperlink"/>
            <w:rFonts w:ascii="Times New Roman" w:hAnsi="Times New Roman" w:cs="Times New Roman"/>
          </w:rPr>
          <w:t>Evaluating equity efforts and outcomes of CDBG-DR funded flood resilience efforts in four communities</w:t>
        </w:r>
      </w:hyperlink>
      <w:r w:rsidRPr="00153C54">
        <w:rPr>
          <w:rFonts w:ascii="Times New Roman" w:hAnsi="Times New Roman" w:cs="Times New Roman"/>
        </w:rPr>
        <w:t>. U.S. Department of Housing &amp; Urban Development, Office of Policy Development &amp; Research; 2024.</w:t>
      </w:r>
    </w:p>
    <w:p w14:paraId="68B39E09" w14:textId="77777777" w:rsidR="007D3AD7" w:rsidRPr="00153C54" w:rsidRDefault="00000000">
      <w:pPr>
        <w:pStyle w:val="Bibliography"/>
        <w:rPr>
          <w:rFonts w:ascii="Times New Roman" w:hAnsi="Times New Roman" w:cs="Times New Roman"/>
        </w:rPr>
      </w:pPr>
      <w:bookmarkStart w:id="67" w:name="ref-ferreira2024barriers"/>
      <w:bookmarkEnd w:id="66"/>
      <w:r w:rsidRPr="00153C54">
        <w:rPr>
          <w:rFonts w:ascii="Times New Roman" w:hAnsi="Times New Roman" w:cs="Times New Roman"/>
        </w:rPr>
        <w:t xml:space="preserve">[23] </w:t>
      </w:r>
      <w:r w:rsidRPr="00153C54">
        <w:rPr>
          <w:rFonts w:ascii="Times New Roman" w:hAnsi="Times New Roman" w:cs="Times New Roman"/>
        </w:rPr>
        <w:tab/>
        <w:t xml:space="preserve">Ferreira R, Davidson T, Buttell F, Contillo CM, Leddie C, Leahy C, et al. Barriers to equitable disaster recovery: A scoping literature review. International Journal of Disaster Risk Reduction </w:t>
      </w:r>
      <w:proofErr w:type="gramStart"/>
      <w:r w:rsidRPr="00153C54">
        <w:rPr>
          <w:rFonts w:ascii="Times New Roman" w:hAnsi="Times New Roman" w:cs="Times New Roman"/>
        </w:rPr>
        <w:t>2024;110:104628</w:t>
      </w:r>
      <w:proofErr w:type="gramEnd"/>
      <w:r w:rsidRPr="00153C54">
        <w:rPr>
          <w:rFonts w:ascii="Times New Roman" w:hAnsi="Times New Roman" w:cs="Times New Roman"/>
        </w:rPr>
        <w:t xml:space="preserve">. </w:t>
      </w:r>
      <w:hyperlink r:id="rId34">
        <w:r w:rsidRPr="00153C54">
          <w:rPr>
            <w:rStyle w:val="Hyperlink"/>
            <w:rFonts w:ascii="Times New Roman" w:hAnsi="Times New Roman" w:cs="Times New Roman"/>
          </w:rPr>
          <w:t>https://doi.org/10.1016/j.ijdrr.2024.104628</w:t>
        </w:r>
      </w:hyperlink>
      <w:r w:rsidRPr="00153C54">
        <w:rPr>
          <w:rFonts w:ascii="Times New Roman" w:hAnsi="Times New Roman" w:cs="Times New Roman"/>
        </w:rPr>
        <w:t>.</w:t>
      </w:r>
    </w:p>
    <w:p w14:paraId="4DC29FA0" w14:textId="77777777" w:rsidR="007D3AD7" w:rsidRPr="00153C54" w:rsidRDefault="00000000">
      <w:pPr>
        <w:pStyle w:val="Bibliography"/>
        <w:rPr>
          <w:rFonts w:ascii="Times New Roman" w:hAnsi="Times New Roman" w:cs="Times New Roman"/>
        </w:rPr>
      </w:pPr>
      <w:bookmarkStart w:id="68" w:name="ref-spearman1904proof"/>
      <w:bookmarkEnd w:id="67"/>
      <w:r w:rsidRPr="00153C54">
        <w:rPr>
          <w:rFonts w:ascii="Times New Roman" w:hAnsi="Times New Roman" w:cs="Times New Roman"/>
        </w:rPr>
        <w:t xml:space="preserve">[24] </w:t>
      </w:r>
      <w:r w:rsidRPr="00153C54">
        <w:rPr>
          <w:rFonts w:ascii="Times New Roman" w:hAnsi="Times New Roman" w:cs="Times New Roman"/>
        </w:rPr>
        <w:tab/>
        <w:t xml:space="preserve">Spearman C. The proof and measurement of association between two things. The American Journal of Psychology </w:t>
      </w:r>
      <w:proofErr w:type="gramStart"/>
      <w:r w:rsidRPr="00153C54">
        <w:rPr>
          <w:rFonts w:ascii="Times New Roman" w:hAnsi="Times New Roman" w:cs="Times New Roman"/>
        </w:rPr>
        <w:t>1904;15:72</w:t>
      </w:r>
      <w:proofErr w:type="gramEnd"/>
      <w:r w:rsidRPr="00153C54">
        <w:rPr>
          <w:rFonts w:ascii="Times New Roman" w:hAnsi="Times New Roman" w:cs="Times New Roman"/>
        </w:rPr>
        <w:t xml:space="preserve">–101. </w:t>
      </w:r>
      <w:hyperlink r:id="rId35">
        <w:r w:rsidRPr="00153C54">
          <w:rPr>
            <w:rStyle w:val="Hyperlink"/>
            <w:rFonts w:ascii="Times New Roman" w:hAnsi="Times New Roman" w:cs="Times New Roman"/>
          </w:rPr>
          <w:t>https://doi.org/10.2307/1412159</w:t>
        </w:r>
      </w:hyperlink>
      <w:r w:rsidRPr="00153C54">
        <w:rPr>
          <w:rFonts w:ascii="Times New Roman" w:hAnsi="Times New Roman" w:cs="Times New Roman"/>
        </w:rPr>
        <w:t>.</w:t>
      </w:r>
    </w:p>
    <w:bookmarkEnd w:id="45"/>
    <w:bookmarkEnd w:id="68"/>
    <w:p w14:paraId="3E72AD98" w14:textId="77777777" w:rsidR="007D3AD7" w:rsidRPr="00153C54" w:rsidRDefault="00000000">
      <w:pPr>
        <w:rPr>
          <w:rFonts w:ascii="Times New Roman" w:hAnsi="Times New Roman" w:cs="Times New Roman"/>
        </w:rPr>
      </w:pPr>
      <w:r w:rsidRPr="00153C54">
        <w:rPr>
          <w:rFonts w:ascii="Times New Roman" w:hAnsi="Times New Roman" w:cs="Times New Roman"/>
        </w:rPr>
        <w:br w:type="page"/>
      </w:r>
    </w:p>
    <w:p w14:paraId="507A6C58" w14:textId="77777777" w:rsidR="007D3AD7" w:rsidRPr="00153C54" w:rsidRDefault="00000000">
      <w:pPr>
        <w:pStyle w:val="Heading1"/>
        <w:rPr>
          <w:rFonts w:ascii="Times New Roman" w:hAnsi="Times New Roman" w:cs="Times New Roman"/>
          <w:sz w:val="24"/>
          <w:szCs w:val="24"/>
        </w:rPr>
      </w:pPr>
      <w:bookmarkStart w:id="69" w:name="data-sources-and-sample-construction"/>
      <w:bookmarkEnd w:id="43"/>
      <w:r w:rsidRPr="00153C54">
        <w:rPr>
          <w:rFonts w:ascii="Times New Roman" w:hAnsi="Times New Roman" w:cs="Times New Roman"/>
          <w:sz w:val="24"/>
          <w:szCs w:val="24"/>
        </w:rPr>
        <w:lastRenderedPageBreak/>
        <w:t>Appendix A — Data Sources and Sample Construction</w:t>
      </w:r>
    </w:p>
    <w:p w14:paraId="039B5ACB"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This appendix describes the sources, provenance, and sample construction for the analytic panel used in the study. It provides the coverage details, variable derivation rules, and merge logic that underlie the estimates reported in the main text.</w:t>
      </w:r>
    </w:p>
    <w:p w14:paraId="79F6C3A8" w14:textId="77777777" w:rsidR="007D3AD7" w:rsidRPr="00153C54" w:rsidRDefault="00000000">
      <w:pPr>
        <w:pStyle w:val="Heading2"/>
        <w:rPr>
          <w:rFonts w:ascii="Times New Roman" w:hAnsi="Times New Roman" w:cs="Times New Roman"/>
          <w:sz w:val="24"/>
          <w:szCs w:val="24"/>
        </w:rPr>
      </w:pPr>
      <w:bookmarkStart w:id="70" w:name="sec-data-sources"/>
      <w:r w:rsidRPr="00153C54">
        <w:rPr>
          <w:rFonts w:ascii="Times New Roman" w:hAnsi="Times New Roman" w:cs="Times New Roman"/>
          <w:sz w:val="24"/>
          <w:szCs w:val="24"/>
        </w:rPr>
        <w:t>A.1 Source Data and Provenance</w:t>
      </w:r>
    </w:p>
    <w:p w14:paraId="0ABD00C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analysis uses a multi-source Disaster Recovery Grant Reporting (DRGR) corpus maintained in a unified project database. Source records come from Texas General Land Office (GLO) quarterly DRGR reporting artifacts and are transformed into narrative-signal and SEM-ready panels under fixed, script-based processing rules.</w:t>
      </w:r>
    </w:p>
    <w:tbl>
      <w:tblPr>
        <w:tblStyle w:val="Table"/>
        <w:tblW w:w="5000" w:type="pct"/>
        <w:tblLayout w:type="fixed"/>
        <w:tblLook w:val="0020" w:firstRow="1" w:lastRow="0" w:firstColumn="0" w:lastColumn="0" w:noHBand="0" w:noVBand="0"/>
      </w:tblPr>
      <w:tblGrid>
        <w:gridCol w:w="2210"/>
        <w:gridCol w:w="2210"/>
        <w:gridCol w:w="2946"/>
        <w:gridCol w:w="2210"/>
      </w:tblGrid>
      <w:tr w:rsidR="007D3AD7" w:rsidRPr="00153C54" w14:paraId="3E7DC23A"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827" w:type="dxa"/>
          </w:tcPr>
          <w:p w14:paraId="0FD4097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Layer</w:t>
            </w:r>
          </w:p>
        </w:tc>
        <w:tc>
          <w:tcPr>
            <w:tcW w:w="1827" w:type="dxa"/>
          </w:tcPr>
          <w:p w14:paraId="547D04E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Source and provenance</w:t>
            </w:r>
          </w:p>
        </w:tc>
        <w:tc>
          <w:tcPr>
            <w:tcW w:w="2436" w:type="dxa"/>
          </w:tcPr>
          <w:p w14:paraId="5B31315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Coverage/count</w:t>
            </w:r>
          </w:p>
        </w:tc>
        <w:tc>
          <w:tcPr>
            <w:tcW w:w="1827" w:type="dxa"/>
          </w:tcPr>
          <w:p w14:paraId="093E84EA"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Role in analysis</w:t>
            </w:r>
          </w:p>
        </w:tc>
      </w:tr>
      <w:tr w:rsidR="007D3AD7" w:rsidRPr="00153C54" w14:paraId="1DB73388" w14:textId="77777777">
        <w:tc>
          <w:tcPr>
            <w:tcW w:w="1827" w:type="dxa"/>
          </w:tcPr>
          <w:p w14:paraId="7990EDE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DRGR quarterly report corpus</w:t>
            </w:r>
          </w:p>
        </w:tc>
        <w:tc>
          <w:tcPr>
            <w:tcW w:w="1827" w:type="dxa"/>
          </w:tcPr>
          <w:p w14:paraId="4803B80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Texas GLO DRGR PDF reporting streams</w:t>
            </w:r>
          </w:p>
        </w:tc>
        <w:tc>
          <w:tcPr>
            <w:tcW w:w="2436" w:type="dxa"/>
          </w:tcPr>
          <w:p w14:paraId="51B7707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442 disaster-quarter records from 438 unique PDFs, 18 categories, 24 disaster codes, 2009 Q3-2025 Q4</w:t>
            </w:r>
          </w:p>
        </w:tc>
        <w:tc>
          <w:tcPr>
            <w:tcW w:w="1827" w:type="dxa"/>
          </w:tcPr>
          <w:p w14:paraId="05620DC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Primary narrative and reporting source</w:t>
            </w:r>
          </w:p>
        </w:tc>
      </w:tr>
      <w:tr w:rsidR="007D3AD7" w:rsidRPr="00153C54" w14:paraId="3514896B" w14:textId="77777777">
        <w:tc>
          <w:tcPr>
            <w:tcW w:w="1827" w:type="dxa"/>
          </w:tcPr>
          <w:p w14:paraId="1840B0A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Parsed text/tables/sections</w:t>
            </w:r>
          </w:p>
        </w:tc>
        <w:tc>
          <w:tcPr>
            <w:tcW w:w="1827" w:type="dxa"/>
          </w:tcPr>
          <w:p w14:paraId="04C53AF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Page extraction + table parsing + heading segmentation from the PDF corpus</w:t>
            </w:r>
          </w:p>
        </w:tc>
        <w:tc>
          <w:tcPr>
            <w:tcW w:w="2436" w:type="dxa"/>
          </w:tcPr>
          <w:p w14:paraId="1D735F0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153,540 page-text rows, 175,208 table rows, 1,008,100 section rows</w:t>
            </w:r>
          </w:p>
        </w:tc>
        <w:tc>
          <w:tcPr>
            <w:tcW w:w="1827" w:type="dxa"/>
          </w:tcPr>
          <w:p w14:paraId="6E119F2E"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Input substrate for natural language processing (NLP) signals and activity rollups</w:t>
            </w:r>
          </w:p>
        </w:tc>
      </w:tr>
      <w:tr w:rsidR="007D3AD7" w:rsidRPr="00153C54" w14:paraId="1D42E1B8" w14:textId="77777777">
        <w:tc>
          <w:tcPr>
            <w:tcW w:w="1827" w:type="dxa"/>
          </w:tcPr>
          <w:p w14:paraId="6FE8A25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 panel</w:t>
            </w:r>
          </w:p>
        </w:tc>
        <w:tc>
          <w:tcPr>
            <w:tcW w:w="1827" w:type="dxa"/>
          </w:tcPr>
          <w:p w14:paraId="4AA7CC1A"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40-signal embedding/KMeans assignment on section chunks</w:t>
            </w:r>
          </w:p>
        </w:tc>
        <w:tc>
          <w:tcPr>
            <w:tcW w:w="2436" w:type="dxa"/>
          </w:tcPr>
          <w:p w14:paraId="224DD0A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69,339 assigned chunks across 439 disaster-quarters</w:t>
            </w:r>
          </w:p>
        </w:tc>
        <w:tc>
          <w:tcPr>
            <w:tcW w:w="1827" w:type="dxa"/>
          </w:tcPr>
          <w:p w14:paraId="1E4A238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Quarterly narrative-signal prevalence</w:t>
            </w:r>
          </w:p>
        </w:tc>
      </w:tr>
      <w:tr w:rsidR="007D3AD7" w:rsidRPr="00153C54" w14:paraId="63CCC650" w14:textId="77777777">
        <w:tc>
          <w:tcPr>
            <w:tcW w:w="1827" w:type="dxa"/>
          </w:tcPr>
          <w:p w14:paraId="29DA0F3C"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SEM adapter panel</w:t>
            </w:r>
          </w:p>
        </w:tc>
        <w:tc>
          <w:tcPr>
            <w:tcW w:w="1827" w:type="dxa"/>
          </w:tcPr>
          <w:p w14:paraId="2D873DE6"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Disaster-quarter rollups from program, finance, and progress fields</w:t>
            </w:r>
          </w:p>
        </w:tc>
        <w:tc>
          <w:tcPr>
            <w:tcW w:w="2436" w:type="dxa"/>
          </w:tcPr>
          <w:p w14:paraId="385E76D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442 disaster-quarter rows</w:t>
            </w:r>
          </w:p>
        </w:tc>
        <w:tc>
          <w:tcPr>
            <w:tcW w:w="1827" w:type="dxa"/>
          </w:tcPr>
          <w:p w14:paraId="1B032C7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Stage-specific outcome variables and unit identifiers</w:t>
            </w:r>
          </w:p>
        </w:tc>
      </w:tr>
      <w:tr w:rsidR="007D3AD7" w:rsidRPr="00153C54" w14:paraId="3914A34E" w14:textId="77777777">
        <w:tc>
          <w:tcPr>
            <w:tcW w:w="1827" w:type="dxa"/>
          </w:tcPr>
          <w:p w14:paraId="41E0CE0B"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Structured DRGR workbook supplement</w:t>
            </w:r>
          </w:p>
        </w:tc>
        <w:tc>
          <w:tcPr>
            <w:tcW w:w="1827" w:type="dxa"/>
          </w:tcPr>
          <w:p w14:paraId="684D53C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 xml:space="preserve">Quarterly Performance Report (QPR) XLSX ingestion from financial-by-project/quarter workbooks (F31), activity progress narrative workbooks (A32), actual accomplishments workbooks (P31), and household characteristics </w:t>
            </w:r>
            <w:r w:rsidRPr="00153C54">
              <w:rPr>
                <w:rFonts w:ascii="Times New Roman" w:hAnsi="Times New Roman" w:cs="Times New Roman"/>
              </w:rPr>
              <w:lastRenderedPageBreak/>
              <w:t>workbooks (P33)</w:t>
            </w:r>
          </w:p>
        </w:tc>
        <w:tc>
          <w:tcPr>
            <w:tcW w:w="2436" w:type="dxa"/>
          </w:tcPr>
          <w:p w14:paraId="799527E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lastRenderedPageBreak/>
              <w:t>6,518 financial rows; 592 payroll rows; 13,248 accomplishment rows; 8,096 beneficiary rows</w:t>
            </w:r>
          </w:p>
        </w:tc>
        <w:tc>
          <w:tcPr>
            <w:tcW w:w="1827" w:type="dxa"/>
          </w:tcPr>
          <w:p w14:paraId="6A28C4D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Supplemental structured inputs for financial/implementation constructs</w:t>
            </w:r>
          </w:p>
        </w:tc>
      </w:tr>
      <w:tr w:rsidR="007D3AD7" w:rsidRPr="00153C54" w14:paraId="76B41377" w14:textId="77777777">
        <w:tc>
          <w:tcPr>
            <w:tcW w:w="1827" w:type="dxa"/>
          </w:tcPr>
          <w:p w14:paraId="67C9C57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Activity composition and synthesis</w:t>
            </w:r>
          </w:p>
        </w:tc>
        <w:tc>
          <w:tcPr>
            <w:tcW w:w="1827" w:type="dxa"/>
          </w:tcPr>
          <w:p w14:paraId="42A885A6"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Quarterly activity-type indicators + diagnostic aggregation</w:t>
            </w:r>
          </w:p>
        </w:tc>
        <w:tc>
          <w:tcPr>
            <w:tcW w:w="2436" w:type="dxa"/>
          </w:tcPr>
          <w:p w14:paraId="561C05F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Full merged panel support</w:t>
            </w:r>
          </w:p>
        </w:tc>
        <w:tc>
          <w:tcPr>
            <w:tcW w:w="1827" w:type="dxa"/>
          </w:tcPr>
          <w:p w14:paraId="0C1E050A"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Stratum assignment and manuscript decision checks</w:t>
            </w:r>
          </w:p>
        </w:tc>
      </w:tr>
    </w:tbl>
    <w:p w14:paraId="755BBD54" w14:textId="77777777" w:rsidR="007D3AD7" w:rsidRPr="00153C54" w:rsidRDefault="00000000">
      <w:pPr>
        <w:pStyle w:val="Heading2"/>
        <w:rPr>
          <w:rFonts w:ascii="Times New Roman" w:hAnsi="Times New Roman" w:cs="Times New Roman"/>
          <w:sz w:val="24"/>
          <w:szCs w:val="24"/>
        </w:rPr>
      </w:pPr>
      <w:bookmarkStart w:id="71" w:name="sec-sample-construction"/>
      <w:bookmarkEnd w:id="70"/>
      <w:r w:rsidRPr="00153C54">
        <w:rPr>
          <w:rFonts w:ascii="Times New Roman" w:hAnsi="Times New Roman" w:cs="Times New Roman"/>
          <w:sz w:val="24"/>
          <w:szCs w:val="24"/>
        </w:rPr>
        <w:t>A.2 Unit of Analysis and Merge Keys</w:t>
      </w:r>
    </w:p>
    <w:p w14:paraId="5B7B3E85"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primary unit is a disaster-quarter observation keyed by reporting category, disaster code, year, and quarter. For within-unit diagnostics, we define a category-disaster portfolio identifier and rank variables within that unit before pooled estimation. Narrative-signal and SEM layers are merged on the disaster-quarter key with exact key matching; no fuzzy joins are used.</w:t>
      </w:r>
    </w:p>
    <w:p w14:paraId="221A49A9"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 xml:space="preserve">Sample construction proceeds in three deterministic gates. First, the SEM base panel provides 442 keyed disaster-quarters across 32 category-disaster units. Second, narrative-signal coverage for the selected 40-signal configuration retains 439 keyed disaster-quarters; the three unmatched quarters are expenditure-only records without narrative signal assignments. Third, outcome-specific denominator/availability rules determine the final pairwise samples reported in </w:t>
      </w:r>
      <w:hyperlink w:anchor="sec-results">
        <w:r w:rsidRPr="00153C54">
          <w:rPr>
            <w:rStyle w:val="Hyperlink"/>
            <w:rFonts w:ascii="Times New Roman" w:hAnsi="Times New Roman" w:cs="Times New Roman"/>
          </w:rPr>
          <w:t>Section 4</w:t>
        </w:r>
      </w:hyperlink>
      <w:r w:rsidRPr="00153C54">
        <w:rPr>
          <w:rFonts w:ascii="Times New Roman" w:hAnsi="Times New Roman" w:cs="Times New Roman"/>
        </w:rPr>
        <w:t xml:space="preserve"> and </w:t>
      </w:r>
      <w:hyperlink w:anchor="tbl-analytic-coverage">
        <w:r w:rsidRPr="00153C54">
          <w:rPr>
            <w:rStyle w:val="Hyperlink"/>
            <w:rFonts w:ascii="Times New Roman" w:hAnsi="Times New Roman" w:cs="Times New Roman"/>
          </w:rPr>
          <w:t>Table 3</w:t>
        </w:r>
      </w:hyperlink>
      <w:r w:rsidRPr="00153C54">
        <w:rPr>
          <w:rFonts w:ascii="Times New Roman" w:hAnsi="Times New Roman" w:cs="Times New Roman"/>
        </w:rPr>
        <w:t>.</w:t>
      </w:r>
    </w:p>
    <w:p w14:paraId="6588ADF6"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Rows with undefined outcome values after derivation, such as denominator-zero ratios, are excluded from that outcome’s pairwise correlation sample but remain available for other outcomes.</w:t>
      </w:r>
    </w:p>
    <w:p w14:paraId="4786A0D7" w14:textId="77777777" w:rsidR="007D3AD7" w:rsidRPr="00153C54" w:rsidRDefault="00000000">
      <w:pPr>
        <w:pStyle w:val="Heading2"/>
        <w:rPr>
          <w:rFonts w:ascii="Times New Roman" w:hAnsi="Times New Roman" w:cs="Times New Roman"/>
          <w:sz w:val="24"/>
          <w:szCs w:val="24"/>
        </w:rPr>
      </w:pPr>
      <w:bookmarkStart w:id="72" w:name="outcome-specific-analytic-coverage"/>
      <w:bookmarkEnd w:id="71"/>
      <w:r w:rsidRPr="00153C54">
        <w:rPr>
          <w:rFonts w:ascii="Times New Roman" w:hAnsi="Times New Roman" w:cs="Times New Roman"/>
          <w:sz w:val="24"/>
          <w:szCs w:val="24"/>
        </w:rPr>
        <w:t>A.3 Outcome-Specific Analytic Coverage</w:t>
      </w:r>
    </w:p>
    <w:tbl>
      <w:tblPr>
        <w:tblStyle w:val="Table"/>
        <w:tblW w:w="5000" w:type="pct"/>
        <w:tblLayout w:type="fixed"/>
        <w:tblLook w:val="0000" w:firstRow="0" w:lastRow="0" w:firstColumn="0" w:lastColumn="0" w:noHBand="0" w:noVBand="0"/>
      </w:tblPr>
      <w:tblGrid>
        <w:gridCol w:w="9576"/>
      </w:tblGrid>
      <w:tr w:rsidR="007D3AD7" w:rsidRPr="00153C54" w14:paraId="38680BC9" w14:textId="77777777">
        <w:tc>
          <w:tcPr>
            <w:tcW w:w="7920" w:type="dxa"/>
          </w:tcPr>
          <w:p w14:paraId="12D53638" w14:textId="77777777" w:rsidR="007D3AD7" w:rsidRPr="00153C54" w:rsidRDefault="00000000">
            <w:pPr>
              <w:pStyle w:val="ImageCaption"/>
              <w:spacing w:before="200"/>
              <w:rPr>
                <w:rFonts w:ascii="Times New Roman" w:hAnsi="Times New Roman" w:cs="Times New Roman"/>
              </w:rPr>
            </w:pPr>
            <w:bookmarkStart w:id="73" w:name="tbl-analytic-coverage"/>
            <w:r w:rsidRPr="00153C54">
              <w:rPr>
                <w:rFonts w:ascii="Times New Roman" w:hAnsi="Times New Roman" w:cs="Times New Roman"/>
              </w:rPr>
              <w:t>Table 3: Outcome-level analytic coverage used in pooled signal correlations.</w:t>
            </w:r>
          </w:p>
          <w:tbl>
            <w:tblPr>
              <w:tblStyle w:val="Table"/>
              <w:tblW w:w="0" w:type="auto"/>
              <w:tblLook w:val="0020" w:firstRow="1" w:lastRow="0" w:firstColumn="0" w:lastColumn="0" w:noHBand="0" w:noVBand="0"/>
            </w:tblPr>
            <w:tblGrid>
              <w:gridCol w:w="2640"/>
              <w:gridCol w:w="2640"/>
              <w:gridCol w:w="2640"/>
            </w:tblGrid>
            <w:tr w:rsidR="007D3AD7" w:rsidRPr="00153C54" w14:paraId="288A674D"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188DBB38"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Outcome</w:t>
                  </w:r>
                </w:p>
              </w:tc>
              <w:tc>
                <w:tcPr>
                  <w:tcW w:w="2640" w:type="dxa"/>
                </w:tcPr>
                <w:p w14:paraId="105401A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Valid observation pairs</w:t>
                  </w:r>
                </w:p>
              </w:tc>
              <w:tc>
                <w:tcPr>
                  <w:tcW w:w="2640" w:type="dxa"/>
                </w:tcPr>
                <w:p w14:paraId="01D020E3"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Units reported in pooled output</w:t>
                  </w:r>
                </w:p>
              </w:tc>
            </w:tr>
            <w:tr w:rsidR="007D3AD7" w:rsidRPr="00153C54" w14:paraId="7E858487" w14:textId="77777777">
              <w:tc>
                <w:tcPr>
                  <w:tcW w:w="2640" w:type="dxa"/>
                </w:tcPr>
                <w:p w14:paraId="60A9CFB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Program completion rate</w:t>
                  </w:r>
                </w:p>
              </w:tc>
              <w:tc>
                <w:tcPr>
                  <w:tcW w:w="2640" w:type="dxa"/>
                </w:tcPr>
                <w:p w14:paraId="6D9268AF"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432</w:t>
                  </w:r>
                </w:p>
              </w:tc>
              <w:tc>
                <w:tcPr>
                  <w:tcW w:w="2640" w:type="dxa"/>
                </w:tcPr>
                <w:p w14:paraId="24C6ED2C"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30</w:t>
                  </w:r>
                </w:p>
              </w:tc>
            </w:tr>
            <w:tr w:rsidR="007D3AD7" w:rsidRPr="00153C54" w14:paraId="054EDEF8" w14:textId="77777777">
              <w:tc>
                <w:tcPr>
                  <w:tcW w:w="2640" w:type="dxa"/>
                </w:tcPr>
                <w:p w14:paraId="633A1D3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Disbursed-to-obligated ratio</w:t>
                  </w:r>
                </w:p>
              </w:tc>
              <w:tc>
                <w:tcPr>
                  <w:tcW w:w="2640" w:type="dxa"/>
                </w:tcPr>
                <w:p w14:paraId="477E94BA"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236</w:t>
                  </w:r>
                </w:p>
              </w:tc>
              <w:tc>
                <w:tcPr>
                  <w:tcW w:w="2640" w:type="dxa"/>
                </w:tcPr>
                <w:p w14:paraId="5E1C78B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30</w:t>
                  </w:r>
                </w:p>
              </w:tc>
            </w:tr>
            <w:tr w:rsidR="007D3AD7" w:rsidRPr="00153C54" w14:paraId="7F08B41A" w14:textId="77777777">
              <w:tc>
                <w:tcPr>
                  <w:tcW w:w="2640" w:type="dxa"/>
                </w:tcPr>
                <w:p w14:paraId="3DCC7A34"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Expended-to-disbursed ratio</w:t>
                  </w:r>
                </w:p>
              </w:tc>
              <w:tc>
                <w:tcPr>
                  <w:tcW w:w="2640" w:type="dxa"/>
                </w:tcPr>
                <w:p w14:paraId="6878F9E0"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339</w:t>
                  </w:r>
                </w:p>
              </w:tc>
              <w:tc>
                <w:tcPr>
                  <w:tcW w:w="2640" w:type="dxa"/>
                </w:tcPr>
                <w:p w14:paraId="0416F02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30</w:t>
                  </w:r>
                </w:p>
              </w:tc>
            </w:tr>
            <w:tr w:rsidR="007D3AD7" w:rsidRPr="00153C54" w14:paraId="0CA996FF" w14:textId="77777777">
              <w:tc>
                <w:tcPr>
                  <w:tcW w:w="2640" w:type="dxa"/>
                </w:tcPr>
                <w:p w14:paraId="0BF24DC6"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Total obligated dollars</w:t>
                  </w:r>
                </w:p>
              </w:tc>
              <w:tc>
                <w:tcPr>
                  <w:tcW w:w="2640" w:type="dxa"/>
                </w:tcPr>
                <w:p w14:paraId="699E4FDD"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432</w:t>
                  </w:r>
                </w:p>
              </w:tc>
              <w:tc>
                <w:tcPr>
                  <w:tcW w:w="2640" w:type="dxa"/>
                </w:tcPr>
                <w:p w14:paraId="796AAE31"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30</w:t>
                  </w:r>
                </w:p>
              </w:tc>
            </w:tr>
            <w:tr w:rsidR="007D3AD7" w:rsidRPr="00153C54" w14:paraId="2634E900" w14:textId="77777777">
              <w:tc>
                <w:tcPr>
                  <w:tcW w:w="2640" w:type="dxa"/>
                </w:tcPr>
                <w:p w14:paraId="61127E97"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Total expended dollars</w:t>
                  </w:r>
                </w:p>
              </w:tc>
              <w:tc>
                <w:tcPr>
                  <w:tcW w:w="2640" w:type="dxa"/>
                </w:tcPr>
                <w:p w14:paraId="1D8F4B69"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432</w:t>
                  </w:r>
                </w:p>
              </w:tc>
              <w:tc>
                <w:tcPr>
                  <w:tcW w:w="2640" w:type="dxa"/>
                </w:tcPr>
                <w:p w14:paraId="1D4CCBD8" w14:textId="77777777" w:rsidR="007D3AD7" w:rsidRPr="00153C54" w:rsidRDefault="00000000">
                  <w:pPr>
                    <w:pStyle w:val="Compact"/>
                    <w:jc w:val="center"/>
                    <w:rPr>
                      <w:rFonts w:ascii="Times New Roman" w:hAnsi="Times New Roman" w:cs="Times New Roman"/>
                    </w:rPr>
                  </w:pPr>
                  <w:r w:rsidRPr="00153C54">
                    <w:rPr>
                      <w:rFonts w:ascii="Times New Roman" w:hAnsi="Times New Roman" w:cs="Times New Roman"/>
                    </w:rPr>
                    <w:t>30</w:t>
                  </w:r>
                </w:p>
              </w:tc>
            </w:tr>
            <w:bookmarkEnd w:id="73"/>
          </w:tbl>
          <w:p w14:paraId="56DB5C12" w14:textId="77777777" w:rsidR="007D3AD7" w:rsidRPr="00153C54" w:rsidRDefault="007D3AD7">
            <w:pPr>
              <w:rPr>
                <w:rFonts w:ascii="Times New Roman" w:hAnsi="Times New Roman" w:cs="Times New Roman"/>
              </w:rPr>
            </w:pPr>
          </w:p>
        </w:tc>
      </w:tr>
    </w:tbl>
    <w:p w14:paraId="0A98F16B" w14:textId="77777777" w:rsidR="007D3AD7" w:rsidRPr="00153C54" w:rsidRDefault="00000000">
      <w:pPr>
        <w:pStyle w:val="Heading2"/>
        <w:rPr>
          <w:rFonts w:ascii="Times New Roman" w:hAnsi="Times New Roman" w:cs="Times New Roman"/>
          <w:sz w:val="24"/>
          <w:szCs w:val="24"/>
        </w:rPr>
      </w:pPr>
      <w:bookmarkStart w:id="74" w:name="sec-variable-definitions"/>
      <w:bookmarkEnd w:id="72"/>
      <w:r w:rsidRPr="00153C54">
        <w:rPr>
          <w:rFonts w:ascii="Times New Roman" w:hAnsi="Times New Roman" w:cs="Times New Roman"/>
          <w:sz w:val="24"/>
          <w:szCs w:val="24"/>
        </w:rPr>
        <w:t>A.4 Focus Signal Definitions</w:t>
      </w:r>
    </w:p>
    <w:p w14:paraId="28724FB8"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The paper centers on two ex ante narrative signals: homeowner assistance/reimbursement language and roadway reconstruction/paving language. These signals represent distinct implementation channels, one centered on household-facing recovery operations and the other centered on infrastructure </w:t>
      </w:r>
      <w:proofErr w:type="gramStart"/>
      <w:r w:rsidRPr="00153C54">
        <w:rPr>
          <w:rFonts w:ascii="Times New Roman" w:hAnsi="Times New Roman" w:cs="Times New Roman"/>
        </w:rPr>
        <w:t>delivery, and</w:t>
      </w:r>
      <w:proofErr w:type="gramEnd"/>
      <w:r w:rsidRPr="00153C54">
        <w:rPr>
          <w:rFonts w:ascii="Times New Roman" w:hAnsi="Times New Roman" w:cs="Times New Roman"/>
        </w:rPr>
        <w:t xml:space="preserve"> therefore provide an informative contrast for evaluating temporal persistence, stage mapping, and activity-mix heterogeneity.</w:t>
      </w:r>
    </w:p>
    <w:p w14:paraId="44690203"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lastRenderedPageBreak/>
        <w:t>Signal labels are interpretation aids rather than statistical inputs. Estimation uses model indices and derived signal shares; thematic labels are assigned from representative excerpts and top-term context to support substantive interpretation.</w:t>
      </w:r>
    </w:p>
    <w:p w14:paraId="0B7F0176" w14:textId="77777777" w:rsidR="007D3AD7" w:rsidRPr="00153C54" w:rsidRDefault="00000000">
      <w:pPr>
        <w:pStyle w:val="Heading2"/>
        <w:rPr>
          <w:rFonts w:ascii="Times New Roman" w:hAnsi="Times New Roman" w:cs="Times New Roman"/>
          <w:sz w:val="24"/>
          <w:szCs w:val="24"/>
        </w:rPr>
      </w:pPr>
      <w:bookmarkStart w:id="75" w:name="stratum-construction"/>
      <w:bookmarkEnd w:id="74"/>
      <w:r w:rsidRPr="00153C54">
        <w:rPr>
          <w:rFonts w:ascii="Times New Roman" w:hAnsi="Times New Roman" w:cs="Times New Roman"/>
          <w:sz w:val="24"/>
          <w:szCs w:val="24"/>
        </w:rPr>
        <w:t>A.5 Stratum Construction</w:t>
      </w:r>
    </w:p>
    <w:p w14:paraId="2267D393"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Strata are derived from quarterly activity composition. A quarter is classified as housing when housing/buyout activity is present and infrastructure activity is absent; mixed when both are present; infrastructure when infrastructure activity is present and housing is absent; and neither when neither major activity class is present, which typically indicates administration/planning-dominant periods. This classification is designed to proxy differences in implementation mechanics that could alter signal-outcome relationships.</w:t>
      </w:r>
    </w:p>
    <w:p w14:paraId="042C81B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Stratum-level coverage used in focus analyses:</w:t>
      </w:r>
    </w:p>
    <w:tbl>
      <w:tblPr>
        <w:tblStyle w:val="Table"/>
        <w:tblW w:w="0" w:type="auto"/>
        <w:tblLook w:val="0020" w:firstRow="1" w:lastRow="0" w:firstColumn="0" w:lastColumn="0" w:noHBand="0" w:noVBand="0"/>
      </w:tblPr>
      <w:tblGrid>
        <w:gridCol w:w="1522"/>
        <w:gridCol w:w="5002"/>
        <w:gridCol w:w="737"/>
      </w:tblGrid>
      <w:tr w:rsidR="007D3AD7" w:rsidRPr="00153C54" w14:paraId="29974A37"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0" w:type="auto"/>
          </w:tcPr>
          <w:p w14:paraId="3A796F73"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Stratum</w:t>
            </w:r>
          </w:p>
        </w:tc>
        <w:tc>
          <w:tcPr>
            <w:tcW w:w="0" w:type="auto"/>
          </w:tcPr>
          <w:p w14:paraId="5FB54F1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Observation pairs for expended-to-disbursed ratio</w:t>
            </w:r>
          </w:p>
        </w:tc>
        <w:tc>
          <w:tcPr>
            <w:tcW w:w="0" w:type="auto"/>
          </w:tcPr>
          <w:p w14:paraId="49A7132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Units</w:t>
            </w:r>
          </w:p>
        </w:tc>
      </w:tr>
      <w:tr w:rsidR="007D3AD7" w:rsidRPr="00153C54" w14:paraId="38FCAB02" w14:textId="77777777">
        <w:tc>
          <w:tcPr>
            <w:tcW w:w="0" w:type="auto"/>
          </w:tcPr>
          <w:p w14:paraId="2C06E18B"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Housing</w:t>
            </w:r>
          </w:p>
        </w:tc>
        <w:tc>
          <w:tcPr>
            <w:tcW w:w="0" w:type="auto"/>
          </w:tcPr>
          <w:p w14:paraId="1F0768D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57</w:t>
            </w:r>
          </w:p>
        </w:tc>
        <w:tc>
          <w:tcPr>
            <w:tcW w:w="0" w:type="auto"/>
          </w:tcPr>
          <w:p w14:paraId="7A4EB82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12</w:t>
            </w:r>
          </w:p>
        </w:tc>
      </w:tr>
      <w:tr w:rsidR="007D3AD7" w:rsidRPr="00153C54" w14:paraId="28C39E8C" w14:textId="77777777">
        <w:tc>
          <w:tcPr>
            <w:tcW w:w="0" w:type="auto"/>
          </w:tcPr>
          <w:p w14:paraId="50392D96"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Mixed</w:t>
            </w:r>
          </w:p>
        </w:tc>
        <w:tc>
          <w:tcPr>
            <w:tcW w:w="0" w:type="auto"/>
          </w:tcPr>
          <w:p w14:paraId="3C96C6B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224</w:t>
            </w:r>
          </w:p>
        </w:tc>
        <w:tc>
          <w:tcPr>
            <w:tcW w:w="0" w:type="auto"/>
          </w:tcPr>
          <w:p w14:paraId="7F52DBB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23</w:t>
            </w:r>
          </w:p>
        </w:tc>
      </w:tr>
      <w:tr w:rsidR="007D3AD7" w:rsidRPr="00153C54" w14:paraId="490279E8" w14:textId="77777777">
        <w:tc>
          <w:tcPr>
            <w:tcW w:w="0" w:type="auto"/>
          </w:tcPr>
          <w:p w14:paraId="73A63AF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Infrastructure</w:t>
            </w:r>
          </w:p>
        </w:tc>
        <w:tc>
          <w:tcPr>
            <w:tcW w:w="0" w:type="auto"/>
          </w:tcPr>
          <w:p w14:paraId="4B32362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24</w:t>
            </w:r>
          </w:p>
        </w:tc>
        <w:tc>
          <w:tcPr>
            <w:tcW w:w="0" w:type="auto"/>
          </w:tcPr>
          <w:p w14:paraId="605571F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7</w:t>
            </w:r>
          </w:p>
        </w:tc>
      </w:tr>
      <w:tr w:rsidR="007D3AD7" w:rsidRPr="00153C54" w14:paraId="536EEEDB" w14:textId="77777777">
        <w:tc>
          <w:tcPr>
            <w:tcW w:w="0" w:type="auto"/>
          </w:tcPr>
          <w:p w14:paraId="7F0B9D4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Neither</w:t>
            </w:r>
          </w:p>
        </w:tc>
        <w:tc>
          <w:tcPr>
            <w:tcW w:w="0" w:type="auto"/>
          </w:tcPr>
          <w:p w14:paraId="7B9ECC5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34</w:t>
            </w:r>
          </w:p>
        </w:tc>
        <w:tc>
          <w:tcPr>
            <w:tcW w:w="0" w:type="auto"/>
          </w:tcPr>
          <w:p w14:paraId="1612345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10</w:t>
            </w:r>
          </w:p>
        </w:tc>
      </w:tr>
    </w:tbl>
    <w:p w14:paraId="61CE2E0F" w14:textId="77777777" w:rsidR="007D3AD7" w:rsidRPr="00153C54" w:rsidRDefault="00000000">
      <w:pPr>
        <w:pStyle w:val="Heading2"/>
        <w:rPr>
          <w:rFonts w:ascii="Times New Roman" w:hAnsi="Times New Roman" w:cs="Times New Roman"/>
          <w:sz w:val="24"/>
          <w:szCs w:val="24"/>
        </w:rPr>
      </w:pPr>
      <w:bookmarkStart w:id="76" w:name="data-quality-and-interpretation-notes"/>
      <w:bookmarkEnd w:id="75"/>
      <w:r w:rsidRPr="00153C54">
        <w:rPr>
          <w:rFonts w:ascii="Times New Roman" w:hAnsi="Times New Roman" w:cs="Times New Roman"/>
          <w:sz w:val="24"/>
          <w:szCs w:val="24"/>
        </w:rPr>
        <w:t>A.6 Data Quality and Interpretation Notes</w:t>
      </w:r>
    </w:p>
    <w:p w14:paraId="3DC9E1D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Three constraints materially shape interpretation. First, the study is disaster-quarter observational exploratory data analysis (EDA) and is not designed for causal identification. Second, ratio outcomes can be sensitive to denominator behavior and high-leverage realizations. Third, some strata, especially infrastructure, are sample-limited and therefore produce wider uncertainty bands. These constraints are addressed through explicit robustness procedures reported in </w:t>
      </w:r>
      <w:hyperlink w:anchor="sec-robustness-appendix">
        <w:r w:rsidRPr="00153C54">
          <w:rPr>
            <w:rStyle w:val="Hyperlink"/>
            <w:rFonts w:ascii="Times New Roman" w:hAnsi="Times New Roman" w:cs="Times New Roman"/>
          </w:rPr>
          <w:t>Section D</w:t>
        </w:r>
      </w:hyperlink>
      <w:r w:rsidRPr="00153C54">
        <w:rPr>
          <w:rFonts w:ascii="Times New Roman" w:hAnsi="Times New Roman" w:cs="Times New Roman"/>
        </w:rPr>
        <w:t>.</w:t>
      </w:r>
    </w:p>
    <w:p w14:paraId="04EAFB7C" w14:textId="77777777" w:rsidR="007D3AD7" w:rsidRPr="00153C54" w:rsidRDefault="00000000">
      <w:pPr>
        <w:pStyle w:val="Heading2"/>
        <w:rPr>
          <w:rFonts w:ascii="Times New Roman" w:hAnsi="Times New Roman" w:cs="Times New Roman"/>
          <w:sz w:val="24"/>
          <w:szCs w:val="24"/>
        </w:rPr>
      </w:pPr>
      <w:bookmarkStart w:id="77" w:name="variable-derivation-details"/>
      <w:bookmarkEnd w:id="76"/>
      <w:r w:rsidRPr="00153C54">
        <w:rPr>
          <w:rFonts w:ascii="Times New Roman" w:hAnsi="Times New Roman" w:cs="Times New Roman"/>
          <w:sz w:val="24"/>
          <w:szCs w:val="24"/>
        </w:rPr>
        <w:t>A.7 Variable Derivation Details</w:t>
      </w:r>
    </w:p>
    <w:p w14:paraId="45BE84D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key SEM variables used in the manuscript are deterministic transformations of quarterly rollups. Total obligated dollars and total expended dollars are direct disaster-quarter aggregates from activity-level records. The disbursed-to-obligated ratio is derived as drawdown dollars divided by obligated dollars, and the expended-to-disbursed ratio as expended dollars divided by drawdown dollars. Program completion rate is a direct alias of the source completion field in the SEM estimation input. Expenditure variability is computed within portfolio as the coefficient of variation of quarterly expenditures, with a minimum three-quarter requirement.</w:t>
      </w:r>
    </w:p>
    <w:p w14:paraId="38FBCA55"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Narrative-signal variables are constructed in two steps. First, chunk counts are computed for each signal channel within disaster-quarter. Second, each signal count is divided by total signal chunks in the same disaster-quarter to yield a normalized quarterly signal share. This ensures that signal intensity is comparable across quarters with different narrative volume.</w:t>
      </w:r>
    </w:p>
    <w:p w14:paraId="2E8DF3A0" w14:textId="77777777" w:rsidR="007D3AD7" w:rsidRPr="00153C54" w:rsidRDefault="00000000">
      <w:pPr>
        <w:pStyle w:val="Heading2"/>
        <w:rPr>
          <w:rFonts w:ascii="Times New Roman" w:hAnsi="Times New Roman" w:cs="Times New Roman"/>
          <w:sz w:val="24"/>
          <w:szCs w:val="24"/>
        </w:rPr>
      </w:pPr>
      <w:bookmarkStart w:id="78" w:name="provenance-chain-and-reproducibility"/>
      <w:bookmarkEnd w:id="77"/>
      <w:r w:rsidRPr="00153C54">
        <w:rPr>
          <w:rFonts w:ascii="Times New Roman" w:hAnsi="Times New Roman" w:cs="Times New Roman"/>
          <w:sz w:val="24"/>
          <w:szCs w:val="24"/>
        </w:rPr>
        <w:t>A.8 Provenance Chain and Reproducibility</w:t>
      </w:r>
    </w:p>
    <w:p w14:paraId="16C80550"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full provenance chain is: DRGR quarterly reports -&gt; parsed activity/narrative tables -&gt; model-ready long and panel outputs -&gt; SEM adapter estimation panel -&gt; narrative-signal-to-</w:t>
      </w:r>
      <w:r w:rsidRPr="00153C54">
        <w:rPr>
          <w:rFonts w:ascii="Times New Roman" w:hAnsi="Times New Roman" w:cs="Times New Roman"/>
        </w:rPr>
        <w:lastRenderedPageBreak/>
        <w:t>SEM merged analytic panel. Each stage preserves quarter/disaster keys and unit identifiers, enabling row-level auditability from final estimates back to source-derived intermediate layers. This design supports deterministic rebuilds and transparent sensitivity analysis under alternative sample restrictions.</w:t>
      </w:r>
    </w:p>
    <w:p w14:paraId="12808CC8" w14:textId="77777777" w:rsidR="007D3AD7" w:rsidRPr="00153C54" w:rsidRDefault="00000000">
      <w:pPr>
        <w:pStyle w:val="Heading1"/>
        <w:rPr>
          <w:rFonts w:ascii="Times New Roman" w:hAnsi="Times New Roman" w:cs="Times New Roman"/>
          <w:sz w:val="24"/>
          <w:szCs w:val="24"/>
        </w:rPr>
      </w:pPr>
      <w:bookmarkStart w:id="79" w:name="identification-and-methods"/>
      <w:bookmarkEnd w:id="69"/>
      <w:bookmarkEnd w:id="78"/>
      <w:r w:rsidRPr="00153C54">
        <w:rPr>
          <w:rFonts w:ascii="Times New Roman" w:hAnsi="Times New Roman" w:cs="Times New Roman"/>
          <w:sz w:val="24"/>
          <w:szCs w:val="24"/>
        </w:rPr>
        <w:t>Appendix B — Identification and Methods</w:t>
      </w:r>
    </w:p>
    <w:p w14:paraId="68A58967"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This appendix formalizes the estimands, lead-lag construction, stratification design, and robustness protocol described in the Methods section, and documents the scope conditions that govern interpretation of the results.</w:t>
      </w:r>
    </w:p>
    <w:p w14:paraId="31952FD3" w14:textId="77777777" w:rsidR="007D3AD7" w:rsidRPr="00153C54" w:rsidRDefault="00000000">
      <w:pPr>
        <w:pStyle w:val="Heading2"/>
        <w:rPr>
          <w:rFonts w:ascii="Times New Roman" w:hAnsi="Times New Roman" w:cs="Times New Roman"/>
          <w:sz w:val="24"/>
          <w:szCs w:val="24"/>
        </w:rPr>
      </w:pPr>
      <w:bookmarkStart w:id="80" w:name="sec-id-assumptions"/>
      <w:r w:rsidRPr="00153C54">
        <w:rPr>
          <w:rFonts w:ascii="Times New Roman" w:hAnsi="Times New Roman" w:cs="Times New Roman"/>
          <w:sz w:val="24"/>
          <w:szCs w:val="24"/>
        </w:rPr>
        <w:t>B.1 Core Estimands and Ranking Logic</w:t>
      </w:r>
    </w:p>
    <w:p w14:paraId="435891B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For each narrative signal </w:t>
      </w:r>
      <m:oMath>
        <m:r>
          <w:rPr>
            <w:rFonts w:ascii="Cambria Math" w:hAnsi="Cambria Math" w:cs="Times New Roman"/>
          </w:rPr>
          <m:t>k</m:t>
        </m:r>
      </m:oMath>
      <w:r w:rsidRPr="00153C54">
        <w:rPr>
          <w:rFonts w:ascii="Times New Roman" w:hAnsi="Times New Roman" w:cs="Times New Roman"/>
        </w:rPr>
        <w:t xml:space="preserve"> and outcome </w:t>
      </w:r>
      <m:oMath>
        <m:r>
          <w:rPr>
            <w:rFonts w:ascii="Cambria Math" w:hAnsi="Cambria Math" w:cs="Times New Roman"/>
          </w:rPr>
          <m:t>y</m:t>
        </m:r>
      </m:oMath>
      <w:r w:rsidRPr="00153C54">
        <w:rPr>
          <w:rFonts w:ascii="Times New Roman" w:hAnsi="Times New Roman" w:cs="Times New Roman"/>
        </w:rPr>
        <w:t>, the pooled diagnostic is Spearman’s rank correlation:</w:t>
      </w:r>
    </w:p>
    <w:p w14:paraId="37DAC7B6"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y</m:t>
              </m:r>
            </m:sub>
            <m:sup>
              <m:r>
                <m:rPr>
                  <m:nor/>
                </m:rPr>
                <w:rPr>
                  <w:rFonts w:ascii="Times New Roman" w:hAnsi="Times New Roman" w:cs="Times New Roman"/>
                </w:rPr>
                <m:t>pooled</m:t>
              </m:r>
            </m:sup>
          </m:sSubSup>
          <m:r>
            <m:rPr>
              <m:sty m:val="p"/>
            </m:rPr>
            <w:rPr>
              <w:rFonts w:ascii="Cambria Math" w:hAnsi="Cambria Math" w:cs="Times New Roman"/>
            </w:rPr>
            <m:t>=corr</m:t>
          </m:r>
          <m:d>
            <m:dPr>
              <m:ctrlPr>
                <w:rPr>
                  <w:rFonts w:ascii="Cambria Math" w:hAnsi="Cambria Math" w:cs="Times New Roman"/>
                </w:rPr>
              </m:ctrlPr>
            </m:dPr>
            <m:e>
              <m:r>
                <m:rPr>
                  <m:sty m:val="p"/>
                </m:rPr>
                <w:rPr>
                  <w:rFonts w:ascii="Cambria Math" w:hAnsi="Cambria Math" w:cs="Times New Roman"/>
                </w:rPr>
                <m:t>rank</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r>
                <m:rPr>
                  <m:sty m:val="p"/>
                </m:rPr>
                <w:rPr>
                  <w:rFonts w:ascii="Cambria Math" w:hAnsi="Cambria Math" w:cs="Times New Roman"/>
                </w:rPr>
                <m:t>,rank</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e>
              </m:d>
            </m:e>
          </m:d>
          <m:r>
            <m:rPr>
              <m:sty m:val="p"/>
            </m:rPr>
            <w:rPr>
              <w:rFonts w:ascii="Cambria Math" w:hAnsi="Cambria Math" w:cs="Times New Roman"/>
            </w:rPr>
            <m:t>,</m:t>
          </m:r>
        </m:oMath>
      </m:oMathPara>
    </w:p>
    <w:p w14:paraId="5F2C6DB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oMath>
      <w:r w:rsidRPr="00153C54">
        <w:rPr>
          <w:rFonts w:ascii="Times New Roman" w:hAnsi="Times New Roman" w:cs="Times New Roman"/>
        </w:rPr>
        <w:t xml:space="preserve"> is the signal share for unit </w:t>
      </w:r>
      <m:oMath>
        <m:r>
          <w:rPr>
            <w:rFonts w:ascii="Cambria Math" w:hAnsi="Cambria Math" w:cs="Times New Roman"/>
          </w:rPr>
          <m:t>i</m:t>
        </m:r>
      </m:oMath>
      <w:r w:rsidRPr="00153C54">
        <w:rPr>
          <w:rFonts w:ascii="Times New Roman" w:hAnsi="Times New Roman" w:cs="Times New Roman"/>
        </w:rPr>
        <w:t xml:space="preserve"> in quarter </w:t>
      </w:r>
      <m:oMath>
        <m:r>
          <w:rPr>
            <w:rFonts w:ascii="Cambria Math" w:hAnsi="Cambria Math" w:cs="Times New Roman"/>
          </w:rPr>
          <m:t>t</m:t>
        </m:r>
      </m:oMath>
      <w:r w:rsidRPr="00153C54">
        <w:rPr>
          <w:rFonts w:ascii="Times New Roman" w:hAnsi="Times New Roman" w:cs="Times New Roman"/>
        </w:rPr>
        <w:t>.</w:t>
      </w:r>
    </w:p>
    <w:p w14:paraId="467A65E4"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Within-unit diagnostics are computed by ranking both variables within each category-disaster portfolio identifier, then pooling ranked values:</w:t>
      </w:r>
    </w:p>
    <w:p w14:paraId="60A3B631"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y</m:t>
              </m:r>
            </m:sub>
            <m:sup>
              <m:r>
                <m:rPr>
                  <m:nor/>
                </m:rPr>
                <w:rPr>
                  <w:rFonts w:ascii="Times New Roman" w:hAnsi="Times New Roman" w:cs="Times New Roman"/>
                </w:rPr>
                <m:t>within</m:t>
              </m:r>
            </m:sup>
          </m:sSubSup>
          <m:r>
            <m:rPr>
              <m:sty m:val="p"/>
            </m:rPr>
            <w:rPr>
              <w:rFonts w:ascii="Cambria Math" w:hAnsi="Cambria Math" w:cs="Times New Roman"/>
            </w:rPr>
            <m:t>=corr</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rank</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rank</m:t>
                  </m:r>
                </m:e>
                <m:sub>
                  <m:r>
                    <w:rPr>
                      <w:rFonts w:ascii="Cambria Math" w:hAnsi="Cambria Math" w:cs="Times New Roman"/>
                    </w:rPr>
                    <m:t>i</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e>
              </m:d>
            </m:e>
          </m:d>
          <m:r>
            <m:rPr>
              <m:sty m:val="p"/>
            </m:rPr>
            <w:rPr>
              <w:rFonts w:ascii="Cambria Math" w:hAnsi="Cambria Math" w:cs="Times New Roman"/>
            </w:rPr>
            <m:t>.</m:t>
          </m:r>
        </m:oMath>
      </m:oMathPara>
    </w:p>
    <w:p w14:paraId="039151E4"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This transformation attenuates between-unit level differences and emphasizes within-unit temporal co-movement, which is essential when disaster portfolios differ structurally in program scale and composition.</w:t>
      </w:r>
    </w:p>
    <w:p w14:paraId="78FF545E" w14:textId="77777777" w:rsidR="007D3AD7" w:rsidRPr="00153C54" w:rsidRDefault="00000000">
      <w:pPr>
        <w:pStyle w:val="Heading2"/>
        <w:rPr>
          <w:rFonts w:ascii="Times New Roman" w:hAnsi="Times New Roman" w:cs="Times New Roman"/>
          <w:sz w:val="24"/>
          <w:szCs w:val="24"/>
        </w:rPr>
      </w:pPr>
      <w:bookmarkStart w:id="81" w:name="sec-pretrends"/>
      <w:bookmarkEnd w:id="80"/>
      <w:r w:rsidRPr="00153C54">
        <w:rPr>
          <w:rFonts w:ascii="Times New Roman" w:hAnsi="Times New Roman" w:cs="Times New Roman"/>
          <w:sz w:val="24"/>
          <w:szCs w:val="24"/>
        </w:rPr>
        <w:t>B.2 Lead-Lag Construction</w:t>
      </w:r>
    </w:p>
    <w:p w14:paraId="7654915B"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For lead horizon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53C54">
        <w:rPr>
          <w:rFonts w:ascii="Times New Roman" w:hAnsi="Times New Roman" w:cs="Times New Roman"/>
        </w:rPr>
        <w:t>, outcomes are aligned as:</w:t>
      </w:r>
    </w:p>
    <w:p w14:paraId="25594FF7"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y</m:t>
              </m:r>
            </m:sub>
            <m:sup>
              <m:d>
                <m:dPr>
                  <m:ctrlPr>
                    <w:rPr>
                      <w:rFonts w:ascii="Cambria Math" w:hAnsi="Cambria Math" w:cs="Times New Roman"/>
                    </w:rPr>
                  </m:ctrlPr>
                </m:dPr>
                <m:e>
                  <m:r>
                    <w:rPr>
                      <w:rFonts w:ascii="Cambria Math" w:hAnsi="Cambria Math" w:cs="Times New Roman"/>
                    </w:rPr>
                    <m:t>h</m:t>
                  </m:r>
                </m:e>
              </m:d>
            </m:sup>
          </m:sSubSup>
          <m:r>
            <m:rPr>
              <m:sty m:val="p"/>
            </m:rPr>
            <w:rPr>
              <w:rFonts w:ascii="Cambria Math" w:hAnsi="Cambria Math" w:cs="Times New Roman"/>
            </w:rPr>
            <m:t>=corr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e>
          </m:d>
          <m:r>
            <m:rPr>
              <m:sty m:val="p"/>
            </m:rPr>
            <w:rPr>
              <w:rFonts w:ascii="Cambria Math" w:hAnsi="Cambria Math" w:cs="Times New Roman"/>
            </w:rPr>
            <m:t>.</m:t>
          </m:r>
        </m:oMath>
      </m:oMathPara>
    </w:p>
    <w:p w14:paraId="6E5D6C9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Lead alignment requires exact quarter continuity within unit.</w:t>
      </w:r>
    </w:p>
    <w:p w14:paraId="111C40C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is predictive persistence, not causal anticipation.</w:t>
      </w:r>
    </w:p>
    <w:p w14:paraId="03EE4DFE"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To diagnose persistence-driven inflation, two supplementary estimands are computed for focal signals and outcomes:</w:t>
      </w:r>
    </w:p>
    <w:p w14:paraId="6832BD1F"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Δy</m:t>
              </m:r>
            </m:sub>
            <m:sup>
              <m:d>
                <m:dPr>
                  <m:ctrlPr>
                    <w:rPr>
                      <w:rFonts w:ascii="Cambria Math" w:hAnsi="Cambria Math" w:cs="Times New Roman"/>
                    </w:rPr>
                  </m:ctrlPr>
                </m:dPr>
                <m:e>
                  <m:r>
                    <w:rPr>
                      <w:rFonts w:ascii="Cambria Math" w:hAnsi="Cambria Math" w:cs="Times New Roman"/>
                    </w:rPr>
                    <m:t>h</m:t>
                  </m:r>
                </m:e>
              </m:d>
            </m:sup>
          </m:sSubSup>
          <m:r>
            <m:rPr>
              <m:sty m:val="p"/>
            </m:rPr>
            <w:rPr>
              <w:rFonts w:ascii="Cambria Math" w:hAnsi="Cambria Math" w:cs="Times New Roman"/>
            </w:rPr>
            <m:t>=corr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e>
          </m:d>
          <m:r>
            <m:rPr>
              <m:sty m:val="p"/>
            </m:rPr>
            <w:rPr>
              <w:rFonts w:ascii="Cambria Math" w:hAnsi="Cambria Math" w:cs="Times New Roman"/>
            </w:rPr>
            <m:t>,</m:t>
          </m:r>
        </m:oMath>
      </m:oMathPara>
    </w:p>
    <w:p w14:paraId="7D8E42C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and</w:t>
      </w:r>
    </w:p>
    <w:p w14:paraId="55A49113"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ρ</m:t>
              </m:r>
            </m:e>
            <m:sub>
              <m:r>
                <w:rPr>
                  <w:rFonts w:ascii="Cambria Math" w:hAnsi="Cambria Math" w:cs="Times New Roman"/>
                </w:rPr>
                <m:t>k</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ub>
            <m:sup>
              <m:d>
                <m:dPr>
                  <m:ctrlPr>
                    <w:rPr>
                      <w:rFonts w:ascii="Cambria Math" w:hAnsi="Cambria Math" w:cs="Times New Roman"/>
                    </w:rPr>
                  </m:ctrlPr>
                </m:dPr>
                <m:e>
                  <m:r>
                    <w:rPr>
                      <w:rFonts w:ascii="Cambria Math" w:hAnsi="Cambria Math" w:cs="Times New Roman"/>
                    </w:rPr>
                    <m:t>h</m:t>
                  </m:r>
                </m:e>
              </m:d>
            </m:sup>
          </m:sSubSup>
          <m:r>
            <m:rPr>
              <m:sty m:val="p"/>
            </m:rPr>
            <w:rPr>
              <w:rFonts w:ascii="Cambria Math" w:hAnsi="Cambria Math" w:cs="Times New Roman"/>
            </w:rPr>
            <m:t>=corr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α</m:t>
              </m:r>
            </m:e>
          </m:acc>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β</m:t>
              </m:r>
            </m:e>
          </m:acc>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r>
            <m:rPr>
              <m:sty m:val="p"/>
            </m:rPr>
            <w:rPr>
              <w:rFonts w:ascii="Cambria Math" w:hAnsi="Cambria Math" w:cs="Times New Roman"/>
            </w:rPr>
            <m:t>.</m:t>
          </m:r>
        </m:oMath>
      </m:oMathPara>
    </w:p>
    <w:p w14:paraId="255E7C5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first is a change-outcome diagnostic; the second residualizes future outcomes on current outcomes to test incremental signal content beyond autoregressive structure.</w:t>
      </w:r>
    </w:p>
    <w:p w14:paraId="34D5DC4B" w14:textId="77777777" w:rsidR="007D3AD7" w:rsidRPr="00153C54" w:rsidRDefault="00000000">
      <w:pPr>
        <w:pStyle w:val="Heading2"/>
        <w:rPr>
          <w:rFonts w:ascii="Times New Roman" w:hAnsi="Times New Roman" w:cs="Times New Roman"/>
          <w:sz w:val="24"/>
          <w:szCs w:val="24"/>
        </w:rPr>
      </w:pPr>
      <w:bookmarkStart w:id="82" w:name="sec-balance"/>
      <w:bookmarkEnd w:id="81"/>
      <w:r w:rsidRPr="00153C54">
        <w:rPr>
          <w:rFonts w:ascii="Times New Roman" w:hAnsi="Times New Roman" w:cs="Times New Roman"/>
          <w:sz w:val="24"/>
          <w:szCs w:val="24"/>
        </w:rPr>
        <w:lastRenderedPageBreak/>
        <w:t>B.3 Activity-Stratum Design</w:t>
      </w:r>
    </w:p>
    <w:p w14:paraId="0B71014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The merged panel is subset by quarterly activity composition across housing, mixed, infrastructure, and neither </w:t>
      </w:r>
      <w:proofErr w:type="gramStart"/>
      <w:r w:rsidRPr="00153C54">
        <w:rPr>
          <w:rFonts w:ascii="Times New Roman" w:hAnsi="Times New Roman" w:cs="Times New Roman"/>
        </w:rPr>
        <w:t>strata</w:t>
      </w:r>
      <w:proofErr w:type="gramEnd"/>
      <w:r w:rsidRPr="00153C54">
        <w:rPr>
          <w:rFonts w:ascii="Times New Roman" w:hAnsi="Times New Roman" w:cs="Times New Roman"/>
        </w:rPr>
        <w:t>, and the pooled/within diagnostics are re-estimated within each stratum. This design tests whether signal-outcome relationships are stable across implementation contexts or whether pooled estimates reflect aggregation across distinct operational regimes.</w:t>
      </w:r>
    </w:p>
    <w:p w14:paraId="094B37C6" w14:textId="77777777" w:rsidR="007D3AD7" w:rsidRPr="00153C54" w:rsidRDefault="00000000">
      <w:pPr>
        <w:pStyle w:val="Heading2"/>
        <w:rPr>
          <w:rFonts w:ascii="Times New Roman" w:hAnsi="Times New Roman" w:cs="Times New Roman"/>
          <w:sz w:val="24"/>
          <w:szCs w:val="24"/>
        </w:rPr>
      </w:pPr>
      <w:bookmarkStart w:id="83" w:name="sec-estimation-details"/>
      <w:bookmarkEnd w:id="82"/>
      <w:r w:rsidRPr="00153C54">
        <w:rPr>
          <w:rFonts w:ascii="Times New Roman" w:hAnsi="Times New Roman" w:cs="Times New Roman"/>
          <w:sz w:val="24"/>
          <w:szCs w:val="24"/>
        </w:rPr>
        <w:t>B.4 Stage-Contrast Design</w:t>
      </w:r>
    </w:p>
    <w:p w14:paraId="25A749C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Stage mapping evaluates signal-association patterns across disbursed-to-obligated ratio, expended-to-disbursed ratio, total obligated dollars, total expended dollars, and program completion rate. The objective is to identify whether narrative signals are concentrated at particular execution stages rather than assumed to reflect a single general notion of performance.</w:t>
      </w:r>
    </w:p>
    <w:p w14:paraId="1DC5F62A"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Because signal shares are compositional, stage diagnostics are supplemented with two alternative signal parameterizations for focal topics:</w:t>
      </w:r>
    </w:p>
    <w:p w14:paraId="4E817CCD"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up>
              <m:r>
                <m:rPr>
                  <m:nor/>
                </m:rPr>
                <w:rPr>
                  <w:rFonts w:ascii="Times New Roman" w:hAnsi="Times New Roman" w:cs="Times New Roman"/>
                </w:rPr>
                <m:t>logratio</m:t>
              </m:r>
            </m:sup>
          </m:sSubSup>
          <m:r>
            <m:rPr>
              <m:sty m:val="p"/>
            </m:rPr>
            <w:rPr>
              <w:rFonts w:ascii="Cambria Math" w:hAnsi="Cambria Math" w:cs="Times New Roman"/>
            </w:rPr>
            <m:t>=log</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0.5</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other</m:t>
                      </m:r>
                    </m:sub>
                  </m:sSub>
                  <m:r>
                    <m:rPr>
                      <m:sty m:val="p"/>
                    </m:rPr>
                    <w:rPr>
                      <w:rFonts w:ascii="Cambria Math" w:hAnsi="Cambria Math" w:cs="Times New Roman"/>
                    </w:rPr>
                    <m:t>+</m:t>
                  </m:r>
                  <m:r>
                    <w:rPr>
                      <w:rFonts w:ascii="Cambria Math" w:hAnsi="Cambria Math" w:cs="Times New Roman"/>
                    </w:rPr>
                    <m:t>0.5</m:t>
                  </m:r>
                </m:den>
              </m:f>
            </m:e>
          </m:d>
          <m:r>
            <m:rPr>
              <m:sty m:val="p"/>
            </m:rPr>
            <w:rPr>
              <w:rFonts w:ascii="Cambria Math" w:hAnsi="Cambria Math" w:cs="Times New Roman"/>
            </w:rPr>
            <m:t>,</m:t>
          </m:r>
        </m:oMath>
      </m:oMathPara>
    </w:p>
    <w:p w14:paraId="589DB29E"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and a volume-adjusted residualized count:</w:t>
      </w:r>
    </w:p>
    <w:p w14:paraId="34DA31B0" w14:textId="77777777" w:rsidR="007D3AD7" w:rsidRPr="00153C54" w:rsidRDefault="00000000">
      <w:pPr>
        <w:pStyle w:val="BodyText"/>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up>
              <m:r>
                <m:rPr>
                  <m:nor/>
                </m:rPr>
                <w:rPr>
                  <w:rFonts w:ascii="Times New Roman" w:hAnsi="Times New Roman" w:cs="Times New Roman"/>
                </w:rPr>
                <m:t>adjcount</m:t>
              </m:r>
            </m:sup>
          </m:sSubSup>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k</m:t>
                  </m:r>
                </m:sub>
              </m:sSub>
            </m:e>
          </m:d>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γ</m:t>
                  </m:r>
                </m:e>
              </m:acc>
            </m:e>
            <m:sub>
              <m:r>
                <w:rPr>
                  <w:rFonts w:ascii="Cambria Math" w:hAnsi="Cambria Math" w:cs="Times New Roman"/>
                </w:rPr>
                <m:t>1</m:t>
              </m:r>
            </m:sub>
          </m:sSub>
          <m:r>
            <m:rPr>
              <m:sty m:val="p"/>
            </m:rPr>
            <w:rPr>
              <w:rFonts w:ascii="Cambria Math" w:hAnsi="Cambria Math" w:cs="Times New Roman"/>
            </w:rPr>
            <m:t>log</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m:rPr>
                      <m:nor/>
                    </m:rPr>
                    <w:rPr>
                      <w:rFonts w:ascii="Times New Roman" w:hAnsi="Times New Roman" w:cs="Times New Roman"/>
                    </w:rPr>
                    <m:t>total</m:t>
                  </m:r>
                </m:sub>
              </m:sSub>
            </m:e>
          </m:d>
          <m:r>
            <m:rPr>
              <m:sty m:val="p"/>
            </m:rPr>
            <w:rPr>
              <w:rFonts w:ascii="Cambria Math" w:hAnsi="Cambria Math" w:cs="Times New Roman"/>
            </w:rPr>
            <m:t>.</m:t>
          </m:r>
        </m:oMath>
      </m:oMathPara>
    </w:p>
    <w:p w14:paraId="31B1020F"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These checks bound interpretation against constant-sum share dependence and pure narrative-volume effects.</w:t>
      </w:r>
    </w:p>
    <w:p w14:paraId="6EA8BA1C" w14:textId="77777777" w:rsidR="007D3AD7" w:rsidRPr="00153C54" w:rsidRDefault="00000000">
      <w:pPr>
        <w:pStyle w:val="Heading2"/>
        <w:rPr>
          <w:rFonts w:ascii="Times New Roman" w:hAnsi="Times New Roman" w:cs="Times New Roman"/>
          <w:sz w:val="24"/>
          <w:szCs w:val="24"/>
        </w:rPr>
      </w:pPr>
      <w:bookmarkStart w:id="84" w:name="multiple-testing-and-reporting-rules"/>
      <w:bookmarkEnd w:id="83"/>
      <w:r w:rsidRPr="00153C54">
        <w:rPr>
          <w:rFonts w:ascii="Times New Roman" w:hAnsi="Times New Roman" w:cs="Times New Roman"/>
          <w:sz w:val="24"/>
          <w:szCs w:val="24"/>
        </w:rPr>
        <w:t>B.5 Multiple Testing and Reporting Rules</w:t>
      </w:r>
    </w:p>
    <w:p w14:paraId="59F8BB02"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P-values are adjusted to q-values via Benjamini-Hochberg within method families [1]. Reporting is standardized to include effect direction and magnitude as </w:t>
      </w:r>
      <m:oMath>
        <m:r>
          <w:rPr>
            <w:rFonts w:ascii="Cambria Math" w:hAnsi="Cambria Math" w:cs="Times New Roman"/>
          </w:rPr>
          <m:t>ρ</m:t>
        </m:r>
      </m:oMath>
      <w:r w:rsidRPr="00153C54">
        <w:rPr>
          <w:rFonts w:ascii="Times New Roman" w:hAnsi="Times New Roman" w:cs="Times New Roman"/>
        </w:rPr>
        <w:t>, multiplicity-adjusted significance as q-values, and sample context defined by observation-pair counts and unit coverage, so interpretation is not detached from coverage variation across outcomes and strata.</w:t>
      </w:r>
    </w:p>
    <w:p w14:paraId="362B18B7" w14:textId="77777777" w:rsidR="007D3AD7" w:rsidRPr="00153C54" w:rsidRDefault="00000000">
      <w:pPr>
        <w:pStyle w:val="Heading2"/>
        <w:rPr>
          <w:rFonts w:ascii="Times New Roman" w:hAnsi="Times New Roman" w:cs="Times New Roman"/>
          <w:sz w:val="24"/>
          <w:szCs w:val="24"/>
        </w:rPr>
      </w:pPr>
      <w:bookmarkStart w:id="85" w:name="robustness-protocol"/>
      <w:bookmarkEnd w:id="84"/>
      <w:r w:rsidRPr="00153C54">
        <w:rPr>
          <w:rFonts w:ascii="Times New Roman" w:hAnsi="Times New Roman" w:cs="Times New Roman"/>
          <w:sz w:val="24"/>
          <w:szCs w:val="24"/>
        </w:rPr>
        <w:t>B.6 Robustness Protocol</w:t>
      </w:r>
    </w:p>
    <w:p w14:paraId="2E5FE7EB"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Four diagnostics define interpretive boundaries. The leave-one-disaster-out (LOO) protocol drops one category-disaster portfolio identifier per iteration and evaluates sign stability and median deviation from baseline estimates. The ratio-cap protocol progressively caps the expended-to-disbursed ratio and re-estimates focal-signal correlations to test sensitivity to extreme ratio realizations. Compositional diagnostics re-estimate focal-stage correlations under log-ratio and adjusted-count constructions. Lead incremental-content diagnostics compare baseline </w:t>
      </w:r>
      <w:proofErr w:type="gramStart"/>
      <w:r w:rsidRPr="00153C54">
        <w:rPr>
          <w:rFonts w:ascii="Times New Roman" w:hAnsi="Times New Roman" w:cs="Times New Roman"/>
        </w:rPr>
        <w:t>lead</w:t>
      </w:r>
      <w:proofErr w:type="gramEnd"/>
      <w:r w:rsidRPr="00153C54">
        <w:rPr>
          <w:rFonts w:ascii="Times New Roman" w:hAnsi="Times New Roman" w:cs="Times New Roman"/>
        </w:rPr>
        <w:t xml:space="preserve"> associations to change and residualized-lead estimands, and report signal/outcome autocorrelation as inertia context. These checks are not substitutes for identification; they are safeguards against over-interpretation in an observational diagnostic design.</w:t>
      </w:r>
    </w:p>
    <w:p w14:paraId="3050E821" w14:textId="77777777" w:rsidR="007D3AD7" w:rsidRPr="00153C54" w:rsidRDefault="00000000">
      <w:pPr>
        <w:pStyle w:val="Heading2"/>
        <w:rPr>
          <w:rFonts w:ascii="Times New Roman" w:hAnsi="Times New Roman" w:cs="Times New Roman"/>
          <w:sz w:val="24"/>
          <w:szCs w:val="24"/>
        </w:rPr>
      </w:pPr>
      <w:bookmarkStart w:id="86" w:name="scope-conditions"/>
      <w:bookmarkEnd w:id="85"/>
      <w:r w:rsidRPr="00153C54">
        <w:rPr>
          <w:rFonts w:ascii="Times New Roman" w:hAnsi="Times New Roman" w:cs="Times New Roman"/>
          <w:sz w:val="24"/>
          <w:szCs w:val="24"/>
        </w:rPr>
        <w:t>B.7 Scope Conditions</w:t>
      </w:r>
    </w:p>
    <w:p w14:paraId="2AE617F3"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This is a descriptive, hypothesis-organizing design, and the inferences reported should be read accordingly. The results are structured association evidence, not causal estimates. Several features of the data constrain interpretation: ratio outcomes are constructed from financial fields </w:t>
      </w:r>
      <w:r w:rsidRPr="00153C54">
        <w:rPr>
          <w:rFonts w:ascii="Times New Roman" w:hAnsi="Times New Roman" w:cs="Times New Roman"/>
        </w:rPr>
        <w:lastRenderedPageBreak/>
        <w:t>that may reflect accounting timing as much as operational throughput; signal shares are compositional, so associations capture relative emphasis rather than absolute narrative volume; signal autocorrelation is high, consistent with reporting-template inertia; and smaller strata — particularly infrastructure and neither — support only limited within-stratum inference. These constraints motivate the robustness protocol described in B.6 rather than serving as reasons to discount the findings. Future causal work should preserve the decomposition and stratification architecture introduced here so that stronger identification does not come at the cost of the interpretive discipline this design was built to provide.</w:t>
      </w:r>
    </w:p>
    <w:p w14:paraId="58319693" w14:textId="77777777" w:rsidR="007D3AD7" w:rsidRPr="00153C54" w:rsidRDefault="00000000">
      <w:pPr>
        <w:pStyle w:val="Heading1"/>
        <w:rPr>
          <w:rFonts w:ascii="Times New Roman" w:hAnsi="Times New Roman" w:cs="Times New Roman"/>
          <w:sz w:val="24"/>
          <w:szCs w:val="24"/>
        </w:rPr>
      </w:pPr>
      <w:bookmarkStart w:id="87" w:name="section"/>
      <w:bookmarkEnd w:id="79"/>
      <w:bookmarkEnd w:id="86"/>
      <w:r w:rsidRPr="00153C54">
        <w:rPr>
          <w:rFonts w:ascii="Times New Roman" w:hAnsi="Times New Roman" w:cs="Times New Roman"/>
          <w:sz w:val="24"/>
          <w:szCs w:val="24"/>
        </w:rPr>
        <w:t>Appendix C — —</w:t>
      </w:r>
    </w:p>
    <w:p w14:paraId="016A6251" w14:textId="77777777" w:rsidR="007D3AD7" w:rsidRPr="00153C54" w:rsidRDefault="00000000">
      <w:pPr>
        <w:pStyle w:val="Heading1"/>
        <w:rPr>
          <w:rFonts w:ascii="Times New Roman" w:hAnsi="Times New Roman" w:cs="Times New Roman"/>
          <w:sz w:val="24"/>
          <w:szCs w:val="24"/>
        </w:rPr>
      </w:pPr>
      <w:bookmarkStart w:id="88" w:name="sec-robustness-appendix"/>
      <w:bookmarkEnd w:id="87"/>
      <w:r w:rsidRPr="00153C54">
        <w:rPr>
          <w:rFonts w:ascii="Times New Roman" w:hAnsi="Times New Roman" w:cs="Times New Roman"/>
          <w:sz w:val="24"/>
          <w:szCs w:val="24"/>
        </w:rPr>
        <w:t>Appendix C — Robustness Checks</w:t>
      </w:r>
    </w:p>
    <w:p w14:paraId="694A79E4"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This appendix reports the primary robustness diagnostics referenced in </w:t>
      </w:r>
      <w:hyperlink w:anchor="sec-discussion">
        <w:r w:rsidRPr="00153C54">
          <w:rPr>
            <w:rStyle w:val="Hyperlink"/>
            <w:rFonts w:ascii="Times New Roman" w:hAnsi="Times New Roman" w:cs="Times New Roman"/>
          </w:rPr>
          <w:t>Section 5</w:t>
        </w:r>
      </w:hyperlink>
      <w:r w:rsidRPr="00153C54">
        <w:rPr>
          <w:rFonts w:ascii="Times New Roman" w:hAnsi="Times New Roman" w:cs="Times New Roman"/>
        </w:rPr>
        <w:t>.</w:t>
      </w:r>
    </w:p>
    <w:p w14:paraId="69331012" w14:textId="77777777" w:rsidR="007D3AD7" w:rsidRPr="00153C54" w:rsidRDefault="00000000">
      <w:pPr>
        <w:pStyle w:val="Heading2"/>
        <w:rPr>
          <w:rFonts w:ascii="Times New Roman" w:hAnsi="Times New Roman" w:cs="Times New Roman"/>
          <w:sz w:val="24"/>
          <w:szCs w:val="24"/>
        </w:rPr>
      </w:pPr>
      <w:bookmarkStart w:id="89" w:name="sec-alt-specs"/>
      <w:r w:rsidRPr="00153C54">
        <w:rPr>
          <w:rFonts w:ascii="Times New Roman" w:hAnsi="Times New Roman" w:cs="Times New Roman"/>
          <w:sz w:val="24"/>
          <w:szCs w:val="24"/>
        </w:rPr>
        <w:t>C.1 Leave-One-Disaster-Out Sensitivity</w:t>
      </w:r>
    </w:p>
    <w:p w14:paraId="66FC6B9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leave-one-disaster-out (LOO) design evaluates whether pooled focal-signal estimates are driven by a single high-influence disaster unit. Each iteration drops one category-disaster portfolio identifier, re-estimates the pooled correlation, and records the range and sign behavior relative to the baseline.</w:t>
      </w:r>
    </w:p>
    <w:p w14:paraId="7CB84CA7" w14:textId="77777777" w:rsidR="007D3AD7" w:rsidRPr="00153C54" w:rsidRDefault="00000000">
      <w:pPr>
        <w:pStyle w:val="TableCaption"/>
        <w:rPr>
          <w:rFonts w:ascii="Times New Roman" w:hAnsi="Times New Roman" w:cs="Times New Roman"/>
        </w:rPr>
      </w:pPr>
      <w:r w:rsidRPr="00153C54">
        <w:rPr>
          <w:rFonts w:ascii="Times New Roman" w:hAnsi="Times New Roman" w:cs="Times New Roman"/>
        </w:rPr>
        <w:t>Leave-one-disaster-out sensitivity for pooled expended-to-disbursed ratio correlations.</w:t>
      </w:r>
    </w:p>
    <w:tbl>
      <w:tblPr>
        <w:tblStyle w:val="Table"/>
        <w:tblW w:w="5000" w:type="pct"/>
        <w:tblLayout w:type="fixed"/>
        <w:tblLook w:val="0020" w:firstRow="1" w:lastRow="0" w:firstColumn="0" w:lastColumn="0" w:noHBand="0" w:noVBand="0"/>
        <w:tblCaption w:val="Leave-one-disaster-out sensitivity for pooled expended-to-disbursed ratio correlations."/>
      </w:tblPr>
      <w:tblGrid>
        <w:gridCol w:w="1250"/>
        <w:gridCol w:w="1666"/>
        <w:gridCol w:w="1665"/>
        <w:gridCol w:w="1665"/>
        <w:gridCol w:w="1665"/>
        <w:gridCol w:w="1665"/>
      </w:tblGrid>
      <w:tr w:rsidR="007D3AD7" w:rsidRPr="00153C54" w14:paraId="4F15EE63"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033" w:type="dxa"/>
          </w:tcPr>
          <w:p w14:paraId="4561A9D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w:t>
            </w:r>
          </w:p>
        </w:tc>
        <w:tc>
          <w:tcPr>
            <w:tcW w:w="1377" w:type="dxa"/>
          </w:tcPr>
          <w:p w14:paraId="4EBD6AA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Baseline </w:t>
            </w:r>
            <m:oMath>
              <m:r>
                <w:rPr>
                  <w:rFonts w:ascii="Cambria Math" w:hAnsi="Cambria Math" w:cs="Times New Roman"/>
                </w:rPr>
                <m:t>ρ</m:t>
              </m:r>
            </m:oMath>
          </w:p>
        </w:tc>
        <w:tc>
          <w:tcPr>
            <w:tcW w:w="1377" w:type="dxa"/>
          </w:tcPr>
          <w:p w14:paraId="53B188CB"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Min LOO </w:t>
            </w:r>
            <m:oMath>
              <m:r>
                <w:rPr>
                  <w:rFonts w:ascii="Cambria Math" w:hAnsi="Cambria Math" w:cs="Times New Roman"/>
                </w:rPr>
                <m:t>ρ</m:t>
              </m:r>
            </m:oMath>
          </w:p>
        </w:tc>
        <w:tc>
          <w:tcPr>
            <w:tcW w:w="1377" w:type="dxa"/>
          </w:tcPr>
          <w:p w14:paraId="5CD9C4D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Median LOO </w:t>
            </w:r>
            <m:oMath>
              <m:r>
                <w:rPr>
                  <w:rFonts w:ascii="Cambria Math" w:hAnsi="Cambria Math" w:cs="Times New Roman"/>
                </w:rPr>
                <m:t>ρ</m:t>
              </m:r>
            </m:oMath>
          </w:p>
        </w:tc>
        <w:tc>
          <w:tcPr>
            <w:tcW w:w="1377" w:type="dxa"/>
          </w:tcPr>
          <w:p w14:paraId="29603D1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Max LOO </w:t>
            </w:r>
            <m:oMath>
              <m:r>
                <w:rPr>
                  <w:rFonts w:ascii="Cambria Math" w:hAnsi="Cambria Math" w:cs="Times New Roman"/>
                </w:rPr>
                <m:t>ρ</m:t>
              </m:r>
            </m:oMath>
          </w:p>
        </w:tc>
        <w:tc>
          <w:tcPr>
            <w:tcW w:w="1377" w:type="dxa"/>
          </w:tcPr>
          <w:p w14:paraId="6C13CFC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Sign-flip rate</w:t>
            </w:r>
          </w:p>
        </w:tc>
      </w:tr>
      <w:tr w:rsidR="007D3AD7" w:rsidRPr="00153C54" w14:paraId="583AF777" w14:textId="77777777">
        <w:tc>
          <w:tcPr>
            <w:tcW w:w="1033" w:type="dxa"/>
          </w:tcPr>
          <w:p w14:paraId="17672C8D"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1377" w:type="dxa"/>
          </w:tcPr>
          <w:p w14:paraId="6C24D5D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-0.331</w:t>
            </w:r>
          </w:p>
        </w:tc>
        <w:tc>
          <w:tcPr>
            <w:tcW w:w="1377" w:type="dxa"/>
          </w:tcPr>
          <w:p w14:paraId="5C2D8BC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-0.453</w:t>
            </w:r>
          </w:p>
        </w:tc>
        <w:tc>
          <w:tcPr>
            <w:tcW w:w="1377" w:type="dxa"/>
          </w:tcPr>
          <w:p w14:paraId="5A581AF2"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-0.331</w:t>
            </w:r>
          </w:p>
        </w:tc>
        <w:tc>
          <w:tcPr>
            <w:tcW w:w="1377" w:type="dxa"/>
          </w:tcPr>
          <w:p w14:paraId="010EA4F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-0.265</w:t>
            </w:r>
          </w:p>
        </w:tc>
        <w:tc>
          <w:tcPr>
            <w:tcW w:w="1377" w:type="dxa"/>
          </w:tcPr>
          <w:p w14:paraId="29DB2C3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0.000</w:t>
            </w:r>
          </w:p>
        </w:tc>
      </w:tr>
      <w:tr w:rsidR="007D3AD7" w:rsidRPr="00153C54" w14:paraId="63BF819E" w14:textId="77777777">
        <w:tc>
          <w:tcPr>
            <w:tcW w:w="1033" w:type="dxa"/>
          </w:tcPr>
          <w:p w14:paraId="6934874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c>
          <w:tcPr>
            <w:tcW w:w="1377" w:type="dxa"/>
          </w:tcPr>
          <w:p w14:paraId="1F35A3E1"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1377" w:type="dxa"/>
          </w:tcPr>
          <w:p w14:paraId="67DCAB5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0.281</w:t>
            </w:r>
          </w:p>
        </w:tc>
        <w:tc>
          <w:tcPr>
            <w:tcW w:w="1377" w:type="dxa"/>
          </w:tcPr>
          <w:p w14:paraId="17A699E1"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1377" w:type="dxa"/>
          </w:tcPr>
          <w:p w14:paraId="6D69FBB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0.390</w:t>
            </w:r>
          </w:p>
        </w:tc>
        <w:tc>
          <w:tcPr>
            <w:tcW w:w="1377" w:type="dxa"/>
          </w:tcPr>
          <w:p w14:paraId="15EA976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0.000</w:t>
            </w:r>
          </w:p>
        </w:tc>
      </w:tr>
    </w:tbl>
    <w:p w14:paraId="44DC6882"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both focal signals pass the predefined stability rule requiring sign-flip rate &lt;= 0.20 and a median near baseline, indicating that pooled signs are not attributable to a single disaster-unit outlier.</w:t>
      </w:r>
    </w:p>
    <w:p w14:paraId="56A22276" w14:textId="77777777" w:rsidR="007D3AD7" w:rsidRPr="00153C54" w:rsidRDefault="00000000">
      <w:pPr>
        <w:pStyle w:val="Heading2"/>
        <w:rPr>
          <w:rFonts w:ascii="Times New Roman" w:hAnsi="Times New Roman" w:cs="Times New Roman"/>
          <w:sz w:val="24"/>
          <w:szCs w:val="24"/>
        </w:rPr>
      </w:pPr>
      <w:bookmarkStart w:id="90" w:name="sec-sample-restrictions"/>
      <w:bookmarkEnd w:id="89"/>
      <w:r w:rsidRPr="00153C54">
        <w:rPr>
          <w:rFonts w:ascii="Times New Roman" w:hAnsi="Times New Roman" w:cs="Times New Roman"/>
          <w:sz w:val="24"/>
          <w:szCs w:val="24"/>
        </w:rPr>
        <w:t>C.2 Ratio-Cap Sensitivity</w:t>
      </w:r>
    </w:p>
    <w:p w14:paraId="2510DD8A"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Ratio-cap sensitivity assesses whether expended-to-disbursed ratio associations remain directionally stable as extreme values are progressively trimmed. This test is critical for interpretation because ratio measures can be unstable under denominator compression.</w:t>
      </w:r>
    </w:p>
    <w:p w14:paraId="130FB45A" w14:textId="77777777" w:rsidR="007D3AD7" w:rsidRPr="00153C54" w:rsidRDefault="00000000">
      <w:pPr>
        <w:pStyle w:val="Heading3"/>
        <w:rPr>
          <w:rFonts w:ascii="Times New Roman" w:hAnsi="Times New Roman" w:cs="Times New Roman"/>
          <w:sz w:val="24"/>
          <w:szCs w:val="24"/>
        </w:rPr>
      </w:pPr>
      <w:bookmarkStart w:id="91" w:name="homeowner-assistance-signal"/>
      <w:r w:rsidRPr="00153C54">
        <w:rPr>
          <w:rFonts w:ascii="Times New Roman" w:hAnsi="Times New Roman" w:cs="Times New Roman"/>
          <w:sz w:val="24"/>
          <w:szCs w:val="24"/>
        </w:rPr>
        <w:t>C.2.1 Homeowner-Assistance Signal</w:t>
      </w:r>
    </w:p>
    <w:tbl>
      <w:tblPr>
        <w:tblStyle w:val="Table"/>
        <w:tblW w:w="0" w:type="auto"/>
        <w:tblLook w:val="0020" w:firstRow="1" w:lastRow="0" w:firstColumn="0" w:lastColumn="0" w:noHBand="0" w:noVBand="0"/>
      </w:tblPr>
      <w:tblGrid>
        <w:gridCol w:w="1036"/>
        <w:gridCol w:w="836"/>
        <w:gridCol w:w="1063"/>
        <w:gridCol w:w="1916"/>
      </w:tblGrid>
      <w:tr w:rsidR="007D3AD7" w:rsidRPr="00153C54" w14:paraId="5A1D7143"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0" w:type="auto"/>
          </w:tcPr>
          <w:p w14:paraId="5C86A388"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Cap rule</w:t>
            </w:r>
          </w:p>
        </w:tc>
        <w:tc>
          <w:tcPr>
            <w:tcW w:w="0" w:type="auto"/>
          </w:tcPr>
          <w:p w14:paraId="343C7325" w14:textId="77777777" w:rsidR="007D3AD7" w:rsidRPr="00153C54" w:rsidRDefault="00000000">
            <w:pPr>
              <w:pStyle w:val="Compact"/>
              <w:jc w:val="right"/>
              <w:rPr>
                <w:rFonts w:ascii="Times New Roman" w:hAnsi="Times New Roman" w:cs="Times New Roman"/>
              </w:rPr>
            </w:pPr>
            <m:oMathPara>
              <m:oMath>
                <m:r>
                  <w:rPr>
                    <w:rFonts w:ascii="Cambria Math" w:hAnsi="Cambria Math" w:cs="Times New Roman"/>
                  </w:rPr>
                  <m:t>ρ</m:t>
                </m:r>
              </m:oMath>
            </m:oMathPara>
          </w:p>
        </w:tc>
        <w:tc>
          <w:tcPr>
            <w:tcW w:w="0" w:type="auto"/>
          </w:tcPr>
          <w:p w14:paraId="0E1A2B0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p-value</w:t>
            </w:r>
          </w:p>
        </w:tc>
        <w:tc>
          <w:tcPr>
            <w:tcW w:w="0" w:type="auto"/>
          </w:tcPr>
          <w:p w14:paraId="1CF0BA0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Observation pairs</w:t>
            </w:r>
          </w:p>
        </w:tc>
      </w:tr>
      <w:tr w:rsidR="007D3AD7" w:rsidRPr="00153C54" w14:paraId="45B58B9F" w14:textId="77777777">
        <w:tc>
          <w:tcPr>
            <w:tcW w:w="0" w:type="auto"/>
          </w:tcPr>
          <w:p w14:paraId="368F058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raw</w:t>
            </w:r>
          </w:p>
        </w:tc>
        <w:tc>
          <w:tcPr>
            <w:tcW w:w="0" w:type="auto"/>
          </w:tcPr>
          <w:p w14:paraId="27D5203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-0.331</w:t>
            </w:r>
          </w:p>
        </w:tc>
        <w:tc>
          <w:tcPr>
            <w:tcW w:w="0" w:type="auto"/>
          </w:tcPr>
          <w:p w14:paraId="36416241"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4.08e-10</w:t>
            </w:r>
          </w:p>
        </w:tc>
        <w:tc>
          <w:tcPr>
            <w:tcW w:w="0" w:type="auto"/>
          </w:tcPr>
          <w:p w14:paraId="056318A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339</w:t>
            </w:r>
          </w:p>
        </w:tc>
      </w:tr>
      <w:tr w:rsidR="007D3AD7" w:rsidRPr="00153C54" w14:paraId="4820A973" w14:textId="77777777">
        <w:tc>
          <w:tcPr>
            <w:tcW w:w="0" w:type="auto"/>
          </w:tcPr>
          <w:p w14:paraId="60BA1B2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lastRenderedPageBreak/>
              <w:t>&lt;= 2</w:t>
            </w:r>
          </w:p>
        </w:tc>
        <w:tc>
          <w:tcPr>
            <w:tcW w:w="0" w:type="auto"/>
          </w:tcPr>
          <w:p w14:paraId="5EB01FC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-0.298</w:t>
            </w:r>
          </w:p>
        </w:tc>
        <w:tc>
          <w:tcPr>
            <w:tcW w:w="0" w:type="auto"/>
          </w:tcPr>
          <w:p w14:paraId="25BEE344"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1.26e-05</w:t>
            </w:r>
          </w:p>
        </w:tc>
        <w:tc>
          <w:tcPr>
            <w:tcW w:w="0" w:type="auto"/>
          </w:tcPr>
          <w:p w14:paraId="27216B5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208</w:t>
            </w:r>
          </w:p>
        </w:tc>
      </w:tr>
      <w:tr w:rsidR="007D3AD7" w:rsidRPr="00153C54" w14:paraId="78927119" w14:textId="77777777">
        <w:tc>
          <w:tcPr>
            <w:tcW w:w="0" w:type="auto"/>
          </w:tcPr>
          <w:p w14:paraId="2811726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&lt;= 5</w:t>
            </w:r>
          </w:p>
        </w:tc>
        <w:tc>
          <w:tcPr>
            <w:tcW w:w="0" w:type="auto"/>
          </w:tcPr>
          <w:p w14:paraId="405D9F4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-0.285</w:t>
            </w:r>
          </w:p>
        </w:tc>
        <w:tc>
          <w:tcPr>
            <w:tcW w:w="0" w:type="auto"/>
          </w:tcPr>
          <w:p w14:paraId="62B4F8F4"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2.57e-05</w:t>
            </w:r>
          </w:p>
        </w:tc>
        <w:tc>
          <w:tcPr>
            <w:tcW w:w="0" w:type="auto"/>
          </w:tcPr>
          <w:p w14:paraId="53BF9A62"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211</w:t>
            </w:r>
          </w:p>
        </w:tc>
      </w:tr>
      <w:tr w:rsidR="007D3AD7" w:rsidRPr="00153C54" w14:paraId="204D3E89" w14:textId="77777777">
        <w:tc>
          <w:tcPr>
            <w:tcW w:w="0" w:type="auto"/>
          </w:tcPr>
          <w:p w14:paraId="2509C19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&lt;= 10</w:t>
            </w:r>
          </w:p>
        </w:tc>
        <w:tc>
          <w:tcPr>
            <w:tcW w:w="0" w:type="auto"/>
          </w:tcPr>
          <w:p w14:paraId="0253D0B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-0.254</w:t>
            </w:r>
          </w:p>
        </w:tc>
        <w:tc>
          <w:tcPr>
            <w:tcW w:w="0" w:type="auto"/>
          </w:tcPr>
          <w:p w14:paraId="6479B0D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1.66e-04</w:t>
            </w:r>
          </w:p>
        </w:tc>
        <w:tc>
          <w:tcPr>
            <w:tcW w:w="0" w:type="auto"/>
          </w:tcPr>
          <w:p w14:paraId="2B81740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215</w:t>
            </w:r>
          </w:p>
        </w:tc>
      </w:tr>
    </w:tbl>
    <w:p w14:paraId="4E64C943" w14:textId="77777777" w:rsidR="007D3AD7" w:rsidRPr="00153C54" w:rsidRDefault="00000000">
      <w:pPr>
        <w:pStyle w:val="Heading3"/>
        <w:rPr>
          <w:rFonts w:ascii="Times New Roman" w:hAnsi="Times New Roman" w:cs="Times New Roman"/>
          <w:sz w:val="24"/>
          <w:szCs w:val="24"/>
        </w:rPr>
      </w:pPr>
      <w:bookmarkStart w:id="92" w:name="roadway-reconstruction-signal"/>
      <w:bookmarkEnd w:id="91"/>
      <w:r w:rsidRPr="00153C54">
        <w:rPr>
          <w:rFonts w:ascii="Times New Roman" w:hAnsi="Times New Roman" w:cs="Times New Roman"/>
          <w:sz w:val="24"/>
          <w:szCs w:val="24"/>
        </w:rPr>
        <w:t>C.2.2 Roadway-Reconstruction Signal</w:t>
      </w:r>
    </w:p>
    <w:tbl>
      <w:tblPr>
        <w:tblStyle w:val="Table"/>
        <w:tblW w:w="0" w:type="auto"/>
        <w:tblLook w:val="0020" w:firstRow="1" w:lastRow="0" w:firstColumn="0" w:lastColumn="0" w:noHBand="0" w:noVBand="0"/>
      </w:tblPr>
      <w:tblGrid>
        <w:gridCol w:w="1036"/>
        <w:gridCol w:w="836"/>
        <w:gridCol w:w="1063"/>
        <w:gridCol w:w="1916"/>
      </w:tblGrid>
      <w:tr w:rsidR="007D3AD7" w:rsidRPr="00153C54" w14:paraId="091D1752"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0" w:type="auto"/>
          </w:tcPr>
          <w:p w14:paraId="0B89F1B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Cap rule</w:t>
            </w:r>
          </w:p>
        </w:tc>
        <w:tc>
          <w:tcPr>
            <w:tcW w:w="0" w:type="auto"/>
          </w:tcPr>
          <w:p w14:paraId="460B0CA4" w14:textId="77777777" w:rsidR="007D3AD7" w:rsidRPr="00153C54" w:rsidRDefault="00000000">
            <w:pPr>
              <w:pStyle w:val="Compact"/>
              <w:jc w:val="right"/>
              <w:rPr>
                <w:rFonts w:ascii="Times New Roman" w:hAnsi="Times New Roman" w:cs="Times New Roman"/>
              </w:rPr>
            </w:pPr>
            <m:oMathPara>
              <m:oMath>
                <m:r>
                  <w:rPr>
                    <w:rFonts w:ascii="Cambria Math" w:hAnsi="Cambria Math" w:cs="Times New Roman"/>
                  </w:rPr>
                  <m:t>ρ</m:t>
                </m:r>
              </m:oMath>
            </m:oMathPara>
          </w:p>
        </w:tc>
        <w:tc>
          <w:tcPr>
            <w:tcW w:w="0" w:type="auto"/>
          </w:tcPr>
          <w:p w14:paraId="30F0BF8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p-value</w:t>
            </w:r>
          </w:p>
        </w:tc>
        <w:tc>
          <w:tcPr>
            <w:tcW w:w="0" w:type="auto"/>
          </w:tcPr>
          <w:p w14:paraId="1EF0709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Observation pairs</w:t>
            </w:r>
          </w:p>
        </w:tc>
      </w:tr>
      <w:tr w:rsidR="007D3AD7" w:rsidRPr="00153C54" w14:paraId="50438E55" w14:textId="77777777">
        <w:tc>
          <w:tcPr>
            <w:tcW w:w="0" w:type="auto"/>
          </w:tcPr>
          <w:p w14:paraId="3C1467ED"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raw</w:t>
            </w:r>
          </w:p>
        </w:tc>
        <w:tc>
          <w:tcPr>
            <w:tcW w:w="0" w:type="auto"/>
          </w:tcPr>
          <w:p w14:paraId="75E3BF5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0" w:type="auto"/>
          </w:tcPr>
          <w:p w14:paraId="3D30816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1.44e-10</w:t>
            </w:r>
          </w:p>
        </w:tc>
        <w:tc>
          <w:tcPr>
            <w:tcW w:w="0" w:type="auto"/>
          </w:tcPr>
          <w:p w14:paraId="08E18F4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339</w:t>
            </w:r>
          </w:p>
        </w:tc>
      </w:tr>
      <w:tr w:rsidR="007D3AD7" w:rsidRPr="00153C54" w14:paraId="00D3BD3E" w14:textId="77777777">
        <w:tc>
          <w:tcPr>
            <w:tcW w:w="0" w:type="auto"/>
          </w:tcPr>
          <w:p w14:paraId="4AB83B6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&lt;= 2</w:t>
            </w:r>
          </w:p>
        </w:tc>
        <w:tc>
          <w:tcPr>
            <w:tcW w:w="0" w:type="auto"/>
          </w:tcPr>
          <w:p w14:paraId="18CBC72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-0.256</w:t>
            </w:r>
          </w:p>
        </w:tc>
        <w:tc>
          <w:tcPr>
            <w:tcW w:w="0" w:type="auto"/>
          </w:tcPr>
          <w:p w14:paraId="5CA493E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1.89e-04</w:t>
            </w:r>
          </w:p>
        </w:tc>
        <w:tc>
          <w:tcPr>
            <w:tcW w:w="0" w:type="auto"/>
          </w:tcPr>
          <w:p w14:paraId="30CB42F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208</w:t>
            </w:r>
          </w:p>
        </w:tc>
      </w:tr>
      <w:tr w:rsidR="007D3AD7" w:rsidRPr="00153C54" w14:paraId="4EDF40F9" w14:textId="77777777">
        <w:tc>
          <w:tcPr>
            <w:tcW w:w="0" w:type="auto"/>
          </w:tcPr>
          <w:p w14:paraId="560FB50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&lt;= 5</w:t>
            </w:r>
          </w:p>
        </w:tc>
        <w:tc>
          <w:tcPr>
            <w:tcW w:w="0" w:type="auto"/>
          </w:tcPr>
          <w:p w14:paraId="33A0047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-0.258</w:t>
            </w:r>
          </w:p>
        </w:tc>
        <w:tc>
          <w:tcPr>
            <w:tcW w:w="0" w:type="auto"/>
          </w:tcPr>
          <w:p w14:paraId="1CD910E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1.47e-04</w:t>
            </w:r>
          </w:p>
        </w:tc>
        <w:tc>
          <w:tcPr>
            <w:tcW w:w="0" w:type="auto"/>
          </w:tcPr>
          <w:p w14:paraId="4E69E0BB"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211</w:t>
            </w:r>
          </w:p>
        </w:tc>
      </w:tr>
      <w:tr w:rsidR="007D3AD7" w:rsidRPr="00153C54" w14:paraId="79D795CF" w14:textId="77777777">
        <w:tc>
          <w:tcPr>
            <w:tcW w:w="0" w:type="auto"/>
          </w:tcPr>
          <w:p w14:paraId="65CC5E88"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&lt;= 10</w:t>
            </w:r>
          </w:p>
        </w:tc>
        <w:tc>
          <w:tcPr>
            <w:tcW w:w="0" w:type="auto"/>
          </w:tcPr>
          <w:p w14:paraId="6C536B9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-0.239</w:t>
            </w:r>
          </w:p>
        </w:tc>
        <w:tc>
          <w:tcPr>
            <w:tcW w:w="0" w:type="auto"/>
          </w:tcPr>
          <w:p w14:paraId="57532DB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4.07e-04</w:t>
            </w:r>
          </w:p>
        </w:tc>
        <w:tc>
          <w:tcPr>
            <w:tcW w:w="0" w:type="auto"/>
          </w:tcPr>
          <w:p w14:paraId="2D0D7F4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215</w:t>
            </w:r>
          </w:p>
        </w:tc>
      </w:tr>
    </w:tbl>
    <w:p w14:paraId="5E9B250D"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the homeowner-assistance signal retains directional stability under progressively tighter caps, while the roadway-reconstruction signal reverses sign. The contrast implies that homeowner-signal conclusions for this ratio are robust to trimming, whereas roadway-signal conclusions for this particular ratio require explicit outlier caution.</w:t>
      </w:r>
    </w:p>
    <w:p w14:paraId="00E9517F" w14:textId="77777777" w:rsidR="007D3AD7" w:rsidRPr="00153C54" w:rsidRDefault="00000000">
      <w:pPr>
        <w:pStyle w:val="Heading2"/>
        <w:rPr>
          <w:rFonts w:ascii="Times New Roman" w:hAnsi="Times New Roman" w:cs="Times New Roman"/>
          <w:sz w:val="24"/>
          <w:szCs w:val="24"/>
        </w:rPr>
      </w:pPr>
      <w:bookmarkStart w:id="93" w:name="sec-placebo"/>
      <w:bookmarkEnd w:id="90"/>
      <w:bookmarkEnd w:id="92"/>
      <w:r w:rsidRPr="00153C54">
        <w:rPr>
          <w:rFonts w:ascii="Times New Roman" w:hAnsi="Times New Roman" w:cs="Times New Roman"/>
          <w:sz w:val="24"/>
          <w:szCs w:val="24"/>
        </w:rPr>
        <w:t>C.3 Pooled vs. Within-Unit Decomposition</w:t>
      </w:r>
    </w:p>
    <w:p w14:paraId="11E82C96"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decomposition diagnostic compares pooled and within-unit correlations to distinguish composition effects from temporal co-movement.</w:t>
      </w:r>
    </w:p>
    <w:tbl>
      <w:tblPr>
        <w:tblStyle w:val="Table"/>
        <w:tblW w:w="5000" w:type="pct"/>
        <w:tblLayout w:type="fixed"/>
        <w:tblLook w:val="0020" w:firstRow="1" w:lastRow="0" w:firstColumn="0" w:lastColumn="0" w:noHBand="0" w:noVBand="0"/>
      </w:tblPr>
      <w:tblGrid>
        <w:gridCol w:w="1914"/>
        <w:gridCol w:w="2554"/>
        <w:gridCol w:w="2554"/>
        <w:gridCol w:w="2554"/>
      </w:tblGrid>
      <w:tr w:rsidR="007D3AD7" w:rsidRPr="00153C54" w14:paraId="1E3F5B96"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584" w:type="dxa"/>
          </w:tcPr>
          <w:p w14:paraId="130339DB"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w:t>
            </w:r>
          </w:p>
        </w:tc>
        <w:tc>
          <w:tcPr>
            <w:tcW w:w="2112" w:type="dxa"/>
          </w:tcPr>
          <w:p w14:paraId="7DCF50D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Pooled </w:t>
            </w:r>
            <m:oMath>
              <m:r>
                <w:rPr>
                  <w:rFonts w:ascii="Cambria Math" w:hAnsi="Cambria Math" w:cs="Times New Roman"/>
                </w:rPr>
                <m:t>ρ</m:t>
              </m:r>
            </m:oMath>
          </w:p>
        </w:tc>
        <w:tc>
          <w:tcPr>
            <w:tcW w:w="2112" w:type="dxa"/>
          </w:tcPr>
          <w:p w14:paraId="155D8591"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Within-unit </w:t>
            </w:r>
            <m:oMath>
              <m:r>
                <w:rPr>
                  <w:rFonts w:ascii="Cambria Math" w:hAnsi="Cambria Math" w:cs="Times New Roman"/>
                </w:rPr>
                <m:t>ρ</m:t>
              </m:r>
            </m:oMath>
          </w:p>
        </w:tc>
        <w:tc>
          <w:tcPr>
            <w:tcW w:w="2112" w:type="dxa"/>
          </w:tcPr>
          <w:p w14:paraId="3FD9B69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Sign conflict</w:t>
            </w:r>
          </w:p>
        </w:tc>
      </w:tr>
      <w:tr w:rsidR="007D3AD7" w:rsidRPr="00153C54" w14:paraId="676BD172" w14:textId="77777777">
        <w:tc>
          <w:tcPr>
            <w:tcW w:w="1584" w:type="dxa"/>
          </w:tcPr>
          <w:p w14:paraId="7FA945F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2112" w:type="dxa"/>
          </w:tcPr>
          <w:p w14:paraId="1BEDB84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-0.331</w:t>
            </w:r>
          </w:p>
        </w:tc>
        <w:tc>
          <w:tcPr>
            <w:tcW w:w="2112" w:type="dxa"/>
          </w:tcPr>
          <w:p w14:paraId="09C2267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0.500</w:t>
            </w:r>
          </w:p>
        </w:tc>
        <w:tc>
          <w:tcPr>
            <w:tcW w:w="2112" w:type="dxa"/>
          </w:tcPr>
          <w:p w14:paraId="784AC4C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Yes</w:t>
            </w:r>
          </w:p>
        </w:tc>
      </w:tr>
      <w:tr w:rsidR="007D3AD7" w:rsidRPr="00153C54" w14:paraId="66450A30" w14:textId="77777777">
        <w:tc>
          <w:tcPr>
            <w:tcW w:w="1584" w:type="dxa"/>
          </w:tcPr>
          <w:p w14:paraId="2E4EE373"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c>
          <w:tcPr>
            <w:tcW w:w="2112" w:type="dxa"/>
          </w:tcPr>
          <w:p w14:paraId="23786ED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2112" w:type="dxa"/>
          </w:tcPr>
          <w:p w14:paraId="5E422E6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0.673</w:t>
            </w:r>
          </w:p>
        </w:tc>
        <w:tc>
          <w:tcPr>
            <w:tcW w:w="2112" w:type="dxa"/>
          </w:tcPr>
          <w:p w14:paraId="2BFB6456"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No</w:t>
            </w:r>
          </w:p>
        </w:tc>
      </w:tr>
    </w:tbl>
    <w:p w14:paraId="01A4B034"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pooled-negative evidence for the homeowner-assistance signal should be interpreted with explicit composition caution.</w:t>
      </w:r>
    </w:p>
    <w:p w14:paraId="2608696C" w14:textId="77777777" w:rsidR="007D3AD7" w:rsidRPr="00153C54" w:rsidRDefault="00000000">
      <w:pPr>
        <w:pStyle w:val="Heading2"/>
        <w:rPr>
          <w:rFonts w:ascii="Times New Roman" w:hAnsi="Times New Roman" w:cs="Times New Roman"/>
          <w:sz w:val="24"/>
          <w:szCs w:val="24"/>
        </w:rPr>
      </w:pPr>
      <w:bookmarkStart w:id="94" w:name="compositional-parameterization-checks"/>
      <w:bookmarkEnd w:id="93"/>
      <w:r w:rsidRPr="00153C54">
        <w:rPr>
          <w:rFonts w:ascii="Times New Roman" w:hAnsi="Times New Roman" w:cs="Times New Roman"/>
          <w:sz w:val="24"/>
          <w:szCs w:val="24"/>
        </w:rPr>
        <w:t>C.4 Compositional Parameterization Checks</w:t>
      </w:r>
    </w:p>
    <w:p w14:paraId="2BC1265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 xml:space="preserve">Because focal explanatory variables are within-quarter shares, this </w:t>
      </w:r>
      <w:proofErr w:type="gramStart"/>
      <w:r w:rsidRPr="00153C54">
        <w:rPr>
          <w:rFonts w:ascii="Times New Roman" w:hAnsi="Times New Roman" w:cs="Times New Roman"/>
        </w:rPr>
        <w:t>check</w:t>
      </w:r>
      <w:proofErr w:type="gramEnd"/>
      <w:r w:rsidRPr="00153C54">
        <w:rPr>
          <w:rFonts w:ascii="Times New Roman" w:hAnsi="Times New Roman" w:cs="Times New Roman"/>
        </w:rPr>
        <w:t xml:space="preserve"> re-estimates stage-outcome correlations under alternative signal constructions: log-ratio and volume-adjusted log-count residuals.</w:t>
      </w:r>
    </w:p>
    <w:tbl>
      <w:tblPr>
        <w:tblStyle w:val="Table"/>
        <w:tblW w:w="5000" w:type="pct"/>
        <w:tblLayout w:type="fixed"/>
        <w:tblLook w:val="0020" w:firstRow="1" w:lastRow="0" w:firstColumn="0" w:lastColumn="0" w:noHBand="0" w:noVBand="0"/>
      </w:tblPr>
      <w:tblGrid>
        <w:gridCol w:w="2052"/>
        <w:gridCol w:w="2736"/>
        <w:gridCol w:w="2736"/>
        <w:gridCol w:w="2052"/>
      </w:tblGrid>
      <w:tr w:rsidR="007D3AD7" w:rsidRPr="00153C54" w14:paraId="393FC869"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697" w:type="dxa"/>
          </w:tcPr>
          <w:p w14:paraId="2BE95966"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w:t>
            </w:r>
          </w:p>
        </w:tc>
        <w:tc>
          <w:tcPr>
            <w:tcW w:w="2262" w:type="dxa"/>
          </w:tcPr>
          <w:p w14:paraId="32176234"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Share vs log-ratio sign matches across 5 outcomes</w:t>
            </w:r>
          </w:p>
        </w:tc>
        <w:tc>
          <w:tcPr>
            <w:tcW w:w="2262" w:type="dxa"/>
          </w:tcPr>
          <w:p w14:paraId="461F334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Share vs adjusted-count sign matches across 5 outcomes</w:t>
            </w:r>
          </w:p>
        </w:tc>
        <w:tc>
          <w:tcPr>
            <w:tcW w:w="1697" w:type="dxa"/>
          </w:tcPr>
          <w:p w14:paraId="3600015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Notable exception</w:t>
            </w:r>
          </w:p>
        </w:tc>
      </w:tr>
      <w:tr w:rsidR="007D3AD7" w:rsidRPr="00153C54" w14:paraId="3CB8A680" w14:textId="77777777">
        <w:tc>
          <w:tcPr>
            <w:tcW w:w="1697" w:type="dxa"/>
          </w:tcPr>
          <w:p w14:paraId="5EF8364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2262" w:type="dxa"/>
          </w:tcPr>
          <w:p w14:paraId="7346AB8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5/5</w:t>
            </w:r>
          </w:p>
        </w:tc>
        <w:tc>
          <w:tcPr>
            <w:tcW w:w="2262" w:type="dxa"/>
          </w:tcPr>
          <w:p w14:paraId="792FA8F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5/5</w:t>
            </w:r>
          </w:p>
        </w:tc>
        <w:tc>
          <w:tcPr>
            <w:tcW w:w="1697" w:type="dxa"/>
          </w:tcPr>
          <w:p w14:paraId="34730CA3"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None</w:t>
            </w:r>
          </w:p>
        </w:tc>
      </w:tr>
      <w:tr w:rsidR="007D3AD7" w:rsidRPr="00153C54" w14:paraId="0FED36AA" w14:textId="77777777">
        <w:tc>
          <w:tcPr>
            <w:tcW w:w="1697" w:type="dxa"/>
          </w:tcPr>
          <w:p w14:paraId="12D85BD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 xml:space="preserve">Roadway-reconstruction </w:t>
            </w:r>
            <w:r w:rsidRPr="00153C54">
              <w:rPr>
                <w:rFonts w:ascii="Times New Roman" w:hAnsi="Times New Roman" w:cs="Times New Roman"/>
              </w:rPr>
              <w:lastRenderedPageBreak/>
              <w:t>signal</w:t>
            </w:r>
          </w:p>
        </w:tc>
        <w:tc>
          <w:tcPr>
            <w:tcW w:w="2262" w:type="dxa"/>
          </w:tcPr>
          <w:p w14:paraId="1146EFD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lastRenderedPageBreak/>
              <w:t>4/5</w:t>
            </w:r>
          </w:p>
        </w:tc>
        <w:tc>
          <w:tcPr>
            <w:tcW w:w="2262" w:type="dxa"/>
          </w:tcPr>
          <w:p w14:paraId="696BC43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5/5</w:t>
            </w:r>
          </w:p>
        </w:tc>
        <w:tc>
          <w:tcPr>
            <w:tcW w:w="1697" w:type="dxa"/>
          </w:tcPr>
          <w:p w14:paraId="6652C21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 xml:space="preserve">Program completion rate crosses zero under </w:t>
            </w:r>
            <w:r w:rsidRPr="00153C54">
              <w:rPr>
                <w:rFonts w:ascii="Times New Roman" w:hAnsi="Times New Roman" w:cs="Times New Roman"/>
              </w:rPr>
              <w:lastRenderedPageBreak/>
              <w:t>log-ratio</w:t>
            </w:r>
          </w:p>
        </w:tc>
      </w:tr>
    </w:tbl>
    <w:p w14:paraId="1A56DBB8"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lastRenderedPageBreak/>
        <w:t>For the key expended-to-disbursed ratio outcome, both focal signals remain directionally stable under all three parameterizations:</w:t>
      </w:r>
    </w:p>
    <w:tbl>
      <w:tblPr>
        <w:tblStyle w:val="Table"/>
        <w:tblW w:w="5000" w:type="pct"/>
        <w:tblLayout w:type="fixed"/>
        <w:tblLook w:val="0020" w:firstRow="1" w:lastRow="0" w:firstColumn="0" w:lastColumn="0" w:noHBand="0" w:noVBand="0"/>
      </w:tblPr>
      <w:tblGrid>
        <w:gridCol w:w="1914"/>
        <w:gridCol w:w="2554"/>
        <w:gridCol w:w="2554"/>
        <w:gridCol w:w="2554"/>
      </w:tblGrid>
      <w:tr w:rsidR="007D3AD7" w:rsidRPr="00153C54" w14:paraId="139FAAF9"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584" w:type="dxa"/>
          </w:tcPr>
          <w:p w14:paraId="1137F20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w:t>
            </w:r>
          </w:p>
        </w:tc>
        <w:tc>
          <w:tcPr>
            <w:tcW w:w="2112" w:type="dxa"/>
          </w:tcPr>
          <w:p w14:paraId="2A4C6AE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Share </w:t>
            </w:r>
            <m:oMath>
              <m:r>
                <w:rPr>
                  <w:rFonts w:ascii="Cambria Math" w:hAnsi="Cambria Math" w:cs="Times New Roman"/>
                </w:rPr>
                <m:t>ρ</m:t>
              </m:r>
            </m:oMath>
          </w:p>
        </w:tc>
        <w:tc>
          <w:tcPr>
            <w:tcW w:w="2112" w:type="dxa"/>
          </w:tcPr>
          <w:p w14:paraId="50AF0061"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Log-ratio </w:t>
            </w:r>
            <m:oMath>
              <m:r>
                <w:rPr>
                  <w:rFonts w:ascii="Cambria Math" w:hAnsi="Cambria Math" w:cs="Times New Roman"/>
                </w:rPr>
                <m:t>ρ</m:t>
              </m:r>
            </m:oMath>
          </w:p>
        </w:tc>
        <w:tc>
          <w:tcPr>
            <w:tcW w:w="2112" w:type="dxa"/>
          </w:tcPr>
          <w:p w14:paraId="64AE73DC" w14:textId="77777777" w:rsidR="007D3AD7" w:rsidRPr="00153C54" w:rsidRDefault="00000000">
            <w:pPr>
              <w:pStyle w:val="Compact"/>
              <w:jc w:val="right"/>
              <w:rPr>
                <w:rFonts w:ascii="Times New Roman" w:hAnsi="Times New Roman" w:cs="Times New Roman"/>
              </w:rPr>
            </w:pPr>
            <w:proofErr w:type="gramStart"/>
            <w:r w:rsidRPr="00153C54">
              <w:rPr>
                <w:rFonts w:ascii="Times New Roman" w:hAnsi="Times New Roman" w:cs="Times New Roman"/>
              </w:rPr>
              <w:t>Adjusted-count</w:t>
            </w:r>
            <w:proofErr w:type="gramEnd"/>
            <w:r w:rsidRPr="00153C54">
              <w:rPr>
                <w:rFonts w:ascii="Times New Roman" w:hAnsi="Times New Roman" w:cs="Times New Roman"/>
              </w:rPr>
              <w:t xml:space="preserve"> </w:t>
            </w:r>
            <m:oMath>
              <m:r>
                <w:rPr>
                  <w:rFonts w:ascii="Cambria Math" w:hAnsi="Cambria Math" w:cs="Times New Roman"/>
                </w:rPr>
                <m:t>ρ</m:t>
              </m:r>
            </m:oMath>
          </w:p>
        </w:tc>
      </w:tr>
      <w:tr w:rsidR="007D3AD7" w:rsidRPr="00153C54" w14:paraId="4CE717CC" w14:textId="77777777">
        <w:tc>
          <w:tcPr>
            <w:tcW w:w="1584" w:type="dxa"/>
          </w:tcPr>
          <w:p w14:paraId="6F6EC31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2112" w:type="dxa"/>
          </w:tcPr>
          <w:p w14:paraId="073EF86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-0.331</w:t>
            </w:r>
          </w:p>
        </w:tc>
        <w:tc>
          <w:tcPr>
            <w:tcW w:w="2112" w:type="dxa"/>
          </w:tcPr>
          <w:p w14:paraId="15CCB0A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-0.109</w:t>
            </w:r>
          </w:p>
        </w:tc>
        <w:tc>
          <w:tcPr>
            <w:tcW w:w="2112" w:type="dxa"/>
          </w:tcPr>
          <w:p w14:paraId="68A2E990"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-0.213</w:t>
            </w:r>
          </w:p>
        </w:tc>
      </w:tr>
      <w:tr w:rsidR="007D3AD7" w:rsidRPr="00153C54" w14:paraId="359F884F" w14:textId="77777777">
        <w:tc>
          <w:tcPr>
            <w:tcW w:w="1584" w:type="dxa"/>
          </w:tcPr>
          <w:p w14:paraId="5888C8D2"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c>
          <w:tcPr>
            <w:tcW w:w="2112" w:type="dxa"/>
          </w:tcPr>
          <w:p w14:paraId="128D06B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2112" w:type="dxa"/>
          </w:tcPr>
          <w:p w14:paraId="47477FE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0.300</w:t>
            </w:r>
          </w:p>
        </w:tc>
        <w:tc>
          <w:tcPr>
            <w:tcW w:w="2112" w:type="dxa"/>
          </w:tcPr>
          <w:p w14:paraId="1D03CB6B"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0.247</w:t>
            </w:r>
          </w:p>
        </w:tc>
      </w:tr>
    </w:tbl>
    <w:p w14:paraId="443D20A1"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core focal conclusions are not an artifact of the share construction, but share-based estimates should still be read as relative-emphasis effects.</w:t>
      </w:r>
    </w:p>
    <w:p w14:paraId="7819A9D6" w14:textId="77777777" w:rsidR="007D3AD7" w:rsidRPr="00153C54" w:rsidRDefault="00000000">
      <w:pPr>
        <w:pStyle w:val="Heading2"/>
        <w:rPr>
          <w:rFonts w:ascii="Times New Roman" w:hAnsi="Times New Roman" w:cs="Times New Roman"/>
          <w:sz w:val="24"/>
          <w:szCs w:val="24"/>
        </w:rPr>
      </w:pPr>
      <w:bookmarkStart w:id="95" w:name="X18d6cc46e136df98413341015649f4789ca668b"/>
      <w:bookmarkEnd w:id="94"/>
      <w:r w:rsidRPr="00153C54">
        <w:rPr>
          <w:rFonts w:ascii="Times New Roman" w:hAnsi="Times New Roman" w:cs="Times New Roman"/>
          <w:sz w:val="24"/>
          <w:szCs w:val="24"/>
        </w:rPr>
        <w:t>C.5 Lead Incremental-Content and Inertia Diagnostics</w:t>
      </w:r>
    </w:p>
    <w:p w14:paraId="0B955F6C"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This diagnostic evaluates whether lead persistence remains after accounting for autoregressive outcome structure, and whether high signal autocorrelation is consistent with narrative-template inertia.</w:t>
      </w:r>
    </w:p>
    <w:tbl>
      <w:tblPr>
        <w:tblStyle w:val="Table"/>
        <w:tblW w:w="5000" w:type="pct"/>
        <w:tblLayout w:type="fixed"/>
        <w:tblLook w:val="0020" w:firstRow="1" w:lastRow="0" w:firstColumn="0" w:lastColumn="0" w:noHBand="0" w:noVBand="0"/>
      </w:tblPr>
      <w:tblGrid>
        <w:gridCol w:w="1250"/>
        <w:gridCol w:w="1666"/>
        <w:gridCol w:w="1665"/>
        <w:gridCol w:w="1665"/>
        <w:gridCol w:w="1665"/>
        <w:gridCol w:w="1665"/>
      </w:tblGrid>
      <w:tr w:rsidR="007D3AD7" w:rsidRPr="00153C54" w14:paraId="150E93C3"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1033" w:type="dxa"/>
          </w:tcPr>
          <w:p w14:paraId="7C7A5C4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Narrative signal</w:t>
            </w:r>
          </w:p>
        </w:tc>
        <w:tc>
          <w:tcPr>
            <w:tcW w:w="1377" w:type="dxa"/>
          </w:tcPr>
          <w:p w14:paraId="7D329915"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Lead </w:t>
            </w:r>
            <m:oMath>
              <m:r>
                <w:rPr>
                  <w:rFonts w:ascii="Cambria Math" w:hAnsi="Cambria Math" w:cs="Times New Roman"/>
                </w:rPr>
                <m:t>h</m:t>
              </m:r>
            </m:oMath>
          </w:p>
        </w:tc>
        <w:tc>
          <w:tcPr>
            <w:tcW w:w="1377" w:type="dxa"/>
          </w:tcPr>
          <w:p w14:paraId="1927A88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Baseline lead </w:t>
            </w:r>
            <m:oMath>
              <m:r>
                <w:rPr>
                  <w:rFonts w:ascii="Cambria Math" w:hAnsi="Cambria Math" w:cs="Times New Roman"/>
                </w:rPr>
                <m:t>ρ</m:t>
              </m:r>
            </m:oMath>
            <w:r w:rsidRPr="00153C54">
              <w:rPr>
                <w:rFonts w:ascii="Times New Roman" w:hAnsi="Times New Roman" w:cs="Times New Roman"/>
              </w:rPr>
              <w:t xml:space="preserve"> for expended-to-disbursed ratio</w:t>
            </w:r>
          </w:p>
        </w:tc>
        <w:tc>
          <w:tcPr>
            <w:tcW w:w="1377" w:type="dxa"/>
          </w:tcPr>
          <w:p w14:paraId="2179EEA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Residualized lead </w:t>
            </w:r>
            <m:oMath>
              <m:r>
                <w:rPr>
                  <w:rFonts w:ascii="Cambria Math" w:hAnsi="Cambria Math" w:cs="Times New Roman"/>
                </w:rPr>
                <m:t>ρ</m:t>
              </m:r>
            </m:oMath>
          </w:p>
        </w:tc>
        <w:tc>
          <w:tcPr>
            <w:tcW w:w="1377" w:type="dxa"/>
          </w:tcPr>
          <w:p w14:paraId="5DC671A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Outcome autocorr </w:t>
            </w:r>
            <m:oMath>
              <m:r>
                <w:rPr>
                  <w:rFonts w:ascii="Cambria Math" w:hAnsi="Cambria Math" w:cs="Times New Roman"/>
                </w:rPr>
                <m:t>ρ</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e>
              </m:d>
            </m:oMath>
          </w:p>
        </w:tc>
        <w:tc>
          <w:tcPr>
            <w:tcW w:w="1377" w:type="dxa"/>
          </w:tcPr>
          <w:p w14:paraId="2103422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 xml:space="preserve">Signal autocorr </w:t>
            </w:r>
            <m:oMath>
              <m:r>
                <w:rPr>
                  <w:rFonts w:ascii="Cambria Math" w:hAnsi="Cambria Math" w:cs="Times New Roman"/>
                </w:rPr>
                <m:t>ρ</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r>
                        <m:rPr>
                          <m:sty m:val="p"/>
                        </m:rPr>
                        <w:rPr>
                          <w:rFonts w:ascii="Cambria Math" w:hAnsi="Cambria Math" w:cs="Times New Roman"/>
                        </w:rPr>
                        <m:t>+</m:t>
                      </m:r>
                      <m:r>
                        <w:rPr>
                          <w:rFonts w:ascii="Cambria Math" w:hAnsi="Cambria Math" w:cs="Times New Roman"/>
                        </w:rPr>
                        <m:t>h</m:t>
                      </m:r>
                    </m:sub>
                  </m:sSub>
                </m:e>
              </m:d>
            </m:oMath>
          </w:p>
        </w:tc>
      </w:tr>
      <w:tr w:rsidR="007D3AD7" w:rsidRPr="00153C54" w14:paraId="03882ABC" w14:textId="77777777">
        <w:tc>
          <w:tcPr>
            <w:tcW w:w="1033" w:type="dxa"/>
          </w:tcPr>
          <w:p w14:paraId="6B476A6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1377" w:type="dxa"/>
          </w:tcPr>
          <w:p w14:paraId="2DC97444"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w:t>
            </w:r>
          </w:p>
        </w:tc>
        <w:tc>
          <w:tcPr>
            <w:tcW w:w="1377" w:type="dxa"/>
          </w:tcPr>
          <w:p w14:paraId="247E2ACC"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-0.362</w:t>
            </w:r>
          </w:p>
        </w:tc>
        <w:tc>
          <w:tcPr>
            <w:tcW w:w="1377" w:type="dxa"/>
          </w:tcPr>
          <w:p w14:paraId="173CA2A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-0.313</w:t>
            </w:r>
          </w:p>
        </w:tc>
        <w:tc>
          <w:tcPr>
            <w:tcW w:w="1377" w:type="dxa"/>
          </w:tcPr>
          <w:p w14:paraId="0C38087B"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0.725</w:t>
            </w:r>
          </w:p>
        </w:tc>
        <w:tc>
          <w:tcPr>
            <w:tcW w:w="1377" w:type="dxa"/>
          </w:tcPr>
          <w:p w14:paraId="5CAA122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0.925</w:t>
            </w:r>
          </w:p>
        </w:tc>
      </w:tr>
      <w:tr w:rsidR="007D3AD7" w:rsidRPr="00153C54" w14:paraId="5BA2CC93" w14:textId="77777777">
        <w:tc>
          <w:tcPr>
            <w:tcW w:w="1033" w:type="dxa"/>
          </w:tcPr>
          <w:p w14:paraId="19DC0E5E"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1377" w:type="dxa"/>
          </w:tcPr>
          <w:p w14:paraId="2A1FFC1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w:t>
            </w:r>
          </w:p>
        </w:tc>
        <w:tc>
          <w:tcPr>
            <w:tcW w:w="1377" w:type="dxa"/>
          </w:tcPr>
          <w:p w14:paraId="28171DA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-0.328</w:t>
            </w:r>
          </w:p>
        </w:tc>
        <w:tc>
          <w:tcPr>
            <w:tcW w:w="1377" w:type="dxa"/>
          </w:tcPr>
          <w:p w14:paraId="19D96FF4"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-0.257</w:t>
            </w:r>
          </w:p>
        </w:tc>
        <w:tc>
          <w:tcPr>
            <w:tcW w:w="1377" w:type="dxa"/>
          </w:tcPr>
          <w:p w14:paraId="45A8A6C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0.651</w:t>
            </w:r>
          </w:p>
        </w:tc>
        <w:tc>
          <w:tcPr>
            <w:tcW w:w="1377" w:type="dxa"/>
          </w:tcPr>
          <w:p w14:paraId="7212F08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0.921</w:t>
            </w:r>
          </w:p>
        </w:tc>
      </w:tr>
      <w:tr w:rsidR="007D3AD7" w:rsidRPr="00153C54" w14:paraId="17B22DE4" w14:textId="77777777">
        <w:tc>
          <w:tcPr>
            <w:tcW w:w="1033" w:type="dxa"/>
          </w:tcPr>
          <w:p w14:paraId="0F8F1991"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c>
          <w:tcPr>
            <w:tcW w:w="1377" w:type="dxa"/>
          </w:tcPr>
          <w:p w14:paraId="7FD4944E"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1</w:t>
            </w:r>
          </w:p>
        </w:tc>
        <w:tc>
          <w:tcPr>
            <w:tcW w:w="1377" w:type="dxa"/>
          </w:tcPr>
          <w:p w14:paraId="194A833A"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0.339</w:t>
            </w:r>
          </w:p>
        </w:tc>
        <w:tc>
          <w:tcPr>
            <w:tcW w:w="1377" w:type="dxa"/>
          </w:tcPr>
          <w:p w14:paraId="5A990A88"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0.271</w:t>
            </w:r>
          </w:p>
        </w:tc>
        <w:tc>
          <w:tcPr>
            <w:tcW w:w="1377" w:type="dxa"/>
          </w:tcPr>
          <w:p w14:paraId="3C35E1AB"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0.725</w:t>
            </w:r>
          </w:p>
        </w:tc>
        <w:tc>
          <w:tcPr>
            <w:tcW w:w="1377" w:type="dxa"/>
          </w:tcPr>
          <w:p w14:paraId="7A1F23E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0.753</w:t>
            </w:r>
          </w:p>
        </w:tc>
      </w:tr>
      <w:tr w:rsidR="007D3AD7" w:rsidRPr="00153C54" w14:paraId="4B65E47D" w14:textId="77777777">
        <w:tc>
          <w:tcPr>
            <w:tcW w:w="1033" w:type="dxa"/>
          </w:tcPr>
          <w:p w14:paraId="299741CC"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c>
          <w:tcPr>
            <w:tcW w:w="1377" w:type="dxa"/>
          </w:tcPr>
          <w:p w14:paraId="2AC3EAE7"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2</w:t>
            </w:r>
          </w:p>
        </w:tc>
        <w:tc>
          <w:tcPr>
            <w:tcW w:w="1377" w:type="dxa"/>
          </w:tcPr>
          <w:p w14:paraId="391777CF"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0.352</w:t>
            </w:r>
          </w:p>
        </w:tc>
        <w:tc>
          <w:tcPr>
            <w:tcW w:w="1377" w:type="dxa"/>
          </w:tcPr>
          <w:p w14:paraId="545C1C83"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0.209</w:t>
            </w:r>
          </w:p>
        </w:tc>
        <w:tc>
          <w:tcPr>
            <w:tcW w:w="1377" w:type="dxa"/>
          </w:tcPr>
          <w:p w14:paraId="6CBE9F09"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0.651</w:t>
            </w:r>
          </w:p>
        </w:tc>
        <w:tc>
          <w:tcPr>
            <w:tcW w:w="1377" w:type="dxa"/>
          </w:tcPr>
          <w:p w14:paraId="67E8071D" w14:textId="77777777" w:rsidR="007D3AD7" w:rsidRPr="00153C54" w:rsidRDefault="00000000">
            <w:pPr>
              <w:pStyle w:val="Compact"/>
              <w:jc w:val="right"/>
              <w:rPr>
                <w:rFonts w:ascii="Times New Roman" w:hAnsi="Times New Roman" w:cs="Times New Roman"/>
              </w:rPr>
            </w:pPr>
            <w:r w:rsidRPr="00153C54">
              <w:rPr>
                <w:rFonts w:ascii="Times New Roman" w:hAnsi="Times New Roman" w:cs="Times New Roman"/>
              </w:rPr>
              <w:t>0.691</w:t>
            </w:r>
          </w:p>
        </w:tc>
      </w:tr>
    </w:tbl>
    <w:p w14:paraId="1EFB5A0B"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Interpretation: outcome and signal persistence are both substantial, but residualized-lead signs remain aligned for the focal expenditure-conversion outcome, indicating non-trivial incremental monitoring content beyond pure persistence.</w:t>
      </w:r>
    </w:p>
    <w:p w14:paraId="2BBA082D" w14:textId="77777777" w:rsidR="007D3AD7" w:rsidRPr="00153C54" w:rsidRDefault="00000000">
      <w:pPr>
        <w:pStyle w:val="Heading2"/>
        <w:rPr>
          <w:rFonts w:ascii="Times New Roman" w:hAnsi="Times New Roman" w:cs="Times New Roman"/>
          <w:sz w:val="24"/>
          <w:szCs w:val="24"/>
        </w:rPr>
      </w:pPr>
      <w:bookmarkStart w:id="96" w:name="sec-sensitivity"/>
      <w:bookmarkEnd w:id="95"/>
      <w:r w:rsidRPr="00153C54">
        <w:rPr>
          <w:rFonts w:ascii="Times New Roman" w:hAnsi="Times New Roman" w:cs="Times New Roman"/>
          <w:sz w:val="24"/>
          <w:szCs w:val="24"/>
        </w:rPr>
        <w:lastRenderedPageBreak/>
        <w:t>C.6 Consolidated Decision Scorecard</w:t>
      </w:r>
    </w:p>
    <w:p w14:paraId="1AD87852" w14:textId="77777777" w:rsidR="007D3AD7" w:rsidRPr="00153C54" w:rsidRDefault="00000000">
      <w:pPr>
        <w:pStyle w:val="FirstParagraph"/>
        <w:rPr>
          <w:rFonts w:ascii="Times New Roman" w:hAnsi="Times New Roman" w:cs="Times New Roman"/>
        </w:rPr>
      </w:pPr>
      <w:r w:rsidRPr="00153C54">
        <w:rPr>
          <w:rFonts w:ascii="Times New Roman" w:hAnsi="Times New Roman" w:cs="Times New Roman"/>
        </w:rPr>
        <w:t>The consolidated scorecard summarizes the core decision rules used in manuscript interpretation.</w:t>
      </w:r>
    </w:p>
    <w:tbl>
      <w:tblPr>
        <w:tblStyle w:val="Table"/>
        <w:tblW w:w="5000" w:type="pct"/>
        <w:tblLayout w:type="fixed"/>
        <w:tblLook w:val="0020" w:firstRow="1" w:lastRow="0" w:firstColumn="0" w:lastColumn="0" w:noHBand="0" w:noVBand="0"/>
      </w:tblPr>
      <w:tblGrid>
        <w:gridCol w:w="3192"/>
        <w:gridCol w:w="3192"/>
        <w:gridCol w:w="3192"/>
      </w:tblGrid>
      <w:tr w:rsidR="007D3AD7" w:rsidRPr="00153C54" w14:paraId="0CAFF025" w14:textId="77777777" w:rsidTr="007D3A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7D8CB0AF"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Diagnostic</w:t>
            </w:r>
          </w:p>
        </w:tc>
        <w:tc>
          <w:tcPr>
            <w:tcW w:w="2640" w:type="dxa"/>
          </w:tcPr>
          <w:p w14:paraId="1963340B"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Homeowner-Assistance Signal</w:t>
            </w:r>
          </w:p>
        </w:tc>
        <w:tc>
          <w:tcPr>
            <w:tcW w:w="2640" w:type="dxa"/>
          </w:tcPr>
          <w:p w14:paraId="0DD0574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Roadway-Reconstruction Signal</w:t>
            </w:r>
          </w:p>
        </w:tc>
      </w:tr>
      <w:tr w:rsidR="007D3AD7" w:rsidRPr="00153C54" w14:paraId="5EF1A1D7" w14:textId="77777777">
        <w:tc>
          <w:tcPr>
            <w:tcW w:w="2640" w:type="dxa"/>
          </w:tcPr>
          <w:p w14:paraId="549C704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Ratio-cap robustness</w:t>
            </w:r>
          </w:p>
        </w:tc>
        <w:tc>
          <w:tcPr>
            <w:tcW w:w="2640" w:type="dxa"/>
          </w:tcPr>
          <w:p w14:paraId="108BBCB8"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5BD3946B"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FAIL</w:t>
            </w:r>
          </w:p>
        </w:tc>
      </w:tr>
      <w:tr w:rsidR="007D3AD7" w:rsidRPr="00153C54" w14:paraId="7099F44C" w14:textId="77777777">
        <w:tc>
          <w:tcPr>
            <w:tcW w:w="2640" w:type="dxa"/>
          </w:tcPr>
          <w:p w14:paraId="76DA8E31"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Lead persistence</w:t>
            </w:r>
          </w:p>
        </w:tc>
        <w:tc>
          <w:tcPr>
            <w:tcW w:w="2640" w:type="dxa"/>
          </w:tcPr>
          <w:p w14:paraId="398DECE1"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14C54FFA"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r>
      <w:tr w:rsidR="007D3AD7" w:rsidRPr="00153C54" w14:paraId="46A43DEB" w14:textId="77777777">
        <w:tc>
          <w:tcPr>
            <w:tcW w:w="2640" w:type="dxa"/>
          </w:tcPr>
          <w:p w14:paraId="5D3DF69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Lead incremental content for expended-to-disbursed ratio</w:t>
            </w:r>
          </w:p>
        </w:tc>
        <w:tc>
          <w:tcPr>
            <w:tcW w:w="2640" w:type="dxa"/>
          </w:tcPr>
          <w:p w14:paraId="2D29660E"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283CFC3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r>
      <w:tr w:rsidR="007D3AD7" w:rsidRPr="00153C54" w14:paraId="676F654F" w14:textId="77777777">
        <w:tc>
          <w:tcPr>
            <w:tcW w:w="2640" w:type="dxa"/>
          </w:tcPr>
          <w:p w14:paraId="25E830D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Compositional parameterization sensitivity</w:t>
            </w:r>
          </w:p>
        </w:tc>
        <w:tc>
          <w:tcPr>
            <w:tcW w:w="2640" w:type="dxa"/>
          </w:tcPr>
          <w:p w14:paraId="57A6AB74"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300C6AF1"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 1 pairing sensitive</w:t>
            </w:r>
          </w:p>
        </w:tc>
      </w:tr>
      <w:tr w:rsidR="007D3AD7" w:rsidRPr="00153C54" w14:paraId="3A4C2E73" w14:textId="77777777">
        <w:tc>
          <w:tcPr>
            <w:tcW w:w="2640" w:type="dxa"/>
          </w:tcPr>
          <w:p w14:paraId="378E65A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Between vs within decomposition</w:t>
            </w:r>
          </w:p>
        </w:tc>
        <w:tc>
          <w:tcPr>
            <w:tcW w:w="2640" w:type="dxa"/>
          </w:tcPr>
          <w:p w14:paraId="6CDED5B0" w14:textId="77777777" w:rsidR="007D3AD7" w:rsidRPr="00153C54" w:rsidRDefault="00000000">
            <w:pPr>
              <w:pStyle w:val="Compact"/>
              <w:rPr>
                <w:rFonts w:ascii="Times New Roman" w:hAnsi="Times New Roman" w:cs="Times New Roman"/>
              </w:rPr>
            </w:pPr>
            <w:proofErr w:type="gramStart"/>
            <w:r w:rsidRPr="00153C54">
              <w:rPr>
                <w:rFonts w:ascii="Times New Roman" w:hAnsi="Times New Roman" w:cs="Times New Roman"/>
              </w:rPr>
              <w:t>YES;</w:t>
            </w:r>
            <w:proofErr w:type="gramEnd"/>
            <w:r w:rsidRPr="00153C54">
              <w:rPr>
                <w:rFonts w:ascii="Times New Roman" w:hAnsi="Times New Roman" w:cs="Times New Roman"/>
              </w:rPr>
              <w:t xml:space="preserve"> conflict</w:t>
            </w:r>
          </w:p>
        </w:tc>
        <w:tc>
          <w:tcPr>
            <w:tcW w:w="2640" w:type="dxa"/>
          </w:tcPr>
          <w:p w14:paraId="3BB8C436"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NO; no conflict</w:t>
            </w:r>
          </w:p>
        </w:tc>
      </w:tr>
      <w:tr w:rsidR="007D3AD7" w:rsidRPr="00153C54" w14:paraId="5815EA7F" w14:textId="77777777">
        <w:tc>
          <w:tcPr>
            <w:tcW w:w="2640" w:type="dxa"/>
          </w:tcPr>
          <w:p w14:paraId="179EBBA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Stratum heterogeneity</w:t>
            </w:r>
          </w:p>
        </w:tc>
        <w:tc>
          <w:tcPr>
            <w:tcW w:w="2640" w:type="dxa"/>
          </w:tcPr>
          <w:p w14:paraId="3F91F99E"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5E21F73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r>
      <w:tr w:rsidR="007D3AD7" w:rsidRPr="00153C54" w14:paraId="73C1C2BE" w14:textId="77777777">
        <w:tc>
          <w:tcPr>
            <w:tcW w:w="2640" w:type="dxa"/>
          </w:tcPr>
          <w:p w14:paraId="5BD1EB18"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Stage contrast</w:t>
            </w:r>
          </w:p>
        </w:tc>
        <w:tc>
          <w:tcPr>
            <w:tcW w:w="2640" w:type="dxa"/>
          </w:tcPr>
          <w:p w14:paraId="1F34D335"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489769C7"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r>
      <w:tr w:rsidR="007D3AD7" w:rsidRPr="00153C54" w14:paraId="0956127C" w14:textId="77777777">
        <w:tc>
          <w:tcPr>
            <w:tcW w:w="2640" w:type="dxa"/>
          </w:tcPr>
          <w:p w14:paraId="6B58EFDA"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Leave-one-out sensitivity</w:t>
            </w:r>
          </w:p>
        </w:tc>
        <w:tc>
          <w:tcPr>
            <w:tcW w:w="2640" w:type="dxa"/>
          </w:tcPr>
          <w:p w14:paraId="4DF66F90"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c>
          <w:tcPr>
            <w:tcW w:w="2640" w:type="dxa"/>
          </w:tcPr>
          <w:p w14:paraId="0222BA69" w14:textId="77777777" w:rsidR="007D3AD7" w:rsidRPr="00153C54" w:rsidRDefault="00000000">
            <w:pPr>
              <w:pStyle w:val="Compact"/>
              <w:rPr>
                <w:rFonts w:ascii="Times New Roman" w:hAnsi="Times New Roman" w:cs="Times New Roman"/>
              </w:rPr>
            </w:pPr>
            <w:r w:rsidRPr="00153C54">
              <w:rPr>
                <w:rFonts w:ascii="Times New Roman" w:hAnsi="Times New Roman" w:cs="Times New Roman"/>
              </w:rPr>
              <w:t>PASS</w:t>
            </w:r>
          </w:p>
        </w:tc>
      </w:tr>
    </w:tbl>
    <w:p w14:paraId="460FC556" w14:textId="77777777" w:rsidR="007D3AD7" w:rsidRPr="00153C54" w:rsidRDefault="00000000">
      <w:pPr>
        <w:pStyle w:val="BodyText"/>
        <w:rPr>
          <w:rFonts w:ascii="Times New Roman" w:hAnsi="Times New Roman" w:cs="Times New Roman"/>
        </w:rPr>
      </w:pPr>
      <w:r w:rsidRPr="00153C54">
        <w:rPr>
          <w:rFonts w:ascii="Times New Roman" w:hAnsi="Times New Roman" w:cs="Times New Roman"/>
        </w:rPr>
        <w:t>In manuscript terms, the scorecard formalizes the interpretation boundary: most diagnostics support stable directional evidence for both signals, with the primary exceptions that roadway effects on the expenditure-conversion ratio are sensitive to ratio capping and roadway program completion rate is parameterization-sensitive under log-ratio construction.</w:t>
      </w:r>
      <w:bookmarkEnd w:id="88"/>
      <w:bookmarkEnd w:id="96"/>
    </w:p>
    <w:sectPr w:rsidR="007D3AD7" w:rsidRPr="00153C5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6232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7581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D3AD7"/>
    <w:rsid w:val="00094D36"/>
    <w:rsid w:val="00153C54"/>
    <w:rsid w:val="007D3AD7"/>
    <w:rsid w:val="00C97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C2317E"/>
  <w15:docId w15:val="{F4F3BA3E-5A63-9E49-BC54-8B195C10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pageBreakBefore/>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2517-6161.1995.tb02031.x" TargetMode="External"/><Relationship Id="rId18" Type="http://schemas.openxmlformats.org/officeDocument/2006/relationships/hyperlink" Target="https://doi.org/10.1007/s11615-022-00379-6" TargetMode="External"/><Relationship Id="rId26" Type="http://schemas.openxmlformats.org/officeDocument/2006/relationships/hyperlink" Target="https://doi.org/10.1017/psrm.2014.7" TargetMode="External"/><Relationship Id="rId21" Type="http://schemas.openxmlformats.org/officeDocument/2006/relationships/hyperlink" Target="https://doi.org/10.1257/jel.20181020" TargetMode="External"/><Relationship Id="rId34" Type="http://schemas.openxmlformats.org/officeDocument/2006/relationships/hyperlink" Target="https://doi.org/10.1016/j.ijdrr.2024.104628"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i.org/10.1111/j.1541-0072.2010.00364.x" TargetMode="External"/><Relationship Id="rId25" Type="http://schemas.openxmlformats.org/officeDocument/2006/relationships/hyperlink" Target="https://doi.org/10.3390/app132212346" TargetMode="External"/><Relationship Id="rId33" Type="http://schemas.openxmlformats.org/officeDocument/2006/relationships/hyperlink" Target="https://www.huduser.gov/portal/publications/equity-cdbg-dr-flood-resilience-efforts-four-communities.html" TargetMode="External"/><Relationship Id="rId2" Type="http://schemas.openxmlformats.org/officeDocument/2006/relationships/styles" Target="styles.xml"/><Relationship Id="rId16" Type="http://schemas.openxmlformats.org/officeDocument/2006/relationships/hyperlink" Target="https://doi.org/10.7758/9781610448789" TargetMode="External"/><Relationship Id="rId20" Type="http://schemas.openxmlformats.org/officeDocument/2006/relationships/hyperlink" Target="https://doi.org/10.1093/pan/mps028" TargetMode="External"/><Relationship Id="rId29" Type="http://schemas.openxmlformats.org/officeDocument/2006/relationships/hyperlink" Target="https://drgr.hud.gov/public/index.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8653/v1/N19-1423" TargetMode="External"/><Relationship Id="rId32" Type="http://schemas.openxmlformats.org/officeDocument/2006/relationships/hyperlink" Target="https://www.huduser.gov/portal/publications/Housing-Recovery-and-CDBG-DR.html"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11/1540-6210.00322" TargetMode="External"/><Relationship Id="rId23" Type="http://schemas.openxmlformats.org/officeDocument/2006/relationships/hyperlink" Target="https://doi.org/10.48550/arXiv.1301.3781" TargetMode="External"/><Relationship Id="rId28" Type="http://schemas.openxmlformats.org/officeDocument/2006/relationships/hyperlink" Target="https://doi.org/10.1007/s10464-007-9156-6" TargetMode="External"/><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doi.org/10.1332/03055736y2024d000000046" TargetMode="External"/><Relationship Id="rId31" Type="http://schemas.openxmlformats.org/officeDocument/2006/relationships/hyperlink" Target="https://www.glo.texas.gov/disaster-recovery/grant-administration/grant-administration-reporting/hud-drgr-qpr-repor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25/9780520353497" TargetMode="External"/><Relationship Id="rId22" Type="http://schemas.openxmlformats.org/officeDocument/2006/relationships/hyperlink" Target="https://www.jmlr.org/papers/v3/blei03a.html" TargetMode="External"/><Relationship Id="rId27" Type="http://schemas.openxmlformats.org/officeDocument/2006/relationships/hyperlink" Target="https://doi.org/10.1515/9780804791403" TargetMode="External"/><Relationship Id="rId30" Type="http://schemas.openxmlformats.org/officeDocument/2006/relationships/hyperlink" Target="https://www.gao.gov/products/gao-23-105295" TargetMode="External"/><Relationship Id="rId35" Type="http://schemas.openxmlformats.org/officeDocument/2006/relationships/hyperlink" Target="https://doi.org/10.2307/1412159"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8296</Words>
  <Characters>57748</Characters>
  <Application>Microsoft Office Word</Application>
  <DocSecurity>0</DocSecurity>
  <Lines>1312</Lines>
  <Paragraphs>594</Paragraphs>
  <ScaleCrop>false</ScaleCrop>
  <Company/>
  <LinksUpToDate>false</LinksUpToDate>
  <CharactersWithSpaces>65450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Narrative Signals as Leading Indicators of Disaster Recovery Program Execution</dc:title>
  <dc:creator>Jesse R. Andrews; Ali Nejat; Kaifa Lu</dc:creator>
  <cp:keywords>disaster recovery, text as data, narrative modeling, program evaluation, SEM diagnostics</cp:keywords>
  <cp:lastModifiedBy>Jesse R. Andrews</cp:lastModifiedBy>
  <cp:revision>3</cp:revision>
  <dcterms:created xsi:type="dcterms:W3CDTF">2026-03-03T01:44:00Z</dcterms:created>
  <dcterms:modified xsi:type="dcterms:W3CDTF">2026-03-03T16:01:00Z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Disaster recovery programs generate rich streams of narrative reporting that remain largely untapped as monitoring instruments, leaving agencies reliant on financial indicators that reflect execution conditions only after the fact. Drawing on 442 quarterly disaster recovery reports spanning Texas grant portfolios from 2009 to 2025, we extract topically classified narrative signals and evaluate whether their prevalence anticipates program execution outcomes over one- and two-quarter horizons. We find that two substantively distinct signals — emphasizing homeowner assistance and roadway reconstruction, respectively — exhibit robust temporal persistence, with statistically stable directional associations that survive leave-one-unit deletion and multiplicity correction. However, this predictive structure is strongly conditioned by context: signal-outcome associations vary substantially across activity-composition strata and across the stages of the execution pipeline, from obligation through disbursement to final expenditure. Decomposing pooled from within-unit associations reveals that some aggregate patterns reflect cross-portfolio program composition rather than temporal dynamics within any given recovery program. These findings support integrating computational text analysis with structured financial monitoring, while cautioning that narrative indicators require explicit stratification and robustness discipline before they can serve as reliable early-warning diagnostics.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ossref">
    <vt:lpwstr/>
  </property>
  <property fmtid="{D5CDD505-2E9C-101B-9397-08002B2CF9AE}" pid="9" name="csl">
    <vt:lpwstr>csl/elsevier-vancouver.csl</vt:lpwstr>
  </property>
  <property fmtid="{D5CDD505-2E9C-101B-9397-08002B2CF9AE}" pid="10" name="date">
    <vt:lpwstr>2026-03-02</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jel-codes">
    <vt:lpwstr/>
  </property>
  <property fmtid="{D5CDD505-2E9C-101B-9397-08002B2CF9AE}" pid="15" name="knitr">
    <vt:lpwstr/>
  </property>
  <property fmtid="{D5CDD505-2E9C-101B-9397-08002B2CF9AE}" pid="16" name="labels">
    <vt:lpwstr/>
  </property>
  <property fmtid="{D5CDD505-2E9C-101B-9397-08002B2CF9AE}" pid="17" name="subtitle">
    <vt:lpwstr>Context-Dependent Evidence from Texas CDBG-DR Grant Portfolios, 2009–2025</vt:lpwstr>
  </property>
  <property fmtid="{D5CDD505-2E9C-101B-9397-08002B2CF9AE}" pid="18" name="template-partials">
    <vt:lpwstr/>
  </property>
  <property fmtid="{D5CDD505-2E9C-101B-9397-08002B2CF9AE}" pid="19" name="toc-title">
    <vt:lpwstr>Table of contents</vt:lpwstr>
  </property>
</Properties>
</file>