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B23" w:rsidRPr="002B7D4D" w:rsidRDefault="00972B23" w:rsidP="00972B23">
      <w:pPr>
        <w:pStyle w:val="Title"/>
        <w:rPr>
          <w:sz w:val="40"/>
        </w:rPr>
      </w:pPr>
      <w:r w:rsidRPr="002B7D4D">
        <w:rPr>
          <w:sz w:val="40"/>
        </w:rPr>
        <w:t>Molecular modeling of differential ERK1/2-ligand dynamic interactions and the development of ERK1/2 inhibitor resistance</w:t>
      </w:r>
    </w:p>
    <w:p w:rsidR="00A25FA6" w:rsidRDefault="00A25FA6" w:rsidP="00A25FA6">
      <w:pPr>
        <w:pStyle w:val="Title"/>
      </w:pPr>
    </w:p>
    <w:p w:rsidR="001D2A45" w:rsidRPr="00091F56" w:rsidRDefault="001D2A45" w:rsidP="00A25FA6">
      <w:pPr>
        <w:pStyle w:val="Title"/>
        <w:spacing w:line="480" w:lineRule="auto"/>
        <w:ind w:firstLine="720"/>
        <w:rPr>
          <w:rFonts w:ascii="Times New Roman" w:hAnsi="Times New Roman" w:cs="Times New Roman"/>
          <w:color w:val="auto"/>
          <w:sz w:val="36"/>
          <w:szCs w:val="36"/>
        </w:rPr>
      </w:pPr>
      <w:r w:rsidRPr="00091F56">
        <w:rPr>
          <w:rFonts w:ascii="Times New Roman" w:eastAsia="Times New Roman" w:hAnsi="Times New Roman" w:cs="Times New Roman"/>
          <w:caps w:val="0"/>
          <w:color w:val="000000"/>
          <w:sz w:val="24"/>
          <w:szCs w:val="24"/>
        </w:rPr>
        <w:t>The development of small molecule inhibitors for the ERK1 and ERK2 kinases is a highly active area of research, as these two isoforms are key drivers of cancer cell proliferation. However, drug resistance i</w:t>
      </w:r>
      <w:r w:rsidR="008010A1" w:rsidRPr="00091F56">
        <w:rPr>
          <w:rFonts w:ascii="Times New Roman" w:eastAsia="Times New Roman" w:hAnsi="Times New Roman" w:cs="Times New Roman"/>
          <w:caps w:val="0"/>
          <w:color w:val="000000"/>
          <w:sz w:val="24"/>
          <w:szCs w:val="24"/>
        </w:rPr>
        <w:t>s the “Achilles heel” of kinase</w:t>
      </w:r>
      <w:r w:rsidRPr="00091F56">
        <w:rPr>
          <w:rFonts w:ascii="Times New Roman" w:eastAsia="Times New Roman" w:hAnsi="Times New Roman" w:cs="Times New Roman"/>
          <w:caps w:val="0"/>
          <w:color w:val="000000"/>
          <w:sz w:val="24"/>
          <w:szCs w:val="24"/>
        </w:rPr>
        <w:t xml:space="preserve"> inhibitors. As members of signaling pathways that are critical to an array of cellular processes, kinase inhibition gives rise to strong selection pressure for drug resistance conferring mutations in patients.  Because ERK1 and ERK2 are highly similar in both sequence and structure, it is unclear what selection pressure differences occur at the ERK1/2 binding site, and whether this contributes to drug resistance events in certain patients. In particular, there has not been a thorough exploration of how preferentially certain molecules can bind to ERK1 or ERK2, and whether there are key structural and/or dynamic differences in their binding modes. Recently, we conducted a study that encompassed (</w:t>
      </w:r>
      <w:proofErr w:type="spellStart"/>
      <w:r w:rsidRPr="00091F56">
        <w:rPr>
          <w:rFonts w:ascii="Times New Roman" w:eastAsia="Times New Roman" w:hAnsi="Times New Roman" w:cs="Times New Roman"/>
          <w:caps w:val="0"/>
          <w:color w:val="000000"/>
          <w:sz w:val="24"/>
          <w:szCs w:val="24"/>
        </w:rPr>
        <w:t>i</w:t>
      </w:r>
      <w:proofErr w:type="spellEnd"/>
      <w:r w:rsidRPr="00091F56">
        <w:rPr>
          <w:rFonts w:ascii="Times New Roman" w:eastAsia="Times New Roman" w:hAnsi="Times New Roman" w:cs="Times New Roman"/>
          <w:caps w:val="0"/>
          <w:color w:val="000000"/>
          <w:sz w:val="24"/>
          <w:szCs w:val="24"/>
        </w:rPr>
        <w:t xml:space="preserve">) the structure-based docking of a series of inhibitors in the binding site of ERK2, (ii) the independent molecular dynamics (MD) simulations of each ERK2-inhibitor complex, and (iii) the computation of novel “MD descriptors” to characterize the dynamic non-covalent ERK2-inhibitor interactions. We discovered these MD descriptors could distinguish ERK2 binders from non-binders. In this project, we conduct this modeling workflow for a curated and refined set of small molecule inhibitors that have been tested against both ERK1 and ERK2 kinases. Our </w:t>
      </w:r>
      <w:proofErr w:type="spellStart"/>
      <w:r w:rsidRPr="00091F56">
        <w:rPr>
          <w:rFonts w:ascii="Times New Roman" w:eastAsia="Times New Roman" w:hAnsi="Times New Roman" w:cs="Times New Roman"/>
          <w:caps w:val="0"/>
          <w:color w:val="000000"/>
          <w:sz w:val="24"/>
          <w:szCs w:val="24"/>
        </w:rPr>
        <w:t>chemocentric</w:t>
      </w:r>
      <w:proofErr w:type="spellEnd"/>
      <w:r w:rsidRPr="00091F56">
        <w:rPr>
          <w:rFonts w:ascii="Times New Roman" w:eastAsia="Times New Roman" w:hAnsi="Times New Roman" w:cs="Times New Roman"/>
          <w:caps w:val="0"/>
          <w:color w:val="000000"/>
          <w:sz w:val="24"/>
          <w:szCs w:val="24"/>
        </w:rPr>
        <w:t xml:space="preserve"> analysis identifies significant differences between the dynamic intermolecular interactions of highly potent ERK2 inhibitors versus ERK1 inhibitors.  This analysis deepens the understanding of why certain inhibitors interact differently with these two isoforms. We identify residues where the selection pressure driving drug resistance may be different, and inform chemists of strategies to design new ERK inhibitors with greater efficacy. At last, our analysis of ERK-</w:t>
      </w:r>
      <w:r w:rsidRPr="00091F56">
        <w:rPr>
          <w:rFonts w:ascii="Times New Roman" w:eastAsia="Times New Roman" w:hAnsi="Times New Roman" w:cs="Times New Roman"/>
          <w:caps w:val="0"/>
          <w:color w:val="000000"/>
          <w:sz w:val="24"/>
          <w:szCs w:val="24"/>
        </w:rPr>
        <w:lastRenderedPageBreak/>
        <w:t>ligand dynamic interactions that confer specificity to ERK1, ERK2, or both will aide in the development of new chemical probes capable of more selective inhibition</w:t>
      </w:r>
    </w:p>
    <w:p w:rsidR="00511B1C" w:rsidRDefault="00511B1C" w:rsidP="00511B1C">
      <w:pPr>
        <w:pStyle w:val="Heading1"/>
      </w:pPr>
      <w:r>
        <w:t>Introduction</w:t>
      </w:r>
    </w:p>
    <w:p w:rsidR="00511B1C" w:rsidRPr="00511B1C" w:rsidRDefault="00511B1C" w:rsidP="00511B1C"/>
    <w:p w:rsidR="0046789B" w:rsidRDefault="001D2A45" w:rsidP="00511B1C">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Kinase inhibitors are the next</w:t>
      </w:r>
      <w:r w:rsidR="008B38B5">
        <w:rPr>
          <w:rFonts w:ascii="Times New Roman" w:eastAsia="Times New Roman" w:hAnsi="Times New Roman" w:cs="Times New Roman"/>
          <w:color w:val="000000"/>
          <w:sz w:val="24"/>
          <w:szCs w:val="24"/>
        </w:rPr>
        <w:t xml:space="preserve"> </w:t>
      </w:r>
      <w:r w:rsidR="00685392">
        <w:rPr>
          <w:rFonts w:ascii="Times New Roman" w:eastAsia="Times New Roman" w:hAnsi="Times New Roman" w:cs="Times New Roman"/>
          <w:color w:val="000000"/>
          <w:sz w:val="24"/>
          <w:szCs w:val="24"/>
        </w:rPr>
        <w:t>generation</w:t>
      </w:r>
      <w:r w:rsidR="00342141">
        <w:rPr>
          <w:rFonts w:ascii="Times New Roman" w:eastAsia="Times New Roman" w:hAnsi="Times New Roman" w:cs="Times New Roman"/>
          <w:color w:val="000000"/>
          <w:sz w:val="24"/>
          <w:szCs w:val="24"/>
        </w:rPr>
        <w:t xml:space="preserve"> of </w:t>
      </w:r>
      <w:r w:rsidR="00685392">
        <w:rPr>
          <w:rFonts w:ascii="Times New Roman" w:eastAsia="Times New Roman" w:hAnsi="Times New Roman" w:cs="Times New Roman"/>
          <w:color w:val="000000"/>
          <w:sz w:val="24"/>
          <w:szCs w:val="24"/>
        </w:rPr>
        <w:t>cancer drugs</w:t>
      </w:r>
      <w:r w:rsidR="0046789B" w:rsidRPr="0046789B">
        <w:rPr>
          <w:rFonts w:ascii="Times New Roman" w:eastAsia="Times New Roman" w:hAnsi="Times New Roman" w:cs="Times New Roman"/>
          <w:color w:val="000000"/>
          <w:sz w:val="24"/>
          <w:szCs w:val="24"/>
        </w:rPr>
        <w:t xml:space="preserve">. </w:t>
      </w:r>
      <w:r w:rsidRPr="001D2A45">
        <w:rPr>
          <w:rFonts w:ascii="Times New Roman" w:eastAsia="Times New Roman" w:hAnsi="Times New Roman" w:cs="Times New Roman"/>
          <w:sz w:val="24"/>
          <w:szCs w:val="24"/>
          <w:lang w:eastAsia="ru-RU"/>
        </w:rPr>
        <w:t>With tens of compounds already on the market and even more currently in clinical trials,</w:t>
      </w:r>
      <w:r w:rsidRPr="001D2A45">
        <w:rPr>
          <w:rFonts w:ascii="Times New Roman" w:eastAsia="Times New Roman" w:hAnsi="Times New Roman" w:cs="Times New Roman"/>
          <w:sz w:val="24"/>
          <w:szCs w:val="24"/>
          <w:lang w:eastAsia="ru-RU"/>
        </w:rPr>
        <w:fldChar w:fldCharType="begin" w:fldLock="1"/>
      </w:r>
      <w:r w:rsidR="008010A1">
        <w:rPr>
          <w:rFonts w:ascii="Times New Roman" w:eastAsia="Times New Roman" w:hAnsi="Times New Roman" w:cs="Times New Roman"/>
          <w:sz w:val="24"/>
          <w:szCs w:val="24"/>
          <w:lang w:eastAsia="ru-RU"/>
        </w:rPr>
        <w:instrText>ADDIN CSL_CITATION { "citationItems" : [ { "id" : "ITEM-1", "itemData" : { "DOI" : "10.1016/j.drudis.2015.07.008", "ISSN" : "13596446", "abstract" : "Small-molecule kinase inhibitors (SMKIs), 28 of which are approved by the US Food and Drug Administration (FDA), have been actively pursued as promising targeted therapeutics. Here, we assess the key structural and physicochemical properties, target selectivity and mechanism of function, and therapeutic indications of these approved inhibitors. Our analysis showed that &gt;30% of approved SMKIs have a molecule weight (MW) exceeding 500 and all have a total ring count of between three and five. The assumption that type II inhibitors tend to be more selective than type I inhibitors has been proved to be unreliable. Although previous SMKI research was concentrated on tyrosine kinase inhibitors for cancer treatment, recent progress indicates diversification of SMKI research in terms of new targets, mechanistic types, and therapeutic indications.", "author" : [ { "dropping-particle" : "", "family" : "Wu", "given" : "Peng", "non-dropping-particle" : "", "parse-names" : false, "suffix" : "" }, { "dropping-particle" : "", "family" : "Nielsen", "given" : "Thomas E.", "non-dropping-particle" : "", "parse-names" : false, "suffix" : "" }, { "dropping-particle" : "", "family" : "Clausen", "given" : "Mads H.", "non-dropping-particle" : "", "parse-names" : false, "suffix" : "" } ], "container-title" : "Drug Discovery Today", "id" : "ITEM-1", "issue" : "1", "issued" : { "date-parts" : [ [ "2016" ] ] }, "page" : "5-10", "title" : "Small-molecule kinase inhibitors: an analysis of FDA-approved drugs", "type" : "article-journal", "volume" : "21" }, "uris" : [ "http://www.mendeley.com/documents/?uuid=13bc8b2e-73a9-3c84-b6f8-32a76dd1e8e0" ] } ], "mendeley" : { "formattedCitation" : "&lt;sup&gt;1&lt;/sup&gt;", "plainTextFormattedCitation" : "1", "previouslyFormattedCitation" : "&lt;sup&gt;1&lt;/sup&gt;" }, "properties" : { "noteIndex" : 0 }, "schema" : "https://github.com/citation-style-language/schema/raw/master/csl-citation.json" }</w:instrText>
      </w:r>
      <w:r w:rsidRPr="001D2A45">
        <w:rPr>
          <w:rFonts w:ascii="Times New Roman" w:eastAsia="Times New Roman" w:hAnsi="Times New Roman" w:cs="Times New Roman"/>
          <w:sz w:val="24"/>
          <w:szCs w:val="24"/>
          <w:lang w:eastAsia="ru-RU"/>
        </w:rPr>
        <w:fldChar w:fldCharType="separate"/>
      </w:r>
      <w:r w:rsidR="002272BC" w:rsidRPr="002272BC">
        <w:rPr>
          <w:rFonts w:ascii="Times New Roman" w:eastAsia="Times New Roman" w:hAnsi="Times New Roman" w:cs="Times New Roman"/>
          <w:noProof/>
          <w:sz w:val="24"/>
          <w:szCs w:val="24"/>
          <w:vertAlign w:val="superscript"/>
          <w:lang w:eastAsia="ru-RU"/>
        </w:rPr>
        <w:t>1</w:t>
      </w:r>
      <w:r w:rsidRPr="001D2A45">
        <w:rPr>
          <w:rFonts w:ascii="Times New Roman" w:eastAsia="Times New Roman" w:hAnsi="Times New Roman" w:cs="Times New Roman"/>
          <w:sz w:val="24"/>
          <w:szCs w:val="24"/>
          <w:lang w:eastAsia="ru-RU"/>
        </w:rPr>
        <w:fldChar w:fldCharType="end"/>
      </w:r>
      <w:r w:rsidRPr="001D2A45">
        <w:rPr>
          <w:rFonts w:ascii="Times New Roman" w:eastAsia="Times New Roman" w:hAnsi="Times New Roman" w:cs="Times New Roman"/>
          <w:sz w:val="24"/>
          <w:szCs w:val="24"/>
          <w:lang w:eastAsia="ru-RU"/>
        </w:rPr>
        <w:t xml:space="preserve"> the research community is on the path to developing a large collection of potent kinase-mediated drugs and chemical probes. </w:t>
      </w:r>
      <w:r w:rsidR="00672AD8">
        <w:rPr>
          <w:rFonts w:ascii="Times New Roman" w:eastAsia="Times New Roman" w:hAnsi="Times New Roman" w:cs="Times New Roman"/>
          <w:color w:val="000000"/>
          <w:sz w:val="24"/>
          <w:szCs w:val="24"/>
        </w:rPr>
        <w:t xml:space="preserve">However, there are two </w:t>
      </w:r>
      <w:r w:rsidR="0046789B" w:rsidRPr="00511B1C">
        <w:rPr>
          <w:rFonts w:ascii="Times New Roman" w:eastAsia="Times New Roman" w:hAnsi="Times New Roman" w:cs="Times New Roman"/>
          <w:color w:val="000000"/>
          <w:sz w:val="24"/>
          <w:szCs w:val="24"/>
        </w:rPr>
        <w:t>main limitations to th</w:t>
      </w:r>
      <w:r w:rsidR="0046789B">
        <w:rPr>
          <w:rFonts w:ascii="Times New Roman" w:eastAsia="Times New Roman" w:hAnsi="Times New Roman" w:cs="Times New Roman"/>
          <w:color w:val="000000"/>
          <w:sz w:val="24"/>
          <w:szCs w:val="24"/>
        </w:rPr>
        <w:t>e efficac</w:t>
      </w:r>
      <w:r w:rsidR="00672AD8">
        <w:rPr>
          <w:rFonts w:ascii="Times New Roman" w:eastAsia="Times New Roman" w:hAnsi="Times New Roman" w:cs="Times New Roman"/>
          <w:color w:val="000000"/>
          <w:sz w:val="24"/>
          <w:szCs w:val="24"/>
        </w:rPr>
        <w:t xml:space="preserve">y of kinase inhibitors: drug resistance acquired by patients and </w:t>
      </w:r>
      <w:r w:rsidR="0046789B" w:rsidRPr="00511B1C">
        <w:rPr>
          <w:rFonts w:ascii="Times New Roman" w:eastAsia="Times New Roman" w:hAnsi="Times New Roman" w:cs="Times New Roman"/>
          <w:color w:val="000000"/>
          <w:sz w:val="24"/>
          <w:szCs w:val="24"/>
        </w:rPr>
        <w:t>side effects du</w:t>
      </w:r>
      <w:r w:rsidR="0046789B">
        <w:rPr>
          <w:rFonts w:ascii="Times New Roman" w:eastAsia="Times New Roman" w:hAnsi="Times New Roman" w:cs="Times New Roman"/>
          <w:color w:val="000000"/>
          <w:sz w:val="24"/>
          <w:szCs w:val="24"/>
        </w:rPr>
        <w:t>e to lack of kinase selectivity.</w:t>
      </w:r>
      <w:r w:rsidR="001A4ED2">
        <w:rPr>
          <w:rFonts w:ascii="Times New Roman" w:eastAsia="Times New Roman" w:hAnsi="Times New Roman" w:cs="Times New Roman"/>
          <w:color w:val="000000"/>
          <w:sz w:val="24"/>
          <w:szCs w:val="24"/>
        </w:rPr>
        <w:t xml:space="preserve"> </w:t>
      </w:r>
      <w:r w:rsidR="00672AD8">
        <w:rPr>
          <w:rFonts w:ascii="Times New Roman" w:eastAsia="Times New Roman" w:hAnsi="Times New Roman" w:cs="Times New Roman"/>
          <w:color w:val="000000"/>
          <w:sz w:val="24"/>
          <w:szCs w:val="24"/>
        </w:rPr>
        <w:t>Usually, drug resistance is overcome by targeting multiple kinases</w:t>
      </w:r>
      <w:r w:rsidR="002272BC">
        <w:rPr>
          <w:rFonts w:ascii="Times New Roman" w:eastAsia="Times New Roman" w:hAnsi="Times New Roman" w:cs="Times New Roman"/>
          <w:color w:val="000000"/>
          <w:sz w:val="24"/>
          <w:szCs w:val="24"/>
        </w:rPr>
        <w:fldChar w:fldCharType="begin" w:fldLock="1"/>
      </w:r>
      <w:r w:rsidR="008010A1">
        <w:rPr>
          <w:rFonts w:ascii="Times New Roman" w:eastAsia="Times New Roman" w:hAnsi="Times New Roman" w:cs="Times New Roman"/>
          <w:color w:val="000000"/>
          <w:sz w:val="24"/>
          <w:szCs w:val="24"/>
        </w:rPr>
        <w:instrText>ADDIN CSL_CITATION { "citationItems" : [ { "id" : "ITEM-1", "itemData" : { "DOI" : "10.1038/nrc2787", "ISSN" : "1474-175X", "author" : [ { "dropping-particle" : "", "family" : "Knight", "given" : "Zachary A", "non-dropping-particle" : "", "parse-names" : false, "suffix" : "" }, { "dropping-particle" : "", "family" : "Lin", "given" : "Henry", "non-dropping-particle" : "", "parse-names" : false, "suffix" : "" }, { "dropping-particle" : "", "family" : "Shokat", "given" : "Kevan M", "non-dropping-particle" : "", "parse-names" : false, "suffix" : "" } ], "container-title" : "Nature Reviews Cancer", "id" : "ITEM-1", "issue" : "2", "issued" : { "date-parts" : [ [ "2010", "2" ] ] }, "page" : "130-137", "title" : "Targeting the cancer kinome through polypharmacology", "type" : "article-journal", "volume" : "10" }, "uris" : [ "http://www.mendeley.com/documents/?uuid=ca6127c9-98bf-393c-95cd-12d520efbd6f" ] } ], "mendeley" : { "formattedCitation" : "&lt;sup&gt;2&lt;/sup&gt;", "plainTextFormattedCitation" : "2", "previouslyFormattedCitation" : "&lt;sup&gt;2&lt;/sup&gt;" }, "properties" : { "noteIndex" : 0 }, "schema" : "https://github.com/citation-style-language/schema/raw/master/csl-citation.json" }</w:instrText>
      </w:r>
      <w:r w:rsidR="002272BC">
        <w:rPr>
          <w:rFonts w:ascii="Times New Roman" w:eastAsia="Times New Roman" w:hAnsi="Times New Roman" w:cs="Times New Roman"/>
          <w:color w:val="000000"/>
          <w:sz w:val="24"/>
          <w:szCs w:val="24"/>
        </w:rPr>
        <w:fldChar w:fldCharType="separate"/>
      </w:r>
      <w:r w:rsidR="002272BC" w:rsidRPr="002272BC">
        <w:rPr>
          <w:rFonts w:ascii="Times New Roman" w:eastAsia="Times New Roman" w:hAnsi="Times New Roman" w:cs="Times New Roman"/>
          <w:noProof/>
          <w:color w:val="000000"/>
          <w:sz w:val="24"/>
          <w:szCs w:val="24"/>
          <w:vertAlign w:val="superscript"/>
        </w:rPr>
        <w:t>2</w:t>
      </w:r>
      <w:r w:rsidR="002272BC">
        <w:rPr>
          <w:rFonts w:ascii="Times New Roman" w:eastAsia="Times New Roman" w:hAnsi="Times New Roman" w:cs="Times New Roman"/>
          <w:color w:val="000000"/>
          <w:sz w:val="24"/>
          <w:szCs w:val="24"/>
        </w:rPr>
        <w:fldChar w:fldCharType="end"/>
      </w:r>
      <w:r w:rsidR="008010A1">
        <w:rPr>
          <w:rFonts w:ascii="Times New Roman" w:eastAsia="Times New Roman" w:hAnsi="Times New Roman" w:cs="Times New Roman"/>
          <w:color w:val="000000"/>
          <w:sz w:val="24"/>
          <w:szCs w:val="24"/>
        </w:rPr>
        <w:t xml:space="preserve">, either with inhibitors that bind </w:t>
      </w:r>
      <w:r w:rsidR="00672AD8">
        <w:rPr>
          <w:rFonts w:ascii="Times New Roman" w:eastAsia="Times New Roman" w:hAnsi="Times New Roman" w:cs="Times New Roman"/>
          <w:color w:val="000000"/>
          <w:sz w:val="24"/>
          <w:szCs w:val="24"/>
        </w:rPr>
        <w:t>multiple targets</w:t>
      </w:r>
      <w:r w:rsidR="008010A1">
        <w:rPr>
          <w:rFonts w:ascii="Times New Roman" w:eastAsia="Times New Roman" w:hAnsi="Times New Roman" w:cs="Times New Roman"/>
          <w:color w:val="000000"/>
          <w:sz w:val="24"/>
          <w:szCs w:val="24"/>
        </w:rPr>
        <w:fldChar w:fldCharType="begin" w:fldLock="1"/>
      </w:r>
      <w:r w:rsidR="008010A1">
        <w:rPr>
          <w:rFonts w:ascii="Times New Roman" w:eastAsia="Times New Roman" w:hAnsi="Times New Roman" w:cs="Times New Roman"/>
          <w:color w:val="000000"/>
          <w:sz w:val="24"/>
          <w:szCs w:val="24"/>
        </w:rPr>
        <w:instrText>ADDIN CSL_CITATION { "citationItems" : [ { "id" : "ITEM-1", "itemData" : { "DOI" : "10.1038/nchembio.117", "ISSN" : "1552-4450", "PMID" : "18849971", "abstract" : "The clinical success of multitargeted kinase inhibitors has stimulated efforts to identify promiscuous drugs with optimal selectivity profiles. It remains unclear to what extent such drugs can be rationally designed, particularly for combinations of targets that are structurally divergent. Here we report the systematic discovery of molecules that potently inhibit both tyrosine kinases and phosphatidylinositol-3-OH kinases, two protein families that are among the most intensely pursued cancer drug targets. Through iterative chemical synthesis, X-ray crystallography and kinome-level biochemical profiling, we identified compounds that inhibit a spectrum of new target combinations in these two families. Crystal structures revealed that the dual selectivity of these molecules is controlled by a hydrophobic pocket conserved in both enzyme classes and accessible through a rotatable bond in the drug skeleton. We show that one compound, PP121, blocks the proliferation of tumor cells by direct inhibition of oncogenic tyrosine kinases and phosphatidylinositol-3-OH kinases. These molecules demonstrate the feasibility of accessing a chemical space that intersects two families of oncogenes.", "author" : [ { "dropping-particle" : "", "family" : "Apsel", "given" : "Beth", "non-dropping-particle" : "", "parse-names" : false, "suffix" : "" }, { "dropping-particle" : "", "family" : "Blair", "given" : "Jimmy A", "non-dropping-particle" : "", "parse-names" : false, "suffix" : "" }, { "dropping-particle" : "", "family" : "Gonzalez", "given" : "Beatriz", "non-dropping-particle" : "", "parse-names" : false, "suffix" : "" }, { "dropping-particle" : "", "family" : "Nazif", "given" : "Tamim M", "non-dropping-particle" : "", "parse-names" : false, "suffix" : "" }, { "dropping-particle" : "", "family" : "Feldman", "given" : "Morri E", "non-dropping-particle" : "", "parse-names" : false, "suffix" : "" }, { "dropping-particle" : "", "family" : "Aizenstein", "given" : "Brian", "non-dropping-particle" : "", "parse-names" : false, "suffix" : "" }, { "dropping-particle" : "", "family" : "Hoffman", "given" : "Randy", "non-dropping-particle" : "", "parse-names" : false, "suffix" : "" }, { "dropping-particle" : "", "family" : "Williams", "given" : "Roger L", "non-dropping-particle" : "", "parse-names" : false, "suffix" : "" }, { "dropping-particle" : "", "family" : "Shokat", "given" : "Kevan M", "non-dropping-particle" : "", "parse-names" : false, "suffix" : "" }, { "dropping-particle" : "", "family" : "Knight", "given" : "Zachary A", "non-dropping-particle" : "", "parse-names" : false, "suffix" : "" } ], "container-title" : "Nature Chemical Biology", "id" : "ITEM-1", "issue" : "11", "issued" : { "date-parts" : [ [ "2008", "11", "12" ] ] }, "page" : "691-699", "title" : "Targeted polypharmacology: discovery of dual inhibitors of tyrosine and phosphoinositide kinases", "type" : "article-journal", "volume" : "4" }, "uris" : [ "http://www.mendeley.com/documents/?uuid=a70b5ed4-7a9d-3bfa-9327-d993960b3de6" ] } ], "mendeley" : { "formattedCitation" : "&lt;sup&gt;3&lt;/sup&gt;", "plainTextFormattedCitation" : "3", "previouslyFormattedCitation" : "&lt;sup&gt;3&lt;/sup&gt;" }, "properties" : { "noteIndex" : 0 }, "schema" : "https://github.com/citation-style-language/schema/raw/master/csl-citation.json" }</w:instrText>
      </w:r>
      <w:r w:rsidR="008010A1">
        <w:rPr>
          <w:rFonts w:ascii="Times New Roman" w:eastAsia="Times New Roman" w:hAnsi="Times New Roman" w:cs="Times New Roman"/>
          <w:color w:val="000000"/>
          <w:sz w:val="24"/>
          <w:szCs w:val="24"/>
        </w:rPr>
        <w:fldChar w:fldCharType="separate"/>
      </w:r>
      <w:r w:rsidR="008010A1" w:rsidRPr="008010A1">
        <w:rPr>
          <w:rFonts w:ascii="Times New Roman" w:eastAsia="Times New Roman" w:hAnsi="Times New Roman" w:cs="Times New Roman"/>
          <w:noProof/>
          <w:color w:val="000000"/>
          <w:sz w:val="24"/>
          <w:szCs w:val="24"/>
          <w:vertAlign w:val="superscript"/>
        </w:rPr>
        <w:t>3</w:t>
      </w:r>
      <w:r w:rsidR="008010A1">
        <w:rPr>
          <w:rFonts w:ascii="Times New Roman" w:eastAsia="Times New Roman" w:hAnsi="Times New Roman" w:cs="Times New Roman"/>
          <w:color w:val="000000"/>
          <w:sz w:val="24"/>
          <w:szCs w:val="24"/>
        </w:rPr>
        <w:fldChar w:fldCharType="end"/>
      </w:r>
      <w:r w:rsidR="008010A1">
        <w:rPr>
          <w:rFonts w:ascii="Times New Roman" w:eastAsia="Times New Roman" w:hAnsi="Times New Roman" w:cs="Times New Roman"/>
          <w:color w:val="000000"/>
          <w:sz w:val="24"/>
          <w:szCs w:val="24"/>
        </w:rPr>
        <w:t xml:space="preserve"> or cocktails of highly specific inhibitors</w:t>
      </w:r>
      <w:r w:rsidR="008010A1">
        <w:rPr>
          <w:rFonts w:ascii="Times New Roman" w:eastAsia="Times New Roman" w:hAnsi="Times New Roman" w:cs="Times New Roman"/>
          <w:color w:val="000000"/>
          <w:sz w:val="24"/>
          <w:szCs w:val="24"/>
        </w:rPr>
        <w:fldChar w:fldCharType="begin" w:fldLock="1"/>
      </w:r>
      <w:r w:rsidR="00736A24">
        <w:rPr>
          <w:rFonts w:ascii="Times New Roman" w:eastAsia="Times New Roman" w:hAnsi="Times New Roman" w:cs="Times New Roman"/>
          <w:color w:val="000000"/>
          <w:sz w:val="24"/>
          <w:szCs w:val="24"/>
        </w:rPr>
        <w:instrText>ADDIN CSL_CITATION { "citationItems" : [ { "id" : "ITEM-1", "itemData" : { "DOI" : "10.1038/449993a", "ISSN" : "0028-0836", "abstract" : "A major hurdle in treating cancer is that tumour cells acquire drug resistance. To overcome this problem, one strategy might be to fine-tune the right mixture of drugs that target specific molecules.", "author" : [ { "dropping-particle" : "", "family" : "Sawyers", "given" : "Charles L.", "non-dropping-particle" : "", "parse-names" : false, "suffix" : "" } ], "container-title" : "Nature", "id" : "ITEM-1", "issue" : "7165", "issued" : { "date-parts" : [ [ "2007", "10", "25" ] ] }, "page" : "993-996", "publisher" : "Nature Publishing Group", "title" : "Cancer: Mixing cocktails", "type" : "article-journal", "volume" : "449" }, "uris" : [ "http://www.mendeley.com/documents/?uuid=6017f233-36fb-3393-bd9c-9ec2b3ec06de" ] } ], "mendeley" : { "formattedCitation" : "&lt;sup&gt;4&lt;/sup&gt;", "plainTextFormattedCitation" : "4", "previouslyFormattedCitation" : "&lt;sup&gt;4&lt;/sup&gt;" }, "properties" : { "noteIndex" : 0 }, "schema" : "https://github.com/citation-style-language/schema/raw/master/csl-citation.json" }</w:instrText>
      </w:r>
      <w:r w:rsidR="008010A1">
        <w:rPr>
          <w:rFonts w:ascii="Times New Roman" w:eastAsia="Times New Roman" w:hAnsi="Times New Roman" w:cs="Times New Roman"/>
          <w:color w:val="000000"/>
          <w:sz w:val="24"/>
          <w:szCs w:val="24"/>
        </w:rPr>
        <w:fldChar w:fldCharType="separate"/>
      </w:r>
      <w:r w:rsidR="008010A1" w:rsidRPr="008010A1">
        <w:rPr>
          <w:rFonts w:ascii="Times New Roman" w:eastAsia="Times New Roman" w:hAnsi="Times New Roman" w:cs="Times New Roman"/>
          <w:noProof/>
          <w:color w:val="000000"/>
          <w:sz w:val="24"/>
          <w:szCs w:val="24"/>
          <w:vertAlign w:val="superscript"/>
        </w:rPr>
        <w:t>4</w:t>
      </w:r>
      <w:r w:rsidR="008010A1">
        <w:rPr>
          <w:rFonts w:ascii="Times New Roman" w:eastAsia="Times New Roman" w:hAnsi="Times New Roman" w:cs="Times New Roman"/>
          <w:color w:val="000000"/>
          <w:sz w:val="24"/>
          <w:szCs w:val="24"/>
        </w:rPr>
        <w:fldChar w:fldCharType="end"/>
      </w:r>
      <w:r w:rsidR="00736A24">
        <w:rPr>
          <w:rFonts w:ascii="Times New Roman" w:eastAsia="Times New Roman" w:hAnsi="Times New Roman" w:cs="Times New Roman"/>
          <w:color w:val="000000"/>
          <w:sz w:val="24"/>
          <w:szCs w:val="24"/>
        </w:rPr>
        <w:t>.  Thus, u</w:t>
      </w:r>
      <w:r w:rsidR="008010A1">
        <w:rPr>
          <w:rFonts w:ascii="Times New Roman" w:eastAsia="Times New Roman" w:hAnsi="Times New Roman" w:cs="Times New Roman"/>
          <w:color w:val="000000"/>
          <w:sz w:val="24"/>
          <w:szCs w:val="24"/>
        </w:rPr>
        <w:t xml:space="preserve">nderstanding the </w:t>
      </w:r>
      <w:proofErr w:type="spellStart"/>
      <w:r w:rsidR="008010A1">
        <w:rPr>
          <w:rFonts w:ascii="Times New Roman" w:eastAsia="Times New Roman" w:hAnsi="Times New Roman" w:cs="Times New Roman"/>
          <w:color w:val="000000"/>
          <w:sz w:val="24"/>
          <w:szCs w:val="24"/>
        </w:rPr>
        <w:t>polypharmacology</w:t>
      </w:r>
      <w:proofErr w:type="spellEnd"/>
      <w:r w:rsidR="008010A1">
        <w:rPr>
          <w:rFonts w:ascii="Times New Roman" w:eastAsia="Times New Roman" w:hAnsi="Times New Roman" w:cs="Times New Roman"/>
          <w:color w:val="000000"/>
          <w:sz w:val="24"/>
          <w:szCs w:val="24"/>
        </w:rPr>
        <w:t xml:space="preserve"> of kinase inhibitors has become a critical task for the cancer research com</w:t>
      </w:r>
      <w:r w:rsidR="00C54746">
        <w:rPr>
          <w:rFonts w:ascii="Times New Roman" w:eastAsia="Times New Roman" w:hAnsi="Times New Roman" w:cs="Times New Roman"/>
          <w:color w:val="000000"/>
          <w:sz w:val="24"/>
          <w:szCs w:val="24"/>
        </w:rPr>
        <w:t>munity</w:t>
      </w:r>
      <w:r w:rsidR="00736A24">
        <w:rPr>
          <w:rFonts w:ascii="Times New Roman" w:eastAsia="Times New Roman" w:hAnsi="Times New Roman" w:cs="Times New Roman"/>
          <w:color w:val="000000"/>
          <w:sz w:val="24"/>
          <w:szCs w:val="24"/>
        </w:rPr>
        <w:fldChar w:fldCharType="begin" w:fldLock="1"/>
      </w:r>
      <w:r w:rsidR="00736A24">
        <w:rPr>
          <w:rFonts w:ascii="Times New Roman" w:eastAsia="Times New Roman" w:hAnsi="Times New Roman" w:cs="Times New Roman"/>
          <w:color w:val="000000"/>
          <w:sz w:val="24"/>
          <w:szCs w:val="24"/>
        </w:rPr>
        <w:instrText>ADDIN CSL_CITATION { "citationItems" : [ { "id" : "ITEM-1", "itemData" : { "DOI" : "10.1038/nrc2787", "ISSN" : "1474-175X", "author" : [ { "dropping-particle" : "", "family" : "Knight", "given" : "Zachary A", "non-dropping-particle" : "", "parse-names" : false, "suffix" : "" }, { "dropping-particle" : "", "family" : "Lin", "given" : "Henry", "non-dropping-particle" : "", "parse-names" : false, "suffix" : "" }, { "dropping-particle" : "", "family" : "Shokat", "given" : "Kevan M", "non-dropping-particle" : "", "parse-names" : false, "suffix" : "" } ], "container-title" : "Nature Reviews Cancer", "id" : "ITEM-1", "issue" : "2", "issued" : { "date-parts" : [ [ "2010", "2" ] ] }, "page" : "130-137", "title" : "Targeting the cancer kinome through polypharmacology", "type" : "article-journal", "volume" : "10" }, "uris" : [ "http://www.mendeley.com/documents/?uuid=ca6127c9-98bf-393c-95cd-12d520efbd6f" ] } ], "mendeley" : { "formattedCitation" : "&lt;sup&gt;2&lt;/sup&gt;", "plainTextFormattedCitation" : "2", "previouslyFormattedCitation" : "&lt;sup&gt;2&lt;/sup&gt;" }, "properties" : { "noteIndex" : 0 }, "schema" : "https://github.com/citation-style-language/schema/raw/master/csl-citation.json" }</w:instrText>
      </w:r>
      <w:r w:rsidR="00736A24">
        <w:rPr>
          <w:rFonts w:ascii="Times New Roman" w:eastAsia="Times New Roman" w:hAnsi="Times New Roman" w:cs="Times New Roman"/>
          <w:color w:val="000000"/>
          <w:sz w:val="24"/>
          <w:szCs w:val="24"/>
        </w:rPr>
        <w:fldChar w:fldCharType="separate"/>
      </w:r>
      <w:r w:rsidR="00736A24" w:rsidRPr="00736A24">
        <w:rPr>
          <w:rFonts w:ascii="Times New Roman" w:eastAsia="Times New Roman" w:hAnsi="Times New Roman" w:cs="Times New Roman"/>
          <w:noProof/>
          <w:color w:val="000000"/>
          <w:sz w:val="24"/>
          <w:szCs w:val="24"/>
          <w:vertAlign w:val="superscript"/>
        </w:rPr>
        <w:t>2</w:t>
      </w:r>
      <w:r w:rsidR="00736A24">
        <w:rPr>
          <w:rFonts w:ascii="Times New Roman" w:eastAsia="Times New Roman" w:hAnsi="Times New Roman" w:cs="Times New Roman"/>
          <w:color w:val="000000"/>
          <w:sz w:val="24"/>
          <w:szCs w:val="24"/>
        </w:rPr>
        <w:fldChar w:fldCharType="end"/>
      </w:r>
      <w:r w:rsidR="00736A24">
        <w:rPr>
          <w:rFonts w:ascii="Times New Roman" w:eastAsia="Times New Roman" w:hAnsi="Times New Roman" w:cs="Times New Roman"/>
          <w:color w:val="000000"/>
          <w:sz w:val="24"/>
          <w:szCs w:val="24"/>
        </w:rPr>
        <w:t xml:space="preserve">.   However, the sheer number of kinases has made understanding the structure activity relationship (SAR) for every </w:t>
      </w:r>
      <w:r w:rsidR="00C54746">
        <w:rPr>
          <w:rFonts w:ascii="Times New Roman" w:eastAsia="Times New Roman" w:hAnsi="Times New Roman" w:cs="Times New Roman"/>
          <w:color w:val="000000"/>
          <w:sz w:val="24"/>
          <w:szCs w:val="24"/>
        </w:rPr>
        <w:t xml:space="preserve">possible </w:t>
      </w:r>
      <w:proofErr w:type="spellStart"/>
      <w:r w:rsidR="00736A24">
        <w:rPr>
          <w:rFonts w:ascii="Times New Roman" w:eastAsia="Times New Roman" w:hAnsi="Times New Roman" w:cs="Times New Roman"/>
          <w:color w:val="000000"/>
          <w:sz w:val="24"/>
          <w:szCs w:val="24"/>
        </w:rPr>
        <w:t>polypharmacological</w:t>
      </w:r>
      <w:proofErr w:type="spellEnd"/>
      <w:r w:rsidR="00736A24">
        <w:rPr>
          <w:rFonts w:ascii="Times New Roman" w:eastAsia="Times New Roman" w:hAnsi="Times New Roman" w:cs="Times New Roman"/>
          <w:color w:val="000000"/>
          <w:sz w:val="24"/>
          <w:szCs w:val="24"/>
        </w:rPr>
        <w:t xml:space="preserve"> profile a daunting task. </w:t>
      </w:r>
      <w:r w:rsidR="001A4ED2">
        <w:rPr>
          <w:rFonts w:ascii="Times New Roman" w:eastAsia="Times New Roman" w:hAnsi="Times New Roman" w:cs="Times New Roman"/>
          <w:color w:val="000000"/>
          <w:sz w:val="24"/>
          <w:szCs w:val="24"/>
        </w:rPr>
        <w:t xml:space="preserve">The kinases super family is the largest family of </w:t>
      </w:r>
      <w:proofErr w:type="spellStart"/>
      <w:r w:rsidR="001A4ED2">
        <w:rPr>
          <w:rFonts w:ascii="Times New Roman" w:eastAsia="Times New Roman" w:hAnsi="Times New Roman" w:cs="Times New Roman"/>
          <w:color w:val="000000"/>
          <w:sz w:val="24"/>
          <w:szCs w:val="24"/>
        </w:rPr>
        <w:t>druggable</w:t>
      </w:r>
      <w:proofErr w:type="spellEnd"/>
      <w:r w:rsidR="001A4ED2">
        <w:rPr>
          <w:rFonts w:ascii="Times New Roman" w:eastAsia="Times New Roman" w:hAnsi="Times New Roman" w:cs="Times New Roman"/>
          <w:color w:val="000000"/>
          <w:sz w:val="24"/>
          <w:szCs w:val="24"/>
        </w:rPr>
        <w:t xml:space="preserve"> genes that bind a common substrate (ATP)</w:t>
      </w:r>
      <w:r w:rsidR="00C54746">
        <w:rPr>
          <w:rFonts w:ascii="Times New Roman" w:eastAsia="Times New Roman" w:hAnsi="Times New Roman" w:cs="Times New Roman"/>
          <w:color w:val="000000"/>
          <w:sz w:val="24"/>
          <w:szCs w:val="24"/>
        </w:rPr>
        <w:t xml:space="preserve">, so </w:t>
      </w:r>
      <w:r w:rsidR="002272BC">
        <w:rPr>
          <w:rFonts w:ascii="Times New Roman" w:eastAsia="Times New Roman" w:hAnsi="Times New Roman" w:cs="Times New Roman"/>
          <w:color w:val="000000"/>
          <w:sz w:val="24"/>
          <w:szCs w:val="24"/>
        </w:rPr>
        <w:t>kinase</w:t>
      </w:r>
      <w:r w:rsidR="00685392">
        <w:rPr>
          <w:rFonts w:ascii="Times New Roman" w:eastAsia="Times New Roman" w:hAnsi="Times New Roman" w:cs="Times New Roman"/>
          <w:color w:val="000000"/>
          <w:sz w:val="24"/>
          <w:szCs w:val="24"/>
        </w:rPr>
        <w:t xml:space="preserve"> inhibitors have a high propensity for target promiscuity.</w:t>
      </w:r>
      <w:r w:rsidR="00C54746">
        <w:rPr>
          <w:rFonts w:ascii="Times New Roman" w:eastAsia="Times New Roman" w:hAnsi="Times New Roman" w:cs="Times New Roman"/>
          <w:color w:val="000000"/>
          <w:sz w:val="24"/>
          <w:szCs w:val="24"/>
        </w:rPr>
        <w:t xml:space="preserve">  To address </w:t>
      </w:r>
      <w:r w:rsidR="008762BC">
        <w:rPr>
          <w:rFonts w:ascii="Times New Roman" w:eastAsia="Times New Roman" w:hAnsi="Times New Roman" w:cs="Times New Roman"/>
          <w:color w:val="000000"/>
          <w:sz w:val="24"/>
          <w:szCs w:val="24"/>
        </w:rPr>
        <w:t xml:space="preserve">the need for a better understanding of the </w:t>
      </w:r>
      <w:proofErr w:type="spellStart"/>
      <w:r w:rsidR="008762BC">
        <w:rPr>
          <w:rFonts w:ascii="Times New Roman" w:eastAsia="Times New Roman" w:hAnsi="Times New Roman" w:cs="Times New Roman"/>
          <w:color w:val="000000"/>
          <w:sz w:val="24"/>
          <w:szCs w:val="24"/>
        </w:rPr>
        <w:t>polypharmacology</w:t>
      </w:r>
      <w:proofErr w:type="spellEnd"/>
      <w:r w:rsidR="008762BC">
        <w:rPr>
          <w:rFonts w:ascii="Times New Roman" w:eastAsia="Times New Roman" w:hAnsi="Times New Roman" w:cs="Times New Roman"/>
          <w:color w:val="000000"/>
          <w:sz w:val="24"/>
          <w:szCs w:val="24"/>
        </w:rPr>
        <w:t xml:space="preserve"> of kinase inhibitors, vendors will now screen inhibitors against panels that cover over half of the </w:t>
      </w:r>
      <w:proofErr w:type="spellStart"/>
      <w:r w:rsidR="008762BC">
        <w:rPr>
          <w:rFonts w:ascii="Times New Roman" w:eastAsia="Times New Roman" w:hAnsi="Times New Roman" w:cs="Times New Roman"/>
          <w:color w:val="000000"/>
          <w:sz w:val="24"/>
          <w:szCs w:val="24"/>
        </w:rPr>
        <w:t>kinome</w:t>
      </w:r>
      <w:proofErr w:type="spellEnd"/>
      <w:r w:rsidR="008762BC">
        <w:rPr>
          <w:rFonts w:ascii="Times New Roman" w:eastAsia="Times New Roman" w:hAnsi="Times New Roman" w:cs="Times New Roman"/>
          <w:color w:val="000000"/>
          <w:sz w:val="24"/>
          <w:szCs w:val="24"/>
        </w:rPr>
        <w:t>. Several large scale analyses of the distribution of bioactivities for many inhibitors by many kinases have been conduct</w:t>
      </w:r>
      <w:r w:rsidR="007408F0">
        <w:rPr>
          <w:rFonts w:ascii="Times New Roman" w:eastAsia="Times New Roman" w:hAnsi="Times New Roman" w:cs="Times New Roman"/>
          <w:color w:val="000000"/>
          <w:sz w:val="24"/>
          <w:szCs w:val="24"/>
        </w:rPr>
        <w:t>ed</w:t>
      </w:r>
      <w:r w:rsidR="00682BEC">
        <w:rPr>
          <w:rFonts w:ascii="Times New Roman" w:eastAsia="Times New Roman" w:hAnsi="Times New Roman" w:cs="Times New Roman"/>
          <w:color w:val="000000"/>
          <w:sz w:val="24"/>
          <w:szCs w:val="24"/>
        </w:rPr>
        <w:fldChar w:fldCharType="begin" w:fldLock="1"/>
      </w:r>
      <w:r w:rsidR="00682BEC">
        <w:rPr>
          <w:rFonts w:ascii="Times New Roman" w:eastAsia="Times New Roman" w:hAnsi="Times New Roman" w:cs="Times New Roman"/>
          <w:color w:val="000000"/>
          <w:sz w:val="24"/>
          <w:szCs w:val="24"/>
        </w:rPr>
        <w:instrText>ADDIN CSL_CITATION { "citationItems" : [ { "id" : "ITEM-1", "itemData" : { "DOI" : "10.1042/BJ20070797", "abstract" : "The specificities of 65 compounds reported to be relatively specific inhibitors of protein kinases have been profiled against a panel of 70\u201380 protein kinases. On the basis of this information, the effects of compounds that we have studied in cells and other data in the literature, we recommend the use of the following small-molecule inhibitors: SB 203580/SB202190 and BIRB 0796 to be used in parallel to assess the physiological roles of p38 MAPK (mitogen-activated protein kinase) isoforms, PI-103 and wortmannin to be used in parallel to inhibit phosphatidylinositol (phosphoinositide) 3-kinases, PP1 or PP2 to be used in parallel with Src-I1 (Src inhibitor-1) to inhibit Src family members; PD 184352 or PD 0325901 to inhibit MKK1 (MAPK kinase-1) or MKK1 plus MKK5, Akt-I-1/2 to inhibit the activation of PKB (protein kinase B/Akt), rapamycin to inhibit TORC1 [mTOR (mammalian target of rapamycin)\u2013raptor (regulatory associated protein of mTOR) complex], CT 99021 to inhibit GSK3 (glycogen synthase kinase 3), BI-D1870 and SL0101 or FMK (fluoromethylketone) to be used in parallel to inhibit RSK (ribosomal S6 kinase), D4476 to inhibit CK1 (casein kinase 1), VX680 to inhibit Aurora kinases, and roscovitine as a pan-CDK (cyclin-dependent kinase) inhibitor. We have also identified harmine as a potent and specific inhibitor of DYRK1A (dual-specificity tyrosine-phosphorylated and -regulated kinase 1A) in vitro. The results have further emphasized the need for considerable caution in using small-molecule inhibitors of protein kinases to assess the physiological roles of these enzymes. Despite being used widely, many of the compounds that we analysed were too non-specific for useful conclusions to be made, other than to exclude the involvement of particular protein kinases in cellular processes.", "author" : [ { "dropping-particle" : "", "family" : "Bain", "given" : "Jenny", "non-dropping-particle" : "", "parse-names" : false, "suffix" : "" }, { "dropping-particle" : "", "family" : "Plater", "given" : "Lorna", "non-dropping-particle" : "", "parse-names" : false, "suffix" : "" }, { "dropping-particle" : "", "family" : "Elliott", "given" : "Matt", "non-dropping-particle" : "", "parse-names" : false, "suffix" : "" }, { "dropping-particle" : "", "family" : "Shpiro", "given" : "Natalia", "non-dropping-particle" : "", "parse-names" : false, "suffix" : "" }, { "dropping-particle" : "", "family" : "Hastie", "given" : "James", "non-dropping-particle" : "", "parse-names" : false, "suffix" : "" }, { "dropping-particle" : "", "family" : "Mclauchlan", "given" : "Hilary", "non-dropping-particle" : "", "parse-names" : false, "suffix" : "" }, { "dropping-particle" : "", "family" : "Klevernic", "given" : "Iva", "non-dropping-particle" : "", "parse-names" : false, "suffix" : "" }, { "dropping-particle" : "", "family" : "Simon", "given" : "J", "non-dropping-particle" : "", "parse-names" : false, "suffix" : "" }, { "dropping-particle" : "", "family" : "Arthur", "given" : "C", "non-dropping-particle" : "", "parse-names" : false, "suffix" : "" }, { "dropping-particle" : "", "family" : "Alessi", "given" : "Dario R", "non-dropping-particle" : "", "parse-names" : false, "suffix" : "" }, { "dropping-particle" : "", "family" : "Cohen", "given" : "Philip", "non-dropping-particle" : "", "parse-names" : false, "suffix" : "" } ], "container-title" : "Biochem. J", "id" : "ITEM-1", "issued" : { "date-parts" : [ [ "2007" ] ] }, "page" : "297-315", "title" : "The selectivity of protein kinase inhibitors: a further update", "type" : "article-journal", "volume" : "408" }, "uris" : [ "http://www.mendeley.com/documents/?uuid=63207a83-83be-3384-a038-f803b650a01d" ] }, { "id" : "ITEM-2", "itemData" : { "DOI" : "10.1021/jm8011036", "abstract" : "More than 500 compounds chosen to represent kinase inhibitor space have been screened against a panel of over 200 protein kinases. Significant results include the identification of hits against new kinases including PIM1 and MPSK1, and the expansion of the inhibition profiles of several literature compounds. A detailed analysis of the data through the use of affinity fingerprints has produced findings with implications for biological target selection, the choice of tool compounds for target validation, and lead discovery and optimization. In a detailed examination of the tyrosine kinases, interesting relationships have been found between targets and compounds. Taken together, these results show how broad cross-profiling can provide important insights to assist kinase drug discovery.", "author" : [ { "dropping-particle" : "", "family" : "Bamborough", "given" : "Paul", "non-dropping-particle" : "", "parse-names" : false, "suffix" : "" }, { "dropping-particle" : "", "family" : "Drewry", "given" : "David", "non-dropping-particle" : "", "parse-names" : false, "suffix" : "" }, { "dropping-particle" : "", "family" : "Harper", "given" : "Gavin", "non-dropping-particle" : "", "parse-names" : false, "suffix" : "" }, { "dropping-particle" : "", "family" : "Smith", "given" : "Gary K", "non-dropping-particle" : "", "parse-names" : false, "suffix" : "" }, { "dropping-particle" : "", "family" : "Schneider", "given" : "Klaus", "non-dropping-particle" : "", "parse-names" : false, "suffix" : "" } ], "id" : "ITEM-2", "issued" : { "date-parts" : [ [ "0" ] ] }, "title" : "Assessment of Chemical Coverage of Kinome Space and Its Implications for Kinase Drug Discovery", "type" : "article-journal" }, "uris" : [ "http://www.mendeley.com/documents/?uuid=7c50261b-2279-3c8b-945f-fe3f27f385d1" ] } ], "mendeley" : { "formattedCitation" : "&lt;sup&gt;5,6&lt;/sup&gt;", "plainTextFormattedCitation" : "5,6", "previouslyFormattedCitation" : "&lt;sup&gt;5,6&lt;/sup&gt;" }, "properties" : { "noteIndex" : 0 }, "schema" : "https://github.com/citation-style-language/schema/raw/master/csl-citation.json" }</w:instrText>
      </w:r>
      <w:r w:rsidR="00682BEC">
        <w:rPr>
          <w:rFonts w:ascii="Times New Roman" w:eastAsia="Times New Roman" w:hAnsi="Times New Roman" w:cs="Times New Roman"/>
          <w:color w:val="000000"/>
          <w:sz w:val="24"/>
          <w:szCs w:val="24"/>
        </w:rPr>
        <w:fldChar w:fldCharType="separate"/>
      </w:r>
      <w:r w:rsidR="00682BEC" w:rsidRPr="00682BEC">
        <w:rPr>
          <w:rFonts w:ascii="Times New Roman" w:eastAsia="Times New Roman" w:hAnsi="Times New Roman" w:cs="Times New Roman"/>
          <w:noProof/>
          <w:color w:val="000000"/>
          <w:sz w:val="24"/>
          <w:szCs w:val="24"/>
          <w:vertAlign w:val="superscript"/>
        </w:rPr>
        <w:t>5,6</w:t>
      </w:r>
      <w:r w:rsidR="00682BEC">
        <w:rPr>
          <w:rFonts w:ascii="Times New Roman" w:eastAsia="Times New Roman" w:hAnsi="Times New Roman" w:cs="Times New Roman"/>
          <w:color w:val="000000"/>
          <w:sz w:val="24"/>
          <w:szCs w:val="24"/>
        </w:rPr>
        <w:fldChar w:fldCharType="end"/>
      </w:r>
      <w:r w:rsidR="007408F0">
        <w:rPr>
          <w:rFonts w:ascii="Times New Roman" w:eastAsia="Times New Roman" w:hAnsi="Times New Roman" w:cs="Times New Roman"/>
          <w:color w:val="000000"/>
          <w:sz w:val="24"/>
          <w:szCs w:val="24"/>
        </w:rPr>
        <w:t>.  One study of interest</w:t>
      </w:r>
      <w:r w:rsidR="00682BEC">
        <w:rPr>
          <w:rFonts w:ascii="Times New Roman" w:eastAsia="Times New Roman" w:hAnsi="Times New Roman" w:cs="Times New Roman"/>
          <w:color w:val="000000"/>
          <w:sz w:val="24"/>
          <w:szCs w:val="24"/>
        </w:rPr>
        <w:fldChar w:fldCharType="begin" w:fldLock="1"/>
      </w:r>
      <w:r w:rsidR="00403260">
        <w:rPr>
          <w:rFonts w:ascii="Times New Roman" w:eastAsia="Times New Roman" w:hAnsi="Times New Roman" w:cs="Times New Roman"/>
          <w:color w:val="000000"/>
          <w:sz w:val="24"/>
          <w:szCs w:val="24"/>
        </w:rPr>
        <w:instrText>ADDIN CSL_CITATION { "citationItems" : [ { "id" : "ITEM-1", "itemData" : { "DOI" : "10.1021/acs.jcim.6b00122", "ISSN" : "1549-9596", "author" : [ { "dropping-particle" : "", "family" : "Christmann-Franck", "given" : "Serge", "non-dropping-particle" : "", "parse-names" : false, "suffix" : "" }, { "dropping-particle" : "", "family" : "Westen", "given" : "Gerard J.P.", "non-dropping-particle" : "van", "parse-names" : false, "suffix" : "" }, { "dropping-particle" : "", "family" : "Papadatos", "given" : "George", "non-dropping-particle" : "", "parse-names" : false, "suffix" : "" }, { "dropping-particle" : "", "family" : "Beltran Escudie", "given" : "Fanny", "non-dropping-particle" : "", "parse-names" : false, "suffix" : "" }, { "dropping-particle" : "", "family" : "Roberts", "given" : "Alexander", "non-dropping-particle" : "", "parse-names" : false, "suffix" : "" }, { "dropping-particle" : "", "family" : "Overington", "given" : "John P.", "non-dropping-particle" : "", "parse-names" : false, "suffix" : "" }, { "dropping-particle" : "", "family" : "Domine", "given" : "Daniel", "non-dropping-particle" : "", "parse-names" : false, "suffix" : "" } ], "container-title" : "Journal of Chemical Information and Modeling", "id" : "ITEM-1", "issued" : { "date-parts" : [ [ "2016" ] ] }, "page" : "acs.jcim.6b00122", "title" : "An unprecedentedly large-scale kinase inhibitor set enabling the accurate prediction of compound-kinase activities: a way towards selective promiscuity by design?", "type" : "article-journal" }, "uris" : [ "http://www.mendeley.com/documents/?uuid=a10953a1-9d96-45f7-a0b4-5fa80dff8de9" ] } ], "mendeley" : { "formattedCitation" : "&lt;sup&gt;7&lt;/sup&gt;", "plainTextFormattedCitation" : "7", "previouslyFormattedCitation" : "&lt;sup&gt;7&lt;/sup&gt;" }, "properties" : { "noteIndex" : 0 }, "schema" : "https://github.com/citation-style-language/schema/raw/master/csl-citation.json" }</w:instrText>
      </w:r>
      <w:r w:rsidR="00682BEC">
        <w:rPr>
          <w:rFonts w:ascii="Times New Roman" w:eastAsia="Times New Roman" w:hAnsi="Times New Roman" w:cs="Times New Roman"/>
          <w:color w:val="000000"/>
          <w:sz w:val="24"/>
          <w:szCs w:val="24"/>
        </w:rPr>
        <w:fldChar w:fldCharType="separate"/>
      </w:r>
      <w:r w:rsidR="00682BEC" w:rsidRPr="00682BEC">
        <w:rPr>
          <w:rFonts w:ascii="Times New Roman" w:eastAsia="Times New Roman" w:hAnsi="Times New Roman" w:cs="Times New Roman"/>
          <w:noProof/>
          <w:color w:val="000000"/>
          <w:sz w:val="24"/>
          <w:szCs w:val="24"/>
          <w:vertAlign w:val="superscript"/>
        </w:rPr>
        <w:t>7</w:t>
      </w:r>
      <w:r w:rsidR="00682BEC">
        <w:rPr>
          <w:rFonts w:ascii="Times New Roman" w:eastAsia="Times New Roman" w:hAnsi="Times New Roman" w:cs="Times New Roman"/>
          <w:color w:val="000000"/>
          <w:sz w:val="24"/>
          <w:szCs w:val="24"/>
        </w:rPr>
        <w:fldChar w:fldCharType="end"/>
      </w:r>
      <w:r w:rsidR="007408F0">
        <w:rPr>
          <w:rFonts w:ascii="Times New Roman" w:eastAsia="Times New Roman" w:hAnsi="Times New Roman" w:cs="Times New Roman"/>
          <w:color w:val="000000"/>
          <w:sz w:val="24"/>
          <w:szCs w:val="24"/>
        </w:rPr>
        <w:t xml:space="preserve"> analyzed the </w:t>
      </w:r>
      <w:proofErr w:type="spellStart"/>
      <w:r w:rsidR="007408F0">
        <w:rPr>
          <w:rFonts w:ascii="Times New Roman" w:eastAsia="Times New Roman" w:hAnsi="Times New Roman" w:cs="Times New Roman"/>
          <w:color w:val="000000"/>
          <w:sz w:val="24"/>
          <w:szCs w:val="24"/>
        </w:rPr>
        <w:t>polypharmacology</w:t>
      </w:r>
      <w:proofErr w:type="spellEnd"/>
      <w:r w:rsidR="007408F0">
        <w:rPr>
          <w:rFonts w:ascii="Times New Roman" w:eastAsia="Times New Roman" w:hAnsi="Times New Roman" w:cs="Times New Roman"/>
          <w:color w:val="000000"/>
          <w:sz w:val="24"/>
          <w:szCs w:val="24"/>
        </w:rPr>
        <w:t xml:space="preserve"> profiles of</w:t>
      </w:r>
      <w:r w:rsidR="00682BEC">
        <w:rPr>
          <w:rFonts w:ascii="Times New Roman" w:eastAsia="Times New Roman" w:hAnsi="Times New Roman" w:cs="Times New Roman"/>
          <w:color w:val="000000"/>
          <w:sz w:val="24"/>
          <w:szCs w:val="24"/>
        </w:rPr>
        <w:t xml:space="preserve"> 2106 inhibitors, 482 </w:t>
      </w:r>
      <w:r w:rsidR="007408F0">
        <w:rPr>
          <w:rFonts w:ascii="Times New Roman" w:eastAsia="Times New Roman" w:hAnsi="Times New Roman" w:cs="Times New Roman"/>
          <w:color w:val="000000"/>
          <w:sz w:val="24"/>
          <w:szCs w:val="24"/>
        </w:rPr>
        <w:t>kinases</w:t>
      </w:r>
      <w:r w:rsidR="00682BEC">
        <w:rPr>
          <w:rFonts w:ascii="Times New Roman" w:eastAsia="Times New Roman" w:hAnsi="Times New Roman" w:cs="Times New Roman"/>
          <w:color w:val="000000"/>
          <w:sz w:val="24"/>
          <w:szCs w:val="24"/>
        </w:rPr>
        <w:t xml:space="preserve"> and 661 patients</w:t>
      </w:r>
      <w:r w:rsidR="007408F0">
        <w:rPr>
          <w:rFonts w:ascii="Times New Roman" w:eastAsia="Times New Roman" w:hAnsi="Times New Roman" w:cs="Times New Roman"/>
          <w:color w:val="000000"/>
          <w:sz w:val="24"/>
          <w:szCs w:val="24"/>
        </w:rPr>
        <w:t xml:space="preserve">.  Traditional molecular descriptors along with protein descriptors were used to build </w:t>
      </w:r>
      <w:proofErr w:type="spellStart"/>
      <w:r w:rsidR="00682BEC">
        <w:rPr>
          <w:rFonts w:ascii="Times New Roman" w:eastAsia="Times New Roman" w:hAnsi="Times New Roman" w:cs="Times New Roman"/>
          <w:color w:val="000000"/>
          <w:sz w:val="24"/>
          <w:szCs w:val="24"/>
        </w:rPr>
        <w:t>p</w:t>
      </w:r>
      <w:r w:rsidR="00682BEC" w:rsidRPr="00682BEC">
        <w:rPr>
          <w:rFonts w:ascii="Times New Roman" w:eastAsia="Times New Roman" w:hAnsi="Times New Roman" w:cs="Times New Roman"/>
          <w:color w:val="000000"/>
          <w:sz w:val="24"/>
          <w:szCs w:val="24"/>
        </w:rPr>
        <w:t>roteochemometric</w:t>
      </w:r>
      <w:proofErr w:type="spellEnd"/>
      <w:r w:rsidR="00682BEC" w:rsidRPr="00682BEC">
        <w:rPr>
          <w:rFonts w:ascii="Times New Roman" w:eastAsia="Times New Roman" w:hAnsi="Times New Roman" w:cs="Times New Roman"/>
          <w:color w:val="000000"/>
          <w:sz w:val="24"/>
          <w:szCs w:val="24"/>
        </w:rPr>
        <w:t xml:space="preserve"> (PCM)</w:t>
      </w:r>
      <w:r w:rsidR="007408F0">
        <w:rPr>
          <w:rFonts w:ascii="Times New Roman" w:eastAsia="Times New Roman" w:hAnsi="Times New Roman" w:cs="Times New Roman"/>
          <w:color w:val="000000"/>
          <w:sz w:val="24"/>
          <w:szCs w:val="24"/>
        </w:rPr>
        <w:t xml:space="preserve"> models that </w:t>
      </w:r>
      <w:r w:rsidR="00682BEC">
        <w:rPr>
          <w:rFonts w:ascii="Times New Roman" w:eastAsia="Times New Roman" w:hAnsi="Times New Roman" w:cs="Times New Roman"/>
          <w:color w:val="000000"/>
          <w:sz w:val="24"/>
          <w:szCs w:val="24"/>
        </w:rPr>
        <w:t xml:space="preserve">were </w:t>
      </w:r>
      <w:r w:rsidR="007408F0">
        <w:rPr>
          <w:rFonts w:ascii="Times New Roman" w:eastAsia="Times New Roman" w:hAnsi="Times New Roman" w:cs="Times New Roman"/>
          <w:color w:val="000000"/>
          <w:sz w:val="24"/>
          <w:szCs w:val="24"/>
        </w:rPr>
        <w:t>high</w:t>
      </w:r>
      <w:r w:rsidR="00682BEC">
        <w:rPr>
          <w:rFonts w:ascii="Times New Roman" w:eastAsia="Times New Roman" w:hAnsi="Times New Roman" w:cs="Times New Roman"/>
          <w:color w:val="000000"/>
          <w:sz w:val="24"/>
          <w:szCs w:val="24"/>
        </w:rPr>
        <w:t>ly predictive of affinity towards each kinase (externally validated R</w:t>
      </w:r>
      <w:r w:rsidR="00682BEC">
        <w:rPr>
          <w:rFonts w:ascii="Times New Roman" w:eastAsia="Times New Roman" w:hAnsi="Times New Roman" w:cs="Times New Roman"/>
          <w:color w:val="000000"/>
          <w:sz w:val="24"/>
          <w:szCs w:val="24"/>
        </w:rPr>
        <w:softHyphen/>
      </w:r>
      <w:r w:rsidR="00682BEC">
        <w:rPr>
          <w:rFonts w:ascii="Times New Roman" w:eastAsia="Times New Roman" w:hAnsi="Times New Roman" w:cs="Times New Roman"/>
          <w:color w:val="000000"/>
          <w:sz w:val="24"/>
          <w:szCs w:val="24"/>
          <w:vertAlign w:val="superscript"/>
        </w:rPr>
        <w:t>2</w:t>
      </w:r>
      <w:r w:rsidR="00682BEC">
        <w:rPr>
          <w:rFonts w:ascii="Times New Roman" w:eastAsia="Times New Roman" w:hAnsi="Times New Roman" w:cs="Times New Roman"/>
          <w:color w:val="000000"/>
          <w:sz w:val="24"/>
          <w:szCs w:val="24"/>
        </w:rPr>
        <w:t xml:space="preserve"> of .74)</w:t>
      </w:r>
      <w:r w:rsidR="007408F0">
        <w:rPr>
          <w:rFonts w:ascii="Times New Roman" w:eastAsia="Times New Roman" w:hAnsi="Times New Roman" w:cs="Times New Roman"/>
          <w:color w:val="000000"/>
          <w:sz w:val="24"/>
          <w:szCs w:val="24"/>
        </w:rPr>
        <w:t>.  These models may be used to provide reasonable predictions the pharmacology of any new kinase inhibitor.</w:t>
      </w:r>
    </w:p>
    <w:p w:rsidR="00C44109" w:rsidRPr="00D014D2" w:rsidRDefault="001A4ED2" w:rsidP="00C44109">
      <w:pPr>
        <w:spacing w:after="0" w:line="480" w:lineRule="auto"/>
        <w:ind w:firstLine="720"/>
        <w:jc w:val="both"/>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lastRenderedPageBreak/>
        <w:t xml:space="preserve">In this study, we focus on </w:t>
      </w:r>
      <w:r w:rsidR="008B38B5">
        <w:rPr>
          <w:rFonts w:ascii="Times New Roman" w:eastAsia="Times New Roman" w:hAnsi="Times New Roman" w:cs="Times New Roman"/>
          <w:color w:val="000000"/>
          <w:sz w:val="24"/>
          <w:szCs w:val="24"/>
        </w:rPr>
        <w:t>ERK inhibitors</w:t>
      </w:r>
      <w:r>
        <w:rPr>
          <w:rFonts w:ascii="Times New Roman" w:eastAsia="Times New Roman" w:hAnsi="Times New Roman" w:cs="Times New Roman"/>
          <w:color w:val="000000"/>
          <w:sz w:val="24"/>
          <w:szCs w:val="24"/>
        </w:rPr>
        <w:t xml:space="preserve">, </w:t>
      </w:r>
      <w:r w:rsidR="008B38B5">
        <w:rPr>
          <w:rFonts w:ascii="Times New Roman" w:eastAsia="Times New Roman" w:hAnsi="Times New Roman" w:cs="Times New Roman"/>
          <w:color w:val="000000"/>
          <w:sz w:val="24"/>
          <w:szCs w:val="24"/>
        </w:rPr>
        <w:t xml:space="preserve">specifically their activity towards </w:t>
      </w:r>
      <w:r>
        <w:rPr>
          <w:rFonts w:ascii="Times New Roman" w:eastAsia="Times New Roman" w:hAnsi="Times New Roman" w:cs="Times New Roman"/>
          <w:color w:val="000000"/>
          <w:sz w:val="24"/>
          <w:szCs w:val="24"/>
        </w:rPr>
        <w:t>ERK1 and ERK2.  ERK1 and ERK2 are members of the</w:t>
      </w:r>
      <w:r w:rsidR="00C44109">
        <w:rPr>
          <w:rFonts w:ascii="Times New Roman" w:eastAsia="Times New Roman" w:hAnsi="Times New Roman" w:cs="Times New Roman"/>
          <w:color w:val="000000"/>
          <w:sz w:val="24"/>
          <w:szCs w:val="24"/>
        </w:rPr>
        <w:t xml:space="preserve"> </w:t>
      </w:r>
      <w:r w:rsidR="00C44109" w:rsidRPr="00D014D2">
        <w:rPr>
          <w:rFonts w:ascii="Times New Roman" w:hAnsi="Times New Roman" w:cs="Times New Roman"/>
          <w:color w:val="000000" w:themeColor="text1"/>
          <w:sz w:val="24"/>
          <w:szCs w:val="24"/>
        </w:rPr>
        <w:t>mitogen activated protein (MAP) kina</w:t>
      </w:r>
      <w:r w:rsidR="00C44109">
        <w:rPr>
          <w:rFonts w:ascii="Times New Roman" w:hAnsi="Times New Roman" w:cs="Times New Roman"/>
          <w:color w:val="000000" w:themeColor="text1"/>
          <w:sz w:val="24"/>
          <w:szCs w:val="24"/>
        </w:rPr>
        <w:t>se pathway (</w:t>
      </w:r>
      <w:proofErr w:type="spellStart"/>
      <w:r w:rsidR="00C44109">
        <w:rPr>
          <w:rFonts w:ascii="Times New Roman" w:hAnsi="Times New Roman" w:cs="Times New Roman"/>
          <w:color w:val="000000" w:themeColor="text1"/>
          <w:sz w:val="24"/>
          <w:szCs w:val="24"/>
        </w:rPr>
        <w:t>Ras</w:t>
      </w:r>
      <w:proofErr w:type="spellEnd"/>
      <w:r w:rsidR="00C44109">
        <w:rPr>
          <w:rFonts w:ascii="Times New Roman" w:hAnsi="Times New Roman" w:cs="Times New Roman"/>
          <w:color w:val="000000" w:themeColor="text1"/>
          <w:sz w:val="24"/>
          <w:szCs w:val="24"/>
        </w:rPr>
        <w:t>/</w:t>
      </w:r>
      <w:proofErr w:type="spellStart"/>
      <w:r w:rsidR="00C44109">
        <w:rPr>
          <w:rFonts w:ascii="Times New Roman" w:hAnsi="Times New Roman" w:cs="Times New Roman"/>
          <w:color w:val="000000" w:themeColor="text1"/>
          <w:sz w:val="24"/>
          <w:szCs w:val="24"/>
        </w:rPr>
        <w:t>Raf</w:t>
      </w:r>
      <w:proofErr w:type="spellEnd"/>
      <w:r w:rsidR="00C44109">
        <w:rPr>
          <w:rFonts w:ascii="Times New Roman" w:hAnsi="Times New Roman" w:cs="Times New Roman"/>
          <w:color w:val="000000" w:themeColor="text1"/>
          <w:sz w:val="24"/>
          <w:szCs w:val="24"/>
        </w:rPr>
        <w:t xml:space="preserve">/MEK/ERK), </w:t>
      </w:r>
      <w:r w:rsidR="00C44109" w:rsidRPr="00D014D2">
        <w:rPr>
          <w:rFonts w:ascii="Times New Roman" w:hAnsi="Times New Roman" w:cs="Times New Roman"/>
          <w:color w:val="000000" w:themeColor="text1"/>
          <w:sz w:val="24"/>
          <w:szCs w:val="24"/>
        </w:rPr>
        <w:t>an evolutionarily conserved signaling cascade that is over</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t xml:space="preserve">activated in about one third of human cancers, </w:t>
      </w:r>
      <w:r w:rsidR="00C44109">
        <w:rPr>
          <w:rFonts w:ascii="Times New Roman" w:hAnsi="Times New Roman" w:cs="Times New Roman"/>
          <w:color w:val="000000" w:themeColor="text1"/>
          <w:sz w:val="24"/>
          <w:szCs w:val="24"/>
        </w:rPr>
        <w:t xml:space="preserve">especially in </w:t>
      </w:r>
      <w:r w:rsidR="00C44109" w:rsidRPr="00D014D2">
        <w:rPr>
          <w:rFonts w:ascii="Times New Roman" w:hAnsi="Times New Roman" w:cs="Times New Roman"/>
          <w:color w:val="000000" w:themeColor="text1"/>
          <w:sz w:val="24"/>
          <w:szCs w:val="24"/>
        </w:rPr>
        <w:t>melonomas</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"10.1158/2159-8290.CD-13-0070", "ISBN" : "2159-8290 (Electronic)\\r2159-8274 (Linking)", "ISSN" : "21598274", "PMID" : "23614898", "abstract" : "The high frequency of activating RAS or BRAF mutations in cancer provides strong rationale for targeting the mitogen-activated protein kinase (MAPK) pathway. Selective BRAF and MAP-ERK kinase (MEK) inhibitors have shown clinical efficacy in patients with melanoma. However, the majority of responses are transient, and resistance is often associated with pathway reactivation of the extracellular signal-regulated kinase (ERK) signaling pathway. Here, we describe the identification and characterization of SCH772984, a novel and selective inhibitor of ERK1/2 that displays behaviors of both type I and type II kinase inhibitors. SCH772984 has nanomolar cellular potency in tumor cells with mutations in BRAF, NRAS, or KRAS and induces tumor regressions in xenograft models at tolerated doses. Importantly, SCH772984 effectively inhibited MAPK signaling and cell proliferation in BRAF or MEK inhibitor\u2013resistant models as well as in tumor cells resistant to concurrent treatment with BRAF and MEK inhibitors. These data support the clinical development of ERK inhibitors for tumors refractory to MAPK inhibitors.\\nSignificance: BRAF and MEK inhibitors have activity in MAPK-dependent cancers with BRAF or RAS mutations. However, resistance is associated with pathway alterations resulting in phospho-ERK reactivation. Here, we describe a novel ERK1/2 kinase inhibitor that has antitumor activity in MAPK inhibitor-na\u00efve and MAPK inhibitor-resistant cells containing BRAF or RAS mutations. Cancer Discov; 3(7); 742\u201350. \u00a92013 AACR.\\nSee related commentary by Nissan et al., p. 719\\nThis article is highlighted in the In This Issue feature, p. 705", "author" : [ { "dropping-particle" : "", "family" : "Morris", "given" : "Erick J.", "non-dropping-particle" : "", "parse-names" : false, "suffix" : "" }, { "dropping-particle" : "", "family" : "Jha", "given" : "Sharda", "non-dropping-particle" : "", "parse-names" : false, "suffix" : "" }, { "dropping-particle" : "", "family" : "Restaino", "given" : "Clifford R.", "non-dropping-particle" : "", "parse-names" : false, "suffix" : "" }, { "dropping-particle" : "", "family" : "Dayananth", "given" : "Priya", "non-dropping-particle" : "", "parse-names" : false, "suffix" : "" }, { "dropping-particle" : "", "family" : "Zhu", "given" : "Hugh", "non-dropping-particle" : "", "parse-names" : false, "suffix" : "" }, { "dropping-particle" : "", "family" : "Cooper", "given" : "Alan", "non-dropping-particle" : "", "parse-names" : false, "suffix" : "" }, { "dropping-particle" : "", "family" : "Carr", "given" : "Donna", "non-dropping-particle" : "", "parse-names" : false, "suffix" : "" }, { "dropping-particle" : "", "family" : "Deng", "given" : "Yongi", "non-dropping-particle" : "", "parse-names" : false, "suffix" : "" }, { "dropping-particle" : "", "family" : "Jin", "given" : "Weihong", "non-dropping-particle" : "", "parse-names" : false, "suffix" : "" }, { "dropping-particle" : "", "family" : "Black", "given" : "Stuart", "non-dropping-particle" : "", "parse-names" : false, "suffix" : "" }, { "dropping-particle" : "", "family" : "Long", "given" : "Brian", "non-dropping-particle" : "", "parse-names" : false, "suffix" : "" }, { "dropping-particle" : "", "family" : "Liu", "given" : "Jenny", "non-dropping-particle" : "", "parse-names" : false, "suffix" : "" }, { "dropping-particle" : "", "family" : "DiNunzio", "given" : "Edward", "non-dropping-particle" : "", "parse-names" : false, "suffix" : "" }, { "dropping-particle" : "", "family" : "Windsor", "given" : "William", "non-dropping-particle" : "", "parse-names" : false, "suffix" : "" }, { "dropping-particle" : "", "family" : "Zhang", "given" : "Rumin", "non-dropping-particle" : "", "parse-names" : false, "suffix" : "" }, { "dropping-particle" : "", "family" : "Zhao", "given" : "Shuxia", "non-dropping-particle" : "", "parse-names" : false, "suffix" : "" }, { "dropping-particle" : "", "family" : "Angagaw", "given" : "Minilik H.", "non-dropping-particle" : "", "parse-names" : false, "suffix" : "" }, { "dropping-particle" : "", "family" : "Pinheiro", "given" : "Elaine M.", "non-dropping-particle" : "", "parse-names" : false, "suffix" : "" }, { "dropping-particle" : "", "family" : "Desai", "given" : "Jagdish", "non-dropping-particle" : "", "parse-names" : false, "suffix" : "" }, { "dropping-particle" : "", "family" : "Xiao", "given" : "Li", "non-dropping-particle" : "", "parse-names" : false, "suffix" : "" }, { "dropping-particle" : "", "family" : "Shipps", "given" : "Gerald", "non-dropping-particle" : "", "parse-names" : false, "suffix" : "" }, { "dropping-particle" : "", "family" : "Hruza", "given" : "Alan", "non-dropping-particle" : "", "parse-names" : false, "suffix" : "" }, { "dropping-particle" : "", "family" : "Wang", "given" : "James", "non-dropping-particle" : "", "parse-names" : false, "suffix" : "" }, { "dropping-particle" : "", "family" : "Kelly", "given" : "Joe", "non-dropping-particle" : "", "parse-names" : false, "suffix" : "" }, { "dropping-particle" : "", "family" : "Paliwal", "given" : "Sunil", "non-dropping-particle" : "", "parse-names" : false, "suffix" : "" }, { "dropping-particle" : "", "family" : "Gao", "given" : "Xiaolei", "non-dropping-particle" : "", "parse-names" : false, "suffix" : "" }, { "dropping-particle" : "", "family" : "Babu", "given" : "Boga Sobhana", "non-dropping-particle" : "", "parse-names" : false, "suffix" : "" }, { "dropping-particle" : "", "family" : "Zhu", "given" : "Liang", "non-dropping-particle" : "", "parse-names" : false, "suffix" : "" }, { "dropping-particle" : "", "family" : "Daublain", "given" : "Pierre", "non-dropping-particle" : "", "parse-names" : false, "suffix" : "" }, { "dropping-particle" : "", "family" : "Zhang", "given" : "Ling", "non-dropping-particle" : "", "parse-names" : false, "suffix" : "" }, { "dropping-particle" : "", "family" : "Lutterbach", "given" : "Bart A.", "non-dropping-particle" : "", "parse-names" : false, "suffix" : "" }, { "dropping-particle" : "", "family" : "Pelletier", "given" : "Marc R.", "non-dropping-particle" : "", "parse-names" : false, "suffix" : "" }, { "dropping-particle" : "", "family" : "Philippar", "given" : "Ulrike", "non-dropping-particle" : "", "parse-names" : false, "suffix" : "" }, { "dropping-particle" : "", "family" : "Siliphaivanh", "given" : "Phieng", "non-dropping-particle" : "", "parse-names" : false, "suffix" : "" }, { "dropping-particle" : "", "family" : "Witter", "given" : "David", "non-dropping-particle" : "", "parse-names" : false, "suffix" : "" }, { "dropping-particle" : "", "family" : "Kirschmeier", "given" : "Paul", "non-dropping-particle" : "", "parse-names" : false, "suffix" : "" }, { "dropping-particle" : "", "family" : "Robert Bishop", "given" : "W.", "non-dropping-particle" : "", "parse-names" : false, "suffix" : "" }, { "dropping-particle" : "", "family" : "Hicklin", "given" : "Daniel", "non-dropping-particle" : "", "parse-names" : false, "suffix" : "" }, { "dropping-particle" : "", "family" : "Gary Gillil", "given" : "D.", "non-dropping-particle" : "", "parse-names" : false, "suffix" : "" }, { "dropping-particle" : "", "family" : "Jayaraman", "given" : "Lata", "non-dropping-particle" : "", "parse-names" : false, "suffix" : "" }, { "dropping-particle" : "", "family" : "Zawel", "given" : "Leigh", "non-dropping-particle" : "", "parse-names" : false, "suffix" : "" }, { "dropping-particle" : "", "family" : "Fawell", "given" : "Stephen", "non-dropping-particle" : "", "parse-names" : false, "suffix" : "" }, { "dropping-particle" : "", "family" : "Samatar", "given" : "Ahmed A.", "non-dropping-particle" : "", "parse-names" : false, "suffix" : "" } ], "container-title" : "Cancer Discovery", "id" : "ITEM-1", "issue" : "7", "issued" : { "date-parts" : [ [ "2013" ] ] }, "page" : "742-750", "title" : "Discovery of a novel ERK inhibitor with activity in models of acquired resistance to BRAF and MEK inhibitors", "type" : "article-journal", "volume" : "3" }, "uris" : [ "http://www.mendeley.com/documents/?uuid=13aaa25f-33fd-3212-935f-b42046b75d1c" ] }, { "id" : "ITEM-2", "itemData" : { "DOI" : "10.1158/1535-7163.MCT-11-1010", "abstract" : "The RAS/RAF/MEK pathway is activated in more than 30% of human cancers, most commonly via mutation in the K-ras oncogene and also via mutations in BRAF. Several allosteric mitogen-activated protein/ extracellular signal\u2013regulated kinase (MEK) inhibitors, aimed at treating tumors with RAS/RAF pathway alterations, are in clinical development. However, acquired resistance to these inhibitors has been documented both in preclinical and clinical samples. To identify strategies to overcome this resistance, we have derived three independent MEK inhibitor\u2013resistant cell lines. Resistance to allosteric MEK inhibitors in these cell lines was consistently linked to acquired mutations in the allosteric binding pocket of MEK. In one cell line, concurrent amplification of mutant K-ras was observed in conjunction with MEK allosteric pocket mutations. Clonal analysis showed that both resistance mechanisms occur in the same cell and contribute to enhanced resistance. Importantly, in all cases the MEK-resistant cell lines retained their addiction to the mitogen-activated protein kinase (MAPK) pathway, as evidenced by their sensitivity to a selective inhibitor of the ERK1/2 kinases. These data suggest that tumors with acquired MEK inhibitor resistance remain dependent on the MAPK pathway and are therefore sensitive to inhibitors that act downstream of the mutated MEK target. Importantly, we show that dual inhibition of MEK and ERK by small molecule inhibitors was synergistic and acted to both inhibit the emergence of resistance, as well as to overcome acquired resistance to MEK inhibitors. Therefore, our data provide a rationale for cotargeting multiple nodes within the MAPK signaling cascade in K-ras mutant tumors to maximize therapeutic benefit for patients.", "author" : [ { "dropping-particle" : "", "family" : "Hatzivassiliou", "given" : "Georgia", "non-dropping-particle" : "", "parse-names" : false, "suffix" : "" }, { "dropping-particle" : "", "family" : "Liu", "given" : "Bonnie", "non-dropping-particle" : "", "parse-names" : false, "suffix" : "" }, { "dropping-particle" : "", "family" : "O 'brien", "given" : "Carol", "non-dropping-particle" : "", "parse-names" : false, "suffix" : "" }, { "dropping-particle" : "", "family" : "Spoerke", "given" : "Jill M", "non-dropping-particle" : "", "parse-names" : false, "suffix" : "" }, { "dropping-particle" : "", "family" : "Hoeflich", "given" : "Klaus P", "non-dropping-particle" : "", "parse-names" : false, "suffix" : "" }, { "dropping-particle" : "", "family" : "Haverty", "given" : "Peter M", "non-dropping-particle" : "", "parse-names" : false, "suffix" : "" }, { "dropping-particle" : "", "family" : "Soriano", "given" : "Robert", "non-dropping-particle" : "", "parse-names" : false, "suffix" : "" }, { "dropping-particle" : "", "family" : "Forrest", "given" : "William F", "non-dropping-particle" : "", "parse-names" : false, "suffix" : "" }, { "dropping-particle" : "", "family" : "Heldens", "given" : "Sherry", "non-dropping-particle" : "", "parse-names" : false, "suffix" : "" }, { "dropping-particle" : "", "family" : "Chen", "given" : "Huifen", "non-dropping-particle" : "", "parse-names" : false, "suffix" : "" }, { "dropping-particle" : "", "family" : "Toy", "given" : "Karen", "non-dropping-particle" : "", "parse-names" : false, "suffix" : "" }, { "dropping-particle" : "", "family" : "Ha", "given" : "Connie", "non-dropping-particle" : "", "parse-names" : false, "suffix" : "" }, { "dropping-particle" : "", "family" : "Zhou", "given" : "Wei", "non-dropping-particle" : "", "parse-names" : false, "suffix" : "" }, { "dropping-particle" : "", "family" : "Song", "given" : "Kyung", "non-dropping-particle" : "", "parse-names" : false, "suffix" : "" }, { "dropping-particle" : "", "family" : "Friedman", "given" : "Lori S", "non-dropping-particle" : "", "parse-names" : false, "suffix" : "" }, { "dropping-particle" : "", "family" : "Amler", "given" : "Lukas C", "non-dropping-particle" : "", "parse-names" : false, "suffix" : "" }, { "dropping-particle" : "", "family" : "Hampton", "given" : "Garret M", "non-dropping-particle" : "", "parse-names" : false, "suffix" : "" }, { "dropping-particle" : "", "family" : "Moffat", "given" : "John", "non-dropping-particle" : "", "parse-names" : false, "suffix" : "" }, { "dropping-particle" : "", "family" : "Belvin", "given" : "Marcia", "non-dropping-particle" : "", "parse-names" : false, "suffix" : "" }, { "dropping-particle" : "", "family" : "Lackner", "given" : "Mark R", "non-dropping-particle" : "", "parse-names" : false, "suffix" : "" } ], "container-title" : "Mol Cancer Ther", "id" : "ITEM-2", "issue" : "5", "issued" : { "date-parts" : [ [ "0" ] ] }, "page" : "1143-54", "title" : "ERK Inhibition Overcomes Acquired Resistance to MEK Inhibitors", "type" : "article-journal", "volume" : "11" }, "uris" : [ "http://www.mendeley.com/documents/?uuid=0416a9c0-7737-304e-910e-a2f4fd5ef6bf" ] } ], "mendeley" : { "formattedCitation" : "&lt;sup&gt;8,9&lt;/sup&gt;", "plainTextFormattedCitation" : "8,9", "previouslyFormattedCitation" : "&lt;sup&gt;8,9&lt;/sup&gt;" }, "properties" : { "noteIndex" : 0 }, "schema" : "https://github.com/citation-style-language/schema/raw/master/csl-citation.json" }</w:instrText>
      </w:r>
      <w:r w:rsidR="00C44109"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8,9</w:t>
      </w:r>
      <w:r w:rsidR="00C44109" w:rsidRPr="00D014D2">
        <w:rPr>
          <w:rFonts w:ascii="Times New Roman" w:hAnsi="Times New Roman" w:cs="Times New Roman"/>
          <w:color w:val="000000" w:themeColor="text1"/>
          <w:sz w:val="24"/>
          <w:szCs w:val="24"/>
        </w:rPr>
        <w:fldChar w:fldCharType="end"/>
      </w:r>
      <w:r w:rsidR="00C44109">
        <w:rPr>
          <w:rFonts w:ascii="Times New Roman" w:hAnsi="Times New Roman" w:cs="Times New Roman"/>
          <w:color w:val="000000" w:themeColor="text1"/>
          <w:sz w:val="24"/>
          <w:szCs w:val="24"/>
        </w:rPr>
        <w:t xml:space="preserve"> </w:t>
      </w:r>
      <w:r w:rsidR="00C44109" w:rsidRPr="00D014D2">
        <w:rPr>
          <w:rFonts w:ascii="Times New Roman" w:hAnsi="Times New Roman" w:cs="Times New Roman"/>
          <w:color w:val="000000" w:themeColor="text1"/>
          <w:sz w:val="24"/>
          <w:szCs w:val="24"/>
        </w:rPr>
        <w:t>Recently, the development of selective BRAF or MEK inhibitors to target the MAP kinase pathway has shown remarkable clinical activity in numerous tumor types with one BRAF inhibitor being approved by the U.S. Food and Drug Administration for the treatment of metastatic melanoma</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"10.1038/nrd3579", "ISSN" : "1474-1776", "PMID" : "22037033", "abstract" : "In August 2011 vemurafenib (Zelboraf; Daiichi Sankyo/Roche), an inhibitor of BRAF kinase, was approved by the US Food and Drug Administration (FDA) for the treatment of patients with unresectable or metastatic melanoma with the BRAF(V600E) mutation.", "author" : [ { "dropping-particle" : "", "family" : "Flaherty", "given" : "Keith. T", "non-dropping-particle" : "", "parse-names" : false, "suffix" : "" }, { "dropping-particle" : "", "family" : "Yasothan", "given" : "Uma", "non-dropping-particle" : "", "parse-names" : false, "suffix" : "" }, { "dropping-particle" : "", "family" : "Kirkpatrick", "given" : "Peter", "non-dropping-particle" : "", "parse-names" : false, "suffix" : "" } ], "container-title" : "Nature Reviews Drug Discovery", "id" : "ITEM-1", "issue" : "11", "issued" : { "date-parts" : [ [ "2011", "10", "31" ] ] }, "page" : "811-812", "title" : "Vemurafenib", "type" : "article-journal", "volume" : "10" }, "uris" : [ "http://www.mendeley.com/documents/?uuid=61101699-c7c3-3781-88b9-9f8ae15186ed" ] } ], "mendeley" : { "formattedCitation" : "&lt;sup&gt;10&lt;/sup&gt;", "plainTextFormattedCitation" : "10", "previouslyFormattedCitation" : "&lt;sup&gt;10&lt;/sup&gt;" }, "properties" : { "noteIndex" : 0 }, "schema" : "https://github.com/citation-style-language/schema/raw/master/csl-citation.json" }</w:instrText>
      </w:r>
      <w:r w:rsidR="00C44109"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10</w:t>
      </w:r>
      <w:r w:rsidR="00C44109" w:rsidRPr="00D014D2">
        <w:rPr>
          <w:rFonts w:ascii="Times New Roman" w:hAnsi="Times New Roman" w:cs="Times New Roman"/>
          <w:color w:val="000000" w:themeColor="text1"/>
          <w:sz w:val="24"/>
          <w:szCs w:val="24"/>
        </w:rPr>
        <w:fldChar w:fldCharType="end"/>
      </w:r>
      <w:r w:rsidR="00C44109">
        <w:rPr>
          <w:rFonts w:ascii="Times New Roman" w:hAnsi="Times New Roman" w:cs="Times New Roman"/>
          <w:color w:val="000000" w:themeColor="text1"/>
          <w:sz w:val="24"/>
          <w:szCs w:val="24"/>
        </w:rPr>
        <w:t xml:space="preserve"> </w:t>
      </w:r>
      <w:r w:rsidR="00C44109" w:rsidRPr="00D014D2">
        <w:rPr>
          <w:rFonts w:ascii="Times New Roman" w:hAnsi="Times New Roman" w:cs="Times New Roman"/>
          <w:color w:val="000000" w:themeColor="text1"/>
          <w:sz w:val="24"/>
          <w:szCs w:val="24"/>
        </w:rPr>
        <w:t>However, initial tumor shrinkage is often followed by resistance</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"10.1158/2159-8290.CD-13-0070", "ISBN" : "2159-8290 (Electronic)\\r2159-8274 (Linking)", "ISSN" : "21598274", "PMID" : "23614898", "abstract" : "The high frequency of activating RAS or BRAF mutations in cancer provides strong rationale for targeting the mitogen-activated protein kinase (MAPK) pathway. Selective BRAF and MAP-ERK kinase (MEK) inhibitors have shown clinical efficacy in patients with melanoma. However, the majority of responses are transient, and resistance is often associated with pathway reactivation of the extracellular signal-regulated kinase (ERK) signaling pathway. Here, we describe the identification and characterization of SCH772984, a novel and selective inhibitor of ERK1/2 that displays behaviors of both type I and type II kinase inhibitors. SCH772984 has nanomolar cellular potency in tumor cells with mutations in BRAF, NRAS, or KRAS and induces tumor regressions in xenograft models at tolerated doses. Importantly, SCH772984 effectively inhibited MAPK signaling and cell proliferation in BRAF or MEK inhibitor\u2013resistant models as well as in tumor cells resistant to concurrent treatment with BRAF and MEK inhibitors. These data support the clinical development of ERK inhibitors for tumors refractory to MAPK inhibitors.\\nSignificance: BRAF and MEK inhibitors have activity in MAPK-dependent cancers with BRAF or RAS mutations. However, resistance is associated with pathway alterations resulting in phospho-ERK reactivation. Here, we describe a novel ERK1/2 kinase inhibitor that has antitumor activity in MAPK inhibitor-na\u00efve and MAPK inhibitor-resistant cells containing BRAF or RAS mutations. Cancer Discov; 3(7); 742\u201350. \u00a92013 AACR.\\nSee related commentary by Nissan et al., p. 719\\nThis article is highlighted in the In This Issue feature, p. 705", "author" : [ { "dropping-particle" : "", "family" : "Morris", "given" : "Erick J.", "non-dropping-particle" : "", "parse-names" : false, "suffix" : "" }, { "dropping-particle" : "", "family" : "Jha", "given" : "Sharda", "non-dropping-particle" : "", "parse-names" : false, "suffix" : "" }, { "dropping-particle" : "", "family" : "Restaino", "given" : "Clifford R.", "non-dropping-particle" : "", "parse-names" : false, "suffix" : "" }, { "dropping-particle" : "", "family" : "Dayananth", "given" : "Priya", "non-dropping-particle" : "", "parse-names" : false, "suffix" : "" }, { "dropping-particle" : "", "family" : "Zhu", "given" : "Hugh", "non-dropping-particle" : "", "parse-names" : false, "suffix" : "" }, { "dropping-particle" : "", "family" : "Cooper", "given" : "Alan", "non-dropping-particle" : "", "parse-names" : false, "suffix" : "" }, { "dropping-particle" : "", "family" : "Carr", "given" : "Donna", "non-dropping-particle" : "", "parse-names" : false, "suffix" : "" }, { "dropping-particle" : "", "family" : "Deng", "given" : "Yongi", "non-dropping-particle" : "", "parse-names" : false, "suffix" : "" }, { "dropping-particle" : "", "family" : "Jin", "given" : "Weihong", "non-dropping-particle" : "", "parse-names" : false, "suffix" : "" }, { "dropping-particle" : "", "family" : "Black", "given" : "Stuart", "non-dropping-particle" : "", "parse-names" : false, "suffix" : "" }, { "dropping-particle" : "", "family" : "Long", "given" : "Brian", "non-dropping-particle" : "", "parse-names" : false, "suffix" : "" }, { "dropping-particle" : "", "family" : "Liu", "given" : "Jenny", "non-dropping-particle" : "", "parse-names" : false, "suffix" : "" }, { "dropping-particle" : "", "family" : "DiNunzio", "given" : "Edward", "non-dropping-particle" : "", "parse-names" : false, "suffix" : "" }, { "dropping-particle" : "", "family" : "Windsor", "given" : "William", "non-dropping-particle" : "", "parse-names" : false, "suffix" : "" }, { "dropping-particle" : "", "family" : "Zhang", "given" : "Rumin", "non-dropping-particle" : "", "parse-names" : false, "suffix" : "" }, { "dropping-particle" : "", "family" : "Zhao", "given" : "Shuxia", "non-dropping-particle" : "", "parse-names" : false, "suffix" : "" }, { "dropping-particle" : "", "family" : "Angagaw", "given" : "Minilik H.", "non-dropping-particle" : "", "parse-names" : false, "suffix" : "" }, { "dropping-particle" : "", "family" : "Pinheiro", "given" : "Elaine M.", "non-dropping-particle" : "", "parse-names" : false, "suffix" : "" }, { "dropping-particle" : "", "family" : "Desai", "given" : "Jagdish", "non-dropping-particle" : "", "parse-names" : false, "suffix" : "" }, { "dropping-particle" : "", "family" : "Xiao", "given" : "Li", "non-dropping-particle" : "", "parse-names" : false, "suffix" : "" }, { "dropping-particle" : "", "family" : "Shipps", "given" : "Gerald", "non-dropping-particle" : "", "parse-names" : false, "suffix" : "" }, { "dropping-particle" : "", "family" : "Hruza", "given" : "Alan", "non-dropping-particle" : "", "parse-names" : false, "suffix" : "" }, { "dropping-particle" : "", "family" : "Wang", "given" : "James", "non-dropping-particle" : "", "parse-names" : false, "suffix" : "" }, { "dropping-particle" : "", "family" : "Kelly", "given" : "Joe", "non-dropping-particle" : "", "parse-names" : false, "suffix" : "" }, { "dropping-particle" : "", "family" : "Paliwal", "given" : "Sunil", "non-dropping-particle" : "", "parse-names" : false, "suffix" : "" }, { "dropping-particle" : "", "family" : "Gao", "given" : "Xiaolei", "non-dropping-particle" : "", "parse-names" : false, "suffix" : "" }, { "dropping-particle" : "", "family" : "Babu", "given" : "Boga Sobhana", "non-dropping-particle" : "", "parse-names" : false, "suffix" : "" }, { "dropping-particle" : "", "family" : "Zhu", "given" : "Liang", "non-dropping-particle" : "", "parse-names" : false, "suffix" : "" }, { "dropping-particle" : "", "family" : "Daublain", "given" : "Pierre", "non-dropping-particle" : "", "parse-names" : false, "suffix" : "" }, { "dropping-particle" : "", "family" : "Zhang", "given" : "Ling", "non-dropping-particle" : "", "parse-names" : false, "suffix" : "" }, { "dropping-particle" : "", "family" : "Lutterbach", "given" : "Bart A.", "non-dropping-particle" : "", "parse-names" : false, "suffix" : "" }, { "dropping-particle" : "", "family" : "Pelletier", "given" : "Marc R.", "non-dropping-particle" : "", "parse-names" : false, "suffix" : "" }, { "dropping-particle" : "", "family" : "Philippar", "given" : "Ulrike", "non-dropping-particle" : "", "parse-names" : false, "suffix" : "" }, { "dropping-particle" : "", "family" : "Siliphaivanh", "given" : "Phieng", "non-dropping-particle" : "", "parse-names" : false, "suffix" : "" }, { "dropping-particle" : "", "family" : "Witter", "given" : "David", "non-dropping-particle" : "", "parse-names" : false, "suffix" : "" }, { "dropping-particle" : "", "family" : "Kirschmeier", "given" : "Paul", "non-dropping-particle" : "", "parse-names" : false, "suffix" : "" }, { "dropping-particle" : "", "family" : "Robert Bishop", "given" : "W.", "non-dropping-particle" : "", "parse-names" : false, "suffix" : "" }, { "dropping-particle" : "", "family" : "Hicklin", "given" : "Daniel", "non-dropping-particle" : "", "parse-names" : false, "suffix" : "" }, { "dropping-particle" : "", "family" : "Gary Gillil", "given" : "D.", "non-dropping-particle" : "", "parse-names" : false, "suffix" : "" }, { "dropping-particle" : "", "family" : "Jayaraman", "given" : "Lata", "non-dropping-particle" : "", "parse-names" : false, "suffix" : "" }, { "dropping-particle" : "", "family" : "Zawel", "given" : "Leigh", "non-dropping-particle" : "", "parse-names" : false, "suffix" : "" }, { "dropping-particle" : "", "family" : "Fawell", "given" : "Stephen", "non-dropping-particle" : "", "parse-names" : false, "suffix" : "" }, { "dropping-particle" : "", "family" : "Samatar", "given" : "Ahmed A.", "non-dropping-particle" : "", "parse-names" : false, "suffix" : "" } ], "container-title" : "Cancer Discovery", "id" : "ITEM-1", "issue" : "7", "issued" : { "date-parts" : [ [ "2013" ] ] }, "page" : "742-750", "title" : "Discovery of a novel ERK inhibitor with activity in models of acquired resistance to BRAF and MEK inhibitors", "type" : "article-journal", "volume" : "3" }, "uris" : [ "http://www.mendeley.com/documents/?uuid=13aaa25f-33fd-3212-935f-b42046b75d1c" ] } ], "mendeley" : { "formattedCitation" : "&lt;sup&gt;8&lt;/sup&gt;", "plainTextFormattedCitation" : "8", "previouslyFormattedCitation" : "&lt;sup&gt;8&lt;/sup&gt;" }, "properties" : { "noteIndex" : 0 }, "schema" : "https://github.com/citation-style-language/schema/raw/master/csl-citation.json" }</w:instrText>
      </w:r>
      <w:r w:rsidR="00C44109"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8</w:t>
      </w:r>
      <w:r w:rsidR="00C44109" w:rsidRPr="00D014D2">
        <w:rPr>
          <w:rFonts w:ascii="Times New Roman" w:hAnsi="Times New Roman" w:cs="Times New Roman"/>
          <w:color w:val="000000" w:themeColor="text1"/>
          <w:sz w:val="24"/>
          <w:szCs w:val="24"/>
        </w:rPr>
        <w:fldChar w:fldCharType="end"/>
      </w:r>
      <w:r w:rsidR="00C44109">
        <w:rPr>
          <w:rFonts w:ascii="Times New Roman" w:hAnsi="Times New Roman" w:cs="Times New Roman"/>
          <w:color w:val="000000" w:themeColor="text1"/>
          <w:sz w:val="24"/>
          <w:szCs w:val="24"/>
        </w:rPr>
        <w:t xml:space="preserve"> </w:t>
      </w:r>
      <w:r w:rsidR="00C44109" w:rsidRPr="00D014D2">
        <w:rPr>
          <w:rFonts w:ascii="Times New Roman" w:hAnsi="Times New Roman" w:cs="Times New Roman"/>
          <w:color w:val="000000" w:themeColor="text1"/>
          <w:sz w:val="24"/>
          <w:szCs w:val="24"/>
        </w:rPr>
        <w:t xml:space="preserve">Since resistance is often conferred by the reactivation of ERK1/2, there has been a resurgence in interest </w:t>
      </w:r>
      <w:r w:rsidR="00C44109">
        <w:rPr>
          <w:rFonts w:ascii="Times New Roman" w:hAnsi="Times New Roman" w:cs="Times New Roman"/>
          <w:color w:val="000000" w:themeColor="text1"/>
          <w:sz w:val="24"/>
          <w:szCs w:val="24"/>
        </w:rPr>
        <w:t xml:space="preserve">for </w:t>
      </w:r>
      <w:r w:rsidR="00C44109" w:rsidRPr="00D014D2">
        <w:rPr>
          <w:rFonts w:ascii="Times New Roman" w:hAnsi="Times New Roman" w:cs="Times New Roman"/>
          <w:color w:val="000000" w:themeColor="text1"/>
          <w:sz w:val="24"/>
          <w:szCs w:val="24"/>
        </w:rPr>
        <w:t>the development of ERK inhibitors. Recent studies have shown that cancer cells that develop BRAF and MEK inhibitor resistance are still dependent on the MAP kinase pathway, and treatment with ERK inhibitors blocks their proliferation</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"10.1158/2159-8290.CD-13-0070", "ISBN" : "2159-8290 (Electronic)\\r2159-8274 (Linking)", "ISSN" : "21598274", "PMID" : "23614898", "abstract" : "The high frequency of activating RAS or BRAF mutations in cancer provides strong rationale for targeting the mitogen-activated protein kinase (MAPK) pathway. Selective BRAF and MAP-ERK kinase (MEK) inhibitors have shown clinical efficacy in patients with melanoma. However, the majority of responses are transient, and resistance is often associated with pathway reactivation of the extracellular signal-regulated kinase (ERK) signaling pathway. Here, we describe the identification and characterization of SCH772984, a novel and selective inhibitor of ERK1/2 that displays behaviors of both type I and type II kinase inhibitors. SCH772984 has nanomolar cellular potency in tumor cells with mutations in BRAF, NRAS, or KRAS and induces tumor regressions in xenograft models at tolerated doses. Importantly, SCH772984 effectively inhibited MAPK signaling and cell proliferation in BRAF or MEK inhibitor\u2013resistant models as well as in tumor cells resistant to concurrent treatment with BRAF and MEK inhibitors. These data support the clinical development of ERK inhibitors for tumors refractory to MAPK inhibitors.\\nSignificance: BRAF and MEK inhibitors have activity in MAPK-dependent cancers with BRAF or RAS mutations. However, resistance is associated with pathway alterations resulting in phospho-ERK reactivation. Here, we describe a novel ERK1/2 kinase inhibitor that has antitumor activity in MAPK inhibitor-na\u00efve and MAPK inhibitor-resistant cells containing BRAF or RAS mutations. Cancer Discov; 3(7); 742\u201350. \u00a92013 AACR.\\nSee related commentary by Nissan et al., p. 719\\nThis article is highlighted in the In This Issue feature, p. 705", "author" : [ { "dropping-particle" : "", "family" : "Morris", "given" : "Erick J.", "non-dropping-particle" : "", "parse-names" : false, "suffix" : "" }, { "dropping-particle" : "", "family" : "Jha", "given" : "Sharda", "non-dropping-particle" : "", "parse-names" : false, "suffix" : "" }, { "dropping-particle" : "", "family" : "Restaino", "given" : "Clifford R.", "non-dropping-particle" : "", "parse-names" : false, "suffix" : "" }, { "dropping-particle" : "", "family" : "Dayananth", "given" : "Priya", "non-dropping-particle" : "", "parse-names" : false, "suffix" : "" }, { "dropping-particle" : "", "family" : "Zhu", "given" : "Hugh", "non-dropping-particle" : "", "parse-names" : false, "suffix" : "" }, { "dropping-particle" : "", "family" : "Cooper", "given" : "Alan", "non-dropping-particle" : "", "parse-names" : false, "suffix" : "" }, { "dropping-particle" : "", "family" : "Carr", "given" : "Donna", "non-dropping-particle" : "", "parse-names" : false, "suffix" : "" }, { "dropping-particle" : "", "family" : "Deng", "given" : "Yongi", "non-dropping-particle" : "", "parse-names" : false, "suffix" : "" }, { "dropping-particle" : "", "family" : "Jin", "given" : "Weihong", "non-dropping-particle" : "", "parse-names" : false, "suffix" : "" }, { "dropping-particle" : "", "family" : "Black", "given" : "Stuart", "non-dropping-particle" : "", "parse-names" : false, "suffix" : "" }, { "dropping-particle" : "", "family" : "Long", "given" : "Brian", "non-dropping-particle" : "", "parse-names" : false, "suffix" : "" }, { "dropping-particle" : "", "family" : "Liu", "given" : "Jenny", "non-dropping-particle" : "", "parse-names" : false, "suffix" : "" }, { "dropping-particle" : "", "family" : "DiNunzio", "given" : "Edward", "non-dropping-particle" : "", "parse-names" : false, "suffix" : "" }, { "dropping-particle" : "", "family" : "Windsor", "given" : "William", "non-dropping-particle" : "", "parse-names" : false, "suffix" : "" }, { "dropping-particle" : "", "family" : "Zhang", "given" : "Rumin", "non-dropping-particle" : "", "parse-names" : false, "suffix" : "" }, { "dropping-particle" : "", "family" : "Zhao", "given" : "Shuxia", "non-dropping-particle" : "", "parse-names" : false, "suffix" : "" }, { "dropping-particle" : "", "family" : "Angagaw", "given" : "Minilik H.", "non-dropping-particle" : "", "parse-names" : false, "suffix" : "" }, { "dropping-particle" : "", "family" : "Pinheiro", "given" : "Elaine M.", "non-dropping-particle" : "", "parse-names" : false, "suffix" : "" }, { "dropping-particle" : "", "family" : "Desai", "given" : "Jagdish", "non-dropping-particle" : "", "parse-names" : false, "suffix" : "" }, { "dropping-particle" : "", "family" : "Xiao", "given" : "Li", "non-dropping-particle" : "", "parse-names" : false, "suffix" : "" }, { "dropping-particle" : "", "family" : "Shipps", "given" : "Gerald", "non-dropping-particle" : "", "parse-names" : false, "suffix" : "" }, { "dropping-particle" : "", "family" : "Hruza", "given" : "Alan", "non-dropping-particle" : "", "parse-names" : false, "suffix" : "" }, { "dropping-particle" : "", "family" : "Wang", "given" : "James", "non-dropping-particle" : "", "parse-names" : false, "suffix" : "" }, { "dropping-particle" : "", "family" : "Kelly", "given" : "Joe", "non-dropping-particle" : "", "parse-names" : false, "suffix" : "" }, { "dropping-particle" : "", "family" : "Paliwal", "given" : "Sunil", "non-dropping-particle" : "", "parse-names" : false, "suffix" : "" }, { "dropping-particle" : "", "family" : "Gao", "given" : "Xiaolei", "non-dropping-particle" : "", "parse-names" : false, "suffix" : "" }, { "dropping-particle" : "", "family" : "Babu", "given" : "Boga Sobhana", "non-dropping-particle" : "", "parse-names" : false, "suffix" : "" }, { "dropping-particle" : "", "family" : "Zhu", "given" : "Liang", "non-dropping-particle" : "", "parse-names" : false, "suffix" : "" }, { "dropping-particle" : "", "family" : "Daublain", "given" : "Pierre", "non-dropping-particle" : "", "parse-names" : false, "suffix" : "" }, { "dropping-particle" : "", "family" : "Zhang", "given" : "Ling", "non-dropping-particle" : "", "parse-names" : false, "suffix" : "" }, { "dropping-particle" : "", "family" : "Lutterbach", "given" : "Bart A.", "non-dropping-particle" : "", "parse-names" : false, "suffix" : "" }, { "dropping-particle" : "", "family" : "Pelletier", "given" : "Marc R.", "non-dropping-particle" : "", "parse-names" : false, "suffix" : "" }, { "dropping-particle" : "", "family" : "Philippar", "given" : "Ulrike", "non-dropping-particle" : "", "parse-names" : false, "suffix" : "" }, { "dropping-particle" : "", "family" : "Siliphaivanh", "given" : "Phieng", "non-dropping-particle" : "", "parse-names" : false, "suffix" : "" }, { "dropping-particle" : "", "family" : "Witter", "given" : "David", "non-dropping-particle" : "", "parse-names" : false, "suffix" : "" }, { "dropping-particle" : "", "family" : "Kirschmeier", "given" : "Paul", "non-dropping-particle" : "", "parse-names" : false, "suffix" : "" }, { "dropping-particle" : "", "family" : "Robert Bishop", "given" : "W.", "non-dropping-particle" : "", "parse-names" : false, "suffix" : "" }, { "dropping-particle" : "", "family" : "Hicklin", "given" : "Daniel", "non-dropping-particle" : "", "parse-names" : false, "suffix" : "" }, { "dropping-particle" : "", "family" : "Gary Gillil", "given" : "D.", "non-dropping-particle" : "", "parse-names" : false, "suffix" : "" }, { "dropping-particle" : "", "family" : "Jayaraman", "given" : "Lata", "non-dropping-particle" : "", "parse-names" : false, "suffix" : "" }, { "dropping-particle" : "", "family" : "Zawel", "given" : "Leigh", "non-dropping-particle" : "", "parse-names" : false, "suffix" : "" }, { "dropping-particle" : "", "family" : "Fawell", "given" : "Stephen", "non-dropping-particle" : "", "parse-names" : false, "suffix" : "" }, { "dropping-particle" : "", "family" : "Samatar", "given" : "Ahmed A.", "non-dropping-particle" : "", "parse-names" : false, "suffix" : "" } ], "container-title" : "Cancer Discovery", "id" : "ITEM-1", "issue" : "7", "issued" : { "date-parts" : [ [ "2013" ] ] }, "page" : "742-750", "title" : "Discovery of a novel ERK inhibitor with activity in models of acquired resistance to BRAF and MEK inhibitors", "type" : "article-journal", "volume" : "3" }, "uris" : [ "http://www.mendeley.com/documents/?uuid=13aaa25f-33fd-3212-935f-b42046b75d1c" ] }, { "id" : "ITEM-2", "itemData" : { "DOI" : "10.1158/1535-7163.MCT-11-1010", "abstract" : "The RAS/RAF/MEK pathway is activated in more than 30% of human cancers, most commonly via mutation in the K-ras oncogene and also via mutations in BRAF. Several allosteric mitogen-activated protein/ extracellular signal\u2013regulated kinase (MEK) inhibitors, aimed at treating tumors with RAS/RAF pathway alterations, are in clinical development. However, acquired resistance to these inhibitors has been documented both in preclinical and clinical samples. To identify strategies to overcome this resistance, we have derived three independent MEK inhibitor\u2013resistant cell lines. Resistance to allosteric MEK inhibitors in these cell lines was consistently linked to acquired mutations in the allosteric binding pocket of MEK. In one cell line, concurrent amplification of mutant K-ras was observed in conjunction with MEK allosteric pocket mutations. Clonal analysis showed that both resistance mechanisms occur in the same cell and contribute to enhanced resistance. Importantly, in all cases the MEK-resistant cell lines retained their addiction to the mitogen-activated protein kinase (MAPK) pathway, as evidenced by their sensitivity to a selective inhibitor of the ERK1/2 kinases. These data suggest that tumors with acquired MEK inhibitor resistance remain dependent on the MAPK pathway and are therefore sensitive to inhibitors that act downstream of the mutated MEK target. Importantly, we show that dual inhibition of MEK and ERK by small molecule inhibitors was synergistic and acted to both inhibit the emergence of resistance, as well as to overcome acquired resistance to MEK inhibitors. Therefore, our data provide a rationale for cotargeting multiple nodes within the MAPK signaling cascade in K-ras mutant tumors to maximize therapeutic benefit for patients.", "author" : [ { "dropping-particle" : "", "family" : "Hatzivassiliou", "given" : "Georgia", "non-dropping-particle" : "", "parse-names" : false, "suffix" : "" }, { "dropping-particle" : "", "family" : "Liu", "given" : "Bonnie", "non-dropping-particle" : "", "parse-names" : false, "suffix" : "" }, { "dropping-particle" : "", "family" : "O 'brien", "given" : "Carol", "non-dropping-particle" : "", "parse-names" : false, "suffix" : "" }, { "dropping-particle" : "", "family" : "Spoerke", "given" : "Jill M", "non-dropping-particle" : "", "parse-names" : false, "suffix" : "" }, { "dropping-particle" : "", "family" : "Hoeflich", "given" : "Klaus P", "non-dropping-particle" : "", "parse-names" : false, "suffix" : "" }, { "dropping-particle" : "", "family" : "Haverty", "given" : "Peter M", "non-dropping-particle" : "", "parse-names" : false, "suffix" : "" }, { "dropping-particle" : "", "family" : "Soriano", "given" : "Robert", "non-dropping-particle" : "", "parse-names" : false, "suffix" : "" }, { "dropping-particle" : "", "family" : "Forrest", "given" : "William F", "non-dropping-particle" : "", "parse-names" : false, "suffix" : "" }, { "dropping-particle" : "", "family" : "Heldens", "given" : "Sherry", "non-dropping-particle" : "", "parse-names" : false, "suffix" : "" }, { "dropping-particle" : "", "family" : "Chen", "given" : "Huifen", "non-dropping-particle" : "", "parse-names" : false, "suffix" : "" }, { "dropping-particle" : "", "family" : "Toy", "given" : "Karen", "non-dropping-particle" : "", "parse-names" : false, "suffix" : "" }, { "dropping-particle" : "", "family" : "Ha", "given" : "Connie", "non-dropping-particle" : "", "parse-names" : false, "suffix" : "" }, { "dropping-particle" : "", "family" : "Zhou", "given" : "Wei", "non-dropping-particle" : "", "parse-names" : false, "suffix" : "" }, { "dropping-particle" : "", "family" : "Song", "given" : "Kyung", "non-dropping-particle" : "", "parse-names" : false, "suffix" : "" }, { "dropping-particle" : "", "family" : "Friedman", "given" : "Lori S", "non-dropping-particle" : "", "parse-names" : false, "suffix" : "" }, { "dropping-particle" : "", "family" : "Amler", "given" : "Lukas C", "non-dropping-particle" : "", "parse-names" : false, "suffix" : "" }, { "dropping-particle" : "", "family" : "Hampton", "given" : "Garret M", "non-dropping-particle" : "", "parse-names" : false, "suffix" : "" }, { "dropping-particle" : "", "family" : "Moffat", "given" : "John", "non-dropping-particle" : "", "parse-names" : false, "suffix" : "" }, { "dropping-particle" : "", "family" : "Belvin", "given" : "Marcia", "non-dropping-particle" : "", "parse-names" : false, "suffix" : "" }, { "dropping-particle" : "", "family" : "Lackner", "given" : "Mark R", "non-dropping-particle" : "", "parse-names" : false, "suffix" : "" } ], "container-title" : "Mol Cancer Ther", "id" : "ITEM-2", "issue" : "5", "issued" : { "date-parts" : [ [ "0" ] ] }, "page" : "1143-54", "title" : "ERK Inhibition Overcomes Acquired Resistance to MEK Inhibitors", "type" : "article-journal", "volume" : "11" }, "uris" : [ "http://www.mendeley.com/documents/?uuid=0416a9c0-7737-304e-910e-a2f4fd5ef6bf" ] } ], "mendeley" : { "formattedCitation" : "&lt;sup&gt;8,9&lt;/sup&gt;", "plainTextFormattedCitation" : "8,9", "previouslyFormattedCitation" : "&lt;sup&gt;8,9&lt;/sup&gt;" }, "properties" : { "noteIndex" : 0 }, "schema" : "https://github.com/citation-style-language/schema/raw/master/csl-citation.json" }</w:instrText>
      </w:r>
      <w:r w:rsidR="00C44109"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8,9</w:t>
      </w:r>
      <w:r w:rsidR="00C44109" w:rsidRPr="00D014D2">
        <w:rPr>
          <w:rFonts w:ascii="Times New Roman" w:hAnsi="Times New Roman" w:cs="Times New Roman"/>
          <w:color w:val="000000" w:themeColor="text1"/>
          <w:sz w:val="24"/>
          <w:szCs w:val="24"/>
        </w:rPr>
        <w:fldChar w:fldCharType="end"/>
      </w:r>
      <w:r w:rsidR="00C44109" w:rsidRPr="00D014D2">
        <w:rPr>
          <w:rFonts w:ascii="Times New Roman" w:hAnsi="Times New Roman" w:cs="Times New Roman"/>
          <w:color w:val="000000" w:themeColor="text1"/>
          <w:sz w:val="24"/>
          <w:szCs w:val="24"/>
        </w:rPr>
        <w:t xml:space="preserve"> However, a </w:t>
      </w:r>
      <w:r w:rsidR="00C44109">
        <w:rPr>
          <w:rFonts w:ascii="Times New Roman" w:hAnsi="Times New Roman" w:cs="Times New Roman"/>
          <w:color w:val="000000" w:themeColor="text1"/>
          <w:sz w:val="24"/>
          <w:szCs w:val="24"/>
        </w:rPr>
        <w:t xml:space="preserve">key </w:t>
      </w:r>
      <w:r w:rsidR="00C44109" w:rsidRPr="00D014D2">
        <w:rPr>
          <w:rFonts w:ascii="Times New Roman" w:hAnsi="Times New Roman" w:cs="Times New Roman"/>
          <w:color w:val="000000" w:themeColor="text1"/>
          <w:sz w:val="24"/>
          <w:szCs w:val="24"/>
        </w:rPr>
        <w:t>mutation that confers ERK</w:t>
      </w:r>
      <w:r w:rsidR="00C44109">
        <w:rPr>
          <w:rFonts w:ascii="Times New Roman" w:hAnsi="Times New Roman" w:cs="Times New Roman"/>
          <w:color w:val="000000" w:themeColor="text1"/>
          <w:sz w:val="24"/>
          <w:szCs w:val="24"/>
        </w:rPr>
        <w:t>1/2</w:t>
      </w:r>
      <w:r w:rsidR="00C44109" w:rsidRPr="00D014D2">
        <w:rPr>
          <w:rFonts w:ascii="Times New Roman" w:hAnsi="Times New Roman" w:cs="Times New Roman"/>
          <w:color w:val="000000" w:themeColor="text1"/>
          <w:sz w:val="24"/>
          <w:szCs w:val="24"/>
        </w:rPr>
        <w:t xml:space="preserve"> inhibitor resistance has been </w:t>
      </w:r>
      <w:r w:rsidR="00C44109">
        <w:rPr>
          <w:rFonts w:ascii="Times New Roman" w:hAnsi="Times New Roman" w:cs="Times New Roman"/>
          <w:color w:val="000000" w:themeColor="text1"/>
          <w:sz w:val="24"/>
          <w:szCs w:val="24"/>
        </w:rPr>
        <w:t xml:space="preserve">recently </w:t>
      </w:r>
      <w:r w:rsidR="00C44109" w:rsidRPr="00D014D2">
        <w:rPr>
          <w:rFonts w:ascii="Times New Roman" w:hAnsi="Times New Roman" w:cs="Times New Roman"/>
          <w:color w:val="000000" w:themeColor="text1"/>
          <w:sz w:val="24"/>
          <w:szCs w:val="24"/>
        </w:rPr>
        <w:t>discovered</w:t>
      </w:r>
      <w:r w:rsidR="00C44109">
        <w:rPr>
          <w:rFonts w:ascii="Times New Roman" w:hAnsi="Times New Roman" w:cs="Times New Roman"/>
          <w:color w:val="000000" w:themeColor="text1"/>
          <w:sz w:val="24"/>
          <w:szCs w:val="24"/>
        </w:rPr>
        <w:t>.</w:t>
      </w:r>
      <w:r w:rsidR="00C44109"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"10.1158/1535-7163.MCT-15-0172", "ISSN" : "1535-7163", "PMID" : "26832798", "abstract" : "The MAPK pathway is frequently activated in many human cancers, particularly melanomas. A single-nucleotide mutation in BRAF resulting in the substitution of glutamic acid for valine (V(600E)) causes constitutive activation of the downstream MAPK pathway. Selective BRAF and MEK inhibitor therapies have demonstrated remarkable antitumor responses in BRAF(V600) (E)-mutant melanoma patients. However, initial tumor shrinkage is transient and the vast majority of patients develop resistance. We previously reported that SCH772984, an ERK 1/2 inhibitor, effectively suppressed MAPK pathway signaling and cell proliferation in BRAF, MEK, and concurrent BRAF/MEK inhibitor-resistant tumor models. ERK inhibitors are currently being evaluated in clinical trials and, in anticipation of the likelihood of clinical resistance, we sought to prospectively model acquired resistance to SCH772984. Our data show that long-term exposure of cells to SCH772984 leads to acquired resistance, attributable to a mutation of glycine to aspartic acid (G(186D)) in the DFG motif of ERK1. Structural and biophysical studies demonstrated specific defects in SCH772984 binding to mutant ERK. Taken together, these studies describe the interaction of SCH772984 with ERK and identify a novel mechanism of ERK inhibitor resistance through mutation of a single residue within the DFG motif. Mol Cancer Ther; 15(4); 548-59. \u00a92016 AACR.", "author" : [ { "dropping-particle" : "", "family" : "Jha", "given" : "S.", "non-dropping-particle" : "", "parse-names" : false, "suffix" : "" }, { "dropping-particle" : "", "family" : "Morris", "given" : "E. J.", "non-dropping-particle" : "", "parse-names" : false, "suffix" : "" }, { "dropping-particle" : "", "family" : "Hruza", "given" : "A.", "non-dropping-particle" : "", "parse-names" : false, "suffix" : "" }, { "dropping-particle" : "", "family" : "Mansueto", "given" : "M. S.", "non-dropping-particle" : "", "parse-names" : false, "suffix" : "" }, { "dropping-particle" : "", "family" : "Schroeder", "given" : "G. K.", "non-dropping-particle" : "", "parse-names" : false, "suffix" : "" }, { "dropping-particle" : "", "family" : "Arbanas", "given" : "J.", "non-dropping-particle" : "", "parse-names" : false, "suffix" : "" }, { "dropping-particle" : "", "family" : "McMasters", "given" : "D.", "non-dropping-particle" : "", "parse-names" : false, "suffix" : "" }, { "dropping-particle" : "", "family" : "Restaino", "given" : "C. R.", "non-dropping-particle" : "", "parse-names" : false, "suffix" : "" }, { "dropping-particle" : "", "family" : "Dayananth", "given" : "P.", "non-dropping-particle" : "", "parse-names" : false, "suffix" : "" }, { "dropping-particle" : "", "family" : "Black", "given" : "S.", "non-dropping-particle" : "", "parse-names" : false, "suffix" : "" }, { "dropping-particle" : "", "family" : "Elsen", "given" : "N. L.", "non-dropping-particle" : "", "parse-names" : false, "suffix" : "" }, { "dropping-particle" : "", "family" : "Mannarino", "given" : "A.", "non-dropping-particle" : "", "parse-names" : false, "suffix" : "" }, { "dropping-particle" : "", "family" : "Cooper", "given" : "A.", "non-dropping-particle" : "", "parse-names" : false, "suffix" : "" }, { "dropping-particle" : "", "family" : "Fawell", "given" : "S.", "non-dropping-particle" : "", "parse-names" : false, "suffix" : "" }, { "dropping-particle" : "", "family" : "Zawel", "given" : "L.", "non-dropping-particle" : "", "parse-names" : false, "suffix" : "" }, { "dropping-particle" : "", "family" : "Jayaraman", "given" : "L.", "non-dropping-particle" : "", "parse-names" : false, "suffix" : "" }, { "dropping-particle" : "", "family" : "Samatar", "given" : "A. A.", "non-dropping-particle" : "", "parse-names" : false, "suffix" : "" } ], "container-title" : "Molecular Cancer Therapeutics", "id" : "ITEM-1", "issue" : "4", "issued" : { "date-parts" : [ [ "2016", "4", "1" ] ] }, "page" : "548-559", "title" : "Dissecting Therapeutic Resistance to ERK Inhibition", "type" : "article-journal", "volume" : "15" }, "uris" : [ "http://www.mendeley.com/documents/?uuid=bd22a3ed-59c9-3c00-a272-903bd9944ecd" ] } ], "mendeley" : { "formattedCitation" : "&lt;sup&gt;11&lt;/sup&gt;", "plainTextFormattedCitation" : "11", "previouslyFormattedCitation" : "&lt;sup&gt;11&lt;/sup&gt;" }, "properties" : { "noteIndex" : 0 }, "schema" : "https://github.com/citation-style-language/schema/raw/master/csl-citation.json" }</w:instrText>
      </w:r>
      <w:r w:rsidR="00C44109"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11</w:t>
      </w:r>
      <w:r w:rsidR="00C44109" w:rsidRPr="00D014D2">
        <w:rPr>
          <w:rFonts w:ascii="Times New Roman" w:hAnsi="Times New Roman" w:cs="Times New Roman"/>
          <w:color w:val="000000" w:themeColor="text1"/>
          <w:sz w:val="24"/>
          <w:szCs w:val="24"/>
        </w:rPr>
        <w:fldChar w:fldCharType="end"/>
      </w:r>
      <w:r w:rsidR="00C44109">
        <w:rPr>
          <w:rFonts w:ascii="Times New Roman" w:hAnsi="Times New Roman" w:cs="Times New Roman"/>
          <w:color w:val="000000" w:themeColor="text1"/>
          <w:sz w:val="24"/>
          <w:szCs w:val="24"/>
        </w:rPr>
        <w:t xml:space="preserve"> </w:t>
      </w:r>
    </w:p>
    <w:p w:rsidR="00C44109" w:rsidRPr="00D014D2" w:rsidRDefault="00C44109" w:rsidP="00C44109">
      <w:pPr>
        <w:spacing w:after="0" w:line="480" w:lineRule="auto"/>
        <w:ind w:firstLine="720"/>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Importantly, </w:t>
      </w:r>
      <w:r w:rsidRPr="00D014D2">
        <w:rPr>
          <w:rFonts w:ascii="Times New Roman" w:hAnsi="Times New Roman" w:cs="Times New Roman"/>
          <w:color w:val="000000" w:themeColor="text1"/>
          <w:sz w:val="24"/>
          <w:szCs w:val="24"/>
        </w:rPr>
        <w:t>ERK1 and ERK2 have 82% sequence similarity and substantial structural similarity</w:t>
      </w:r>
      <w:r>
        <w:rPr>
          <w:rFonts w:ascii="Times New Roman" w:hAnsi="Times New Roman" w:cs="Times New Roman"/>
          <w:color w:val="000000" w:themeColor="text1"/>
          <w:sz w:val="24"/>
          <w:szCs w:val="24"/>
        </w:rPr>
        <w:t>.</w:t>
      </w:r>
      <w:r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"10.3389/fcell.2016.00053", "ISSN" : "2296-634X", "PMID" : "27376062", "abstract" : "The MAP kinase signalling cascade Ras/Raf/MEK/ERK has been involved in a large variety of cellular and physiological processes that are crucial for life. Many pathological situations have been associated to this pathway. More than one isoform has been described at each level of the cascade. In this review we devoted our attention to ERK1 and ERK2, which are the effector kinases of the pathway. Whether ERK1 and ERK2 specify functional differences or are in contrast functionally redundant, constitutes an ongoing debate despite the huge amount of studies performed to date. In this review we compiled data on ERK1 versus ERK2 gene structures, protein sequences, expression levels, structural and molecular mechanisms of activation and substrate recognition. We have also attempted to perform a rigorous analysis of studies regarding the individual roles of ERK1 and ERK2 by the means of morpholinos, siRNA and shRNA silencing as well as gene disruption or gene replacement in mice. Finally, we comment on a recent study of gene and protein evolution of ERK isoforms as a distinct approach to address the same question. Our review permits the evaluation of the relevance of published studies in the field especially when measurements of global ERK activation are taken into account. Our analysis favours the hypothesis of ERK1 and ERK2 exhibiting functional redundancy and points to the concept of the global ERK quantity, and not isoform specificity, as being the essential determinant to achieve ERK function.", "author" : [ { "dropping-particle" : "", "family" : "Busc\u00e0", "given" : "Roser", "non-dropping-particle" : "", "parse-names" : false, "suffix" : "" }, { "dropping-particle" : "", "family" : "Pouyss\u00e9gur", "given" : "Jacques", "non-dropping-particle" : "", "parse-names" : false, "suffix" : "" }, { "dropping-particle" : "", "family" : "Lenormand", "given" : "Philippe", "non-dropping-particle" : "", "parse-names" : false, "suffix" : "" } ], "container-title" : "Frontiers in Cell and Developmental Biology", "id" : "ITEM-1", "issue" : "June", "issued" : { "date-parts" : [ [ "2016" ] ] }, "page" : "53", "title" : "ERK1 and ERK2 Map Kinases: Specific Roles or Functional Redundancy?", "type" : "article-journal", "volume" : "4" }, "uris" : [ "http://www.mendeley.com/documents/?uuid=48f4218d-92b9-4455-9fae-ddc9651910b0" ] } ], "mendeley" : { "formattedCitation" : "&lt;sup&gt;12&lt;/sup&gt;", "plainTextFormattedCitation" : "12", "previouslyFormattedCitation" : "&lt;sup&gt;12&lt;/sup&gt;" }, "properties" : { "noteIndex" : 0 }, "schema" : "https://github.com/citation-style-language/schema/raw/master/csl-citation.json" }</w:instrText>
      </w:r>
      <w:r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12</w:t>
      </w:r>
      <w:r w:rsidRPr="00D014D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D014D2">
        <w:rPr>
          <w:rFonts w:ascii="Times New Roman" w:hAnsi="Times New Roman" w:cs="Times New Roman"/>
          <w:color w:val="000000" w:themeColor="text1"/>
          <w:sz w:val="24"/>
          <w:szCs w:val="24"/>
        </w:rPr>
        <w:t xml:space="preserve">Many lines of evidence suggest the functional redundancy of ERK1 and ERK2, including a recent phylogenetic analysis </w:t>
      </w:r>
      <w:r>
        <w:rPr>
          <w:rFonts w:ascii="Times New Roman" w:hAnsi="Times New Roman" w:cs="Times New Roman"/>
          <w:color w:val="000000" w:themeColor="text1"/>
          <w:sz w:val="24"/>
          <w:szCs w:val="24"/>
        </w:rPr>
        <w:t>showing</w:t>
      </w:r>
      <w:r w:rsidRPr="00D014D2">
        <w:rPr>
          <w:rFonts w:ascii="Times New Roman" w:hAnsi="Times New Roman" w:cs="Times New Roman"/>
          <w:color w:val="000000" w:themeColor="text1"/>
          <w:sz w:val="24"/>
          <w:szCs w:val="24"/>
        </w:rPr>
        <w:t xml:space="preserve"> that non-synonymous substitutions occurring after the duplication of the ERK1/2 ancestor are far from functional sites and likely neutral</w:t>
      </w:r>
      <w:r>
        <w:rPr>
          <w:rFonts w:ascii="Times New Roman" w:hAnsi="Times New Roman" w:cs="Times New Roman"/>
          <w:color w:val="000000" w:themeColor="text1"/>
          <w:sz w:val="24"/>
          <w:szCs w:val="24"/>
        </w:rPr>
        <w:t>.</w:t>
      </w:r>
      <w:r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"10.3389/fcell.2016.00053", "ISSN" : "2296-634X", "PMID" : "27376062", "abstract" : "The MAP kinase signalling cascade Ras/Raf/MEK/ERK has been involved in a large variety of cellular and physiological processes that are crucial for life. Many pathological situations have been associated to this pathway. More than one isoform has been described at each level of the cascade. In this review we devoted our attention to ERK1 and ERK2, which are the effector kinases of the pathway. Whether ERK1 and ERK2 specify functional differences or are in contrast functionally redundant, constitutes an ongoing debate despite the huge amount of studies performed to date. In this review we compiled data on ERK1 versus ERK2 gene structures, protein sequences, expression levels, structural and molecular mechanisms of activation and substrate recognition. We have also attempted to perform a rigorous analysis of studies regarding the individual roles of ERK1 and ERK2 by the means of morpholinos, siRNA and shRNA silencing as well as gene disruption or gene replacement in mice. Finally, we comment on a recent study of gene and protein evolution of ERK isoforms as a distinct approach to address the same question. Our review permits the evaluation of the relevance of published studies in the field especially when measurements of global ERK activation are taken into account. Our analysis favours the hypothesis of ERK1 and ERK2 exhibiting functional redundancy and points to the concept of the global ERK quantity, and not isoform specificity, as being the essential determinant to achieve ERK function.", "author" : [ { "dropping-particle" : "", "family" : "Busc\u00e0", "given" : "Roser", "non-dropping-particle" : "", "parse-names" : false, "suffix" : "" }, { "dropping-particle" : "", "family" : "Pouyss\u00e9gur", "given" : "Jacques", "non-dropping-particle" : "", "parse-names" : false, "suffix" : "" }, { "dropping-particle" : "", "family" : "Lenormand", "given" : "Philippe", "non-dropping-particle" : "", "parse-names" : false, "suffix" : "" } ], "container-title" : "Frontiers in Cell and Developmental Biology", "id" : "ITEM-1", "issue" : "June", "issued" : { "date-parts" : [ [ "2016" ] ] }, "page" : "53", "title" : "ERK1 and ERK2 Map Kinases: Specific Roles or Functional Redundancy?", "type" : "article-journal", "volume" : "4" }, "uris" : [ "http://www.mendeley.com/documents/?uuid=48f4218d-92b9-4455-9fae-ddc9651910b0" ] } ], "mendeley" : { "formattedCitation" : "&lt;sup&gt;12&lt;/sup&gt;", "plainTextFormattedCitation" : "12", "previouslyFormattedCitation" : "&lt;sup&gt;12&lt;/sup&gt;" }, "properties" : { "noteIndex" : 0 }, "schema" : "https://github.com/citation-style-language/schema/raw/master/csl-citation.json" }</w:instrText>
      </w:r>
      <w:r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12</w:t>
      </w:r>
      <w:r w:rsidRPr="00D014D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D014D2">
        <w:rPr>
          <w:rFonts w:ascii="Times New Roman" w:hAnsi="Times New Roman" w:cs="Times New Roman"/>
          <w:color w:val="000000" w:themeColor="text1"/>
          <w:sz w:val="24"/>
          <w:szCs w:val="24"/>
        </w:rPr>
        <w:t>However, there is also evidence for functional divergence, such as expression differences in ERK1 and ERK2 as well as a few key structural differences</w:t>
      </w:r>
      <w:r>
        <w:rPr>
          <w:rFonts w:ascii="Times New Roman" w:hAnsi="Times New Roman" w:cs="Times New Roman"/>
          <w:color w:val="000000" w:themeColor="text1"/>
          <w:sz w:val="24"/>
          <w:szCs w:val="24"/>
        </w:rPr>
        <w:t>.</w:t>
      </w:r>
      <w:r w:rsidRPr="00D014D2">
        <w:rPr>
          <w:rFonts w:ascii="Times New Roman" w:hAnsi="Times New Roman" w:cs="Times New Roman"/>
          <w:color w:val="000000" w:themeColor="text1"/>
          <w:sz w:val="24"/>
          <w:szCs w:val="24"/>
        </w:rPr>
        <w:fldChar w:fldCharType="begin" w:fldLock="1"/>
      </w:r>
      <w:r w:rsidR="00403260">
        <w:rPr>
          <w:rFonts w:ascii="Times New Roman" w:hAnsi="Times New Roman" w:cs="Times New Roman"/>
          <w:color w:val="000000" w:themeColor="text1"/>
          <w:sz w:val="24"/>
          <w:szCs w:val="24"/>
        </w:rPr>
        <w:instrText>ADDIN CSL_CITATION { "citationItems" : [ { "id" : "ITEM-1", "itemData" : { "DOI" : "10.3389/fcell.2016.00053", "ISSN" : "2296-634X", "PMID" : "27376062", "abstract" : "The MAP kinase signalling cascade Ras/Raf/MEK/ERK has been involved in a large variety of cellular and physiological processes that are crucial for life. Many pathological situations have been associated to this pathway. More than one isoform has been described at each level of the cascade. In this review we devoted our attention to ERK1 and ERK2, which are the effector kinases of the pathway. Whether ERK1 and ERK2 specify functional differences or are in contrast functionally redundant, constitutes an ongoing debate despite the huge amount of studies performed to date. In this review we compiled data on ERK1 versus ERK2 gene structures, protein sequences, expression levels, structural and molecular mechanisms of activation and substrate recognition. We have also attempted to perform a rigorous analysis of studies regarding the individual roles of ERK1 and ERK2 by the means of morpholinos, siRNA and shRNA silencing as well as gene disruption or gene replacement in mice. Finally, we comment on a recent study of gene and protein evolution of ERK isoforms as a distinct approach to address the same question. Our review permits the evaluation of the relevance of published studies in the field especially when measurements of global ERK activation are taken into account. Our analysis favours the hypothesis of ERK1 and ERK2 exhibiting functional redundancy and points to the concept of the global ERK quantity, and not isoform specificity, as being the essential determinant to achieve ERK function.", "author" : [ { "dropping-particle" : "", "family" : "Busc\u00e0", "given" : "Roser", "non-dropping-particle" : "", "parse-names" : false, "suffix" : "" }, { "dropping-particle" : "", "family" : "Pouyss\u00e9gur", "given" : "Jacques", "non-dropping-particle" : "", "parse-names" : false, "suffix" : "" }, { "dropping-particle" : "", "family" : "Lenormand", "given" : "Philippe", "non-dropping-particle" : "", "parse-names" : false, "suffix" : "" } ], "container-title" : "Frontiers in Cell and Developmental Biology", "id" : "ITEM-1", "issue" : "June", "issued" : { "date-parts" : [ [ "2016" ] ] }, "page" : "53", "title" : "ERK1 and ERK2 Map Kinases: Specific Roles or Functional Redundancy?", "type" : "article-journal", "volume" : "4" }, "uris" : [ "http://www.mendeley.com/documents/?uuid=48f4218d-92b9-4455-9fae-ddc9651910b0" ] } ], "mendeley" : { "formattedCitation" : "&lt;sup&gt;12&lt;/sup&gt;", "plainTextFormattedCitation" : "12", "previouslyFormattedCitation" : "&lt;sup&gt;12&lt;/sup&gt;" }, "properties" : { "noteIndex" : 0 }, "schema" : "https://github.com/citation-style-language/schema/raw/master/csl-citation.json" }</w:instrText>
      </w:r>
      <w:r w:rsidRPr="00D014D2">
        <w:rPr>
          <w:rFonts w:ascii="Times New Roman" w:hAnsi="Times New Roman" w:cs="Times New Roman"/>
          <w:color w:val="000000" w:themeColor="text1"/>
          <w:sz w:val="24"/>
          <w:szCs w:val="24"/>
        </w:rPr>
        <w:fldChar w:fldCharType="separate"/>
      </w:r>
      <w:r w:rsidR="00682BEC" w:rsidRPr="00682BEC">
        <w:rPr>
          <w:rFonts w:ascii="Times New Roman" w:hAnsi="Times New Roman" w:cs="Times New Roman"/>
          <w:noProof/>
          <w:color w:val="000000" w:themeColor="text1"/>
          <w:sz w:val="24"/>
          <w:szCs w:val="24"/>
          <w:vertAlign w:val="superscript"/>
        </w:rPr>
        <w:t>12</w:t>
      </w:r>
      <w:r w:rsidRPr="00D014D2">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t>
      </w:r>
      <w:r w:rsidRPr="00D014D2">
        <w:rPr>
          <w:rFonts w:ascii="Times New Roman" w:eastAsia="Times New Roman" w:hAnsi="Times New Roman" w:cs="Times New Roman"/>
          <w:color w:val="000000" w:themeColor="text1"/>
          <w:sz w:val="24"/>
          <w:szCs w:val="24"/>
        </w:rPr>
        <w:t>Even in the context of strong similarities between ERK1 and ERK2 binding sites, mutations distant from a protein's binding site can still have allosteric effects that result in large changes in a binding pocket's conformational dynamics</w:t>
      </w:r>
      <w:r>
        <w:rPr>
          <w:rFonts w:ascii="Times New Roman" w:eastAsia="Times New Roman" w:hAnsi="Times New Roman" w:cs="Times New Roman"/>
          <w:color w:val="000000" w:themeColor="text1"/>
          <w:sz w:val="24"/>
          <w:szCs w:val="24"/>
        </w:rPr>
        <w:t>.</w:t>
      </w:r>
      <w:r w:rsidRPr="00D014D2">
        <w:rPr>
          <w:rFonts w:ascii="Times New Roman" w:eastAsia="Times New Roman" w:hAnsi="Times New Roman" w:cs="Times New Roman"/>
          <w:color w:val="000000" w:themeColor="text1"/>
          <w:sz w:val="24"/>
          <w:szCs w:val="24"/>
        </w:rPr>
        <w:fldChar w:fldCharType="begin" w:fldLock="1"/>
      </w:r>
      <w:r w:rsidR="00403260">
        <w:rPr>
          <w:rFonts w:ascii="Times New Roman" w:eastAsia="Times New Roman" w:hAnsi="Times New Roman" w:cs="Times New Roman"/>
          <w:color w:val="000000" w:themeColor="text1"/>
          <w:sz w:val="24"/>
          <w:szCs w:val="24"/>
        </w:rPr>
        <w:instrText>ADDIN CSL_CITATION { "citationItems" : [ { "id" : "ITEM-1", "itemData" : { "DOI" : "10.1016/j.sbi.2015.11.002", "ISSN" : "1879-033X", "PMID" : "26684487", "abstract" : "Sequencing technologies are revealing many new non-synonymous single nucleotide variants (nsSNVs) in each personal exome. To assess their functional impacts, comparative genomics is frequently employed to predict if they are benign or not. However, evolutionary analysis alone is insufficient, because it misdiagnoses many disease-associated nsSNVs, such as those at positions involved in protein interfaces, and because evolutionary predictions do not provide mechanistic insights into functional change or loss. Structural analyses can aid in overcoming both of these problems by incorporating conformational dynamics and allostery in nSNV diagnosis. Finally, protein-protein interaction networks using systems-level methodologies shed light onto disease etiology and pathogenesis. Bridging these network approaches with structurally resolved protein interactions and dynamics will advance genomic medicine.", "author" : [ { "dropping-particle" : "", "family" : "Kumar", "given" : "Avishek", "non-dropping-particle" : "", "parse-names" : false, "suffix" : "" }, { "dropping-particle" : "", "family" : "Butler", "given" : "Brandon M", "non-dropping-particle" : "", "parse-names" : false, "suffix" : "" }, { "dropping-particle" : "", "family" : "Kumar", "given" : "Sudhir", "non-dropping-particle" : "", "parse-names" : false, "suffix" : "" }, { "dropping-particle" : "", "family" : "Ozkan", "given" : "S Banu", "non-dropping-particle" : "", "parse-names" : false, "suffix" : "" } ], "container-title" : "Current opinion in structural biology", "id" : "ITEM-1", "issued" : { "date-parts" : [ [ "2015", "12" ] ] }, "page" : "135-42", "publisher" : "NIH Public Access", "title" : "Integration of structural dynamics and molecular evolution via protein interaction networks: a new era in genomic medicine.", "type" : "article-journal", "volume" : "35" }, "uris" : [ "http://www.mendeley.com/documents/?uuid=7f45e49d-01ea-3c74-97de-80eab20c5024" ] } ], "mendeley" : { "formattedCitation" : "&lt;sup&gt;13&lt;/sup&gt;", "plainTextFormattedCitation" : "13", "previouslyFormattedCitation" : "&lt;sup&gt;13&lt;/sup&gt;" }, "properties" : { "noteIndex" : 0 }, "schema" : "https://github.com/citation-style-language/schema/raw/master/csl-citation.json" }</w:instrText>
      </w:r>
      <w:r w:rsidRPr="00D014D2">
        <w:rPr>
          <w:rFonts w:ascii="Times New Roman" w:eastAsia="Times New Roman" w:hAnsi="Times New Roman" w:cs="Times New Roman"/>
          <w:color w:val="000000" w:themeColor="text1"/>
          <w:sz w:val="24"/>
          <w:szCs w:val="24"/>
        </w:rPr>
        <w:fldChar w:fldCharType="separate"/>
      </w:r>
      <w:r w:rsidR="00682BEC" w:rsidRPr="00682BEC">
        <w:rPr>
          <w:rFonts w:ascii="Times New Roman" w:eastAsia="Times New Roman" w:hAnsi="Times New Roman" w:cs="Times New Roman"/>
          <w:noProof/>
          <w:color w:val="000000" w:themeColor="text1"/>
          <w:sz w:val="24"/>
          <w:szCs w:val="24"/>
          <w:vertAlign w:val="superscript"/>
        </w:rPr>
        <w:t>13</w:t>
      </w:r>
      <w:r w:rsidRPr="00D014D2">
        <w:rPr>
          <w:rFonts w:ascii="Times New Roman" w:eastAsia="Times New Roman" w:hAnsi="Times New Roman" w:cs="Times New Roman"/>
          <w:color w:val="000000" w:themeColor="text1"/>
          <w:sz w:val="24"/>
          <w:szCs w:val="24"/>
        </w:rPr>
        <w:fldChar w:fldCharType="end"/>
      </w:r>
      <w:r>
        <w:rPr>
          <w:rFonts w:ascii="Times New Roman" w:eastAsia="Times New Roman" w:hAnsi="Times New Roman" w:cs="Times New Roman"/>
          <w:color w:val="000000" w:themeColor="text1"/>
          <w:sz w:val="24"/>
          <w:szCs w:val="24"/>
        </w:rPr>
        <w:t xml:space="preserve"> </w:t>
      </w:r>
      <w:r w:rsidRPr="00D014D2">
        <w:rPr>
          <w:rFonts w:ascii="Times New Roman" w:eastAsia="Times New Roman" w:hAnsi="Times New Roman" w:cs="Times New Roman"/>
          <w:color w:val="000000" w:themeColor="text1"/>
          <w:sz w:val="24"/>
          <w:szCs w:val="24"/>
        </w:rPr>
        <w:t>For example, Jackson et al</w:t>
      </w:r>
      <w:r>
        <w:rPr>
          <w:rFonts w:ascii="Times New Roman" w:eastAsia="Times New Roman" w:hAnsi="Times New Roman" w:cs="Times New Roman"/>
          <w:color w:val="000000" w:themeColor="text1"/>
          <w:sz w:val="24"/>
          <w:szCs w:val="24"/>
        </w:rPr>
        <w:t>.</w:t>
      </w:r>
      <w:r w:rsidRPr="00D014D2">
        <w:rPr>
          <w:rFonts w:ascii="Times New Roman" w:eastAsia="Times New Roman" w:hAnsi="Times New Roman" w:cs="Times New Roman"/>
          <w:color w:val="000000" w:themeColor="text1"/>
          <w:sz w:val="24"/>
          <w:szCs w:val="24"/>
        </w:rPr>
        <w:t xml:space="preserve"> have shown that an enzyme's binding pocket can have its conformation dynamics and catalytic efficiency affected by far removed mutations</w:t>
      </w:r>
      <w:r>
        <w:rPr>
          <w:rFonts w:ascii="Times New Roman" w:eastAsia="Times New Roman" w:hAnsi="Times New Roman" w:cs="Times New Roman"/>
          <w:color w:val="000000" w:themeColor="text1"/>
          <w:sz w:val="24"/>
          <w:szCs w:val="24"/>
        </w:rPr>
        <w:t>.</w:t>
      </w:r>
      <w:r w:rsidRPr="00D014D2">
        <w:rPr>
          <w:rFonts w:ascii="Times New Roman" w:eastAsia="Times New Roman" w:hAnsi="Times New Roman" w:cs="Times New Roman"/>
          <w:color w:val="000000" w:themeColor="text1"/>
          <w:sz w:val="24"/>
          <w:szCs w:val="24"/>
        </w:rPr>
        <w:fldChar w:fldCharType="begin" w:fldLock="1"/>
      </w:r>
      <w:r w:rsidR="00403260">
        <w:rPr>
          <w:rFonts w:ascii="Times New Roman" w:eastAsia="Times New Roman" w:hAnsi="Times New Roman" w:cs="Times New Roman"/>
          <w:color w:val="000000" w:themeColor="text1"/>
          <w:sz w:val="24"/>
          <w:szCs w:val="24"/>
        </w:rPr>
        <w:instrText>ADDIN CSL_CITATION { "citationItems" : [ { "id" : "ITEM-1", "itemData" : { "DOI" : "10.1073/pnas.0907548106", "ISSN" : "0027-8424", "PMID" : "19966226", "abstract" : "To efficiently catalyze a chemical reaction, enzymes are required to maintain fast rates for formation of the Michaelis complex, the chemical reaction and product release. These distinct demands could be satisfied via fluctuation between different conformational substates (CSs) with unique configurations and catalytic properties. However, there is debate as to how these rapid conformational changes, or dynamics, exactly affect catalysis. As a model system, we have studied bacterial phosphotriesterase (PTE), which catalyzes the hydrolysis of the pesticide paraoxon at rates limited by a physical barrier-either substrate diffusion or conformational change. The mechanism of paraoxon hydrolysis is understood in detail and is based on a single, dominant, enzyme conformation. However, the other aspects of substrate turnover (substrate binding and product release), although possibly rate-limiting, have received relatively little attention. This work identifies \"open\" and \"closed\" CSs in PTE and dominant structural transition in the enzyme that links them. The closed state is optimally preorganized for paraoxon hydrolysis, but seems to block access to/from the active site. In contrast, the open CS enables access to the active site but is poorly organized for hydrolysis. Analysis of the structural and kinetic effects of mutations distant from the active site suggests that remote mutations affect the turnover rate by altering the conformational landscape.", "author" : [ { "dropping-particle" : "", "family" : "Jackson", "given" : "C. J.", "non-dropping-particle" : "", "parse-names" : false, "suffix" : "" }, { "dropping-particle" : "", "family" : "Foo", "given" : "J.-L.", "non-dropping-particle" : "", "parse-names" : false, "suffix" : "" }, { "dropping-particle" : "", "family" : "Tokuriki", "given" : "N.", "non-dropping-particle" : "", "parse-names" : false, "suffix" : "" }, { "dropping-particle" : "", "family" : "Afriat", "given" : "L.", "non-dropping-particle" : "", "parse-names" : false, "suffix" : "" }, { "dropping-particle" : "", "family" : "Carr", "given" : "P. D.", "non-dropping-particle" : "", "parse-names" : false, "suffix" : "" }, { "dropping-particle" : "", "family" : "Kim", "given" : "H.-K.", "non-dropping-particle" : "", "parse-names" : false, "suffix" : "" }, { "dropping-particle" : "", "family" : "Schenk", "given" : "G.", "non-dropping-particle" : "", "parse-names" : false, "suffix" : "" }, { "dropping-particle" : "", "family" : "Tawfik", "given" : "D. S.", "non-dropping-particle" : "", "parse-names" : false, "suffix" : "" }, { "dropping-particle" : "", "family" : "Ollis", "given" : "D. L.", "non-dropping-particle" : "", "parse-names" : false, "suffix" : "" } ], "container-title" : "Proceedings of the National Academy of Sciences", "id" : "ITEM-1", "issue" : "51", "issued" : { "date-parts" : [ [ "2009", "12", "22" ] ] }, "page" : "21631-21636", "title" : "Conformational sampling, catalysis, and evolution of the bacterial phosphotriesterase", "type" : "article-journal", "volume" : "106" }, "uris" : [ "http://www.mendeley.com/documents/?uuid=21d3afed-5954-3a94-ab63-65e461c534ec" ] } ], "mendeley" : { "formattedCitation" : "&lt;sup&gt;14&lt;/sup&gt;", "plainTextFormattedCitation" : "14", "previouslyFormattedCitation" : "&lt;sup&gt;14&lt;/sup&gt;" }, "properties" : { "noteIndex" : 0 }, "schema" : "https://github.com/citation-style-language/schema/raw/master/csl-citation.json" }</w:instrText>
      </w:r>
      <w:r w:rsidRPr="00D014D2">
        <w:rPr>
          <w:rFonts w:ascii="Times New Roman" w:eastAsia="Times New Roman" w:hAnsi="Times New Roman" w:cs="Times New Roman"/>
          <w:color w:val="000000" w:themeColor="text1"/>
          <w:sz w:val="24"/>
          <w:szCs w:val="24"/>
        </w:rPr>
        <w:fldChar w:fldCharType="separate"/>
      </w:r>
      <w:r w:rsidR="00682BEC" w:rsidRPr="00682BEC">
        <w:rPr>
          <w:rFonts w:ascii="Times New Roman" w:eastAsia="Times New Roman" w:hAnsi="Times New Roman" w:cs="Times New Roman"/>
          <w:noProof/>
          <w:color w:val="000000" w:themeColor="text1"/>
          <w:sz w:val="24"/>
          <w:szCs w:val="24"/>
          <w:vertAlign w:val="superscript"/>
        </w:rPr>
        <w:t>14</w:t>
      </w:r>
      <w:r w:rsidRPr="00D014D2">
        <w:rPr>
          <w:rFonts w:ascii="Times New Roman" w:eastAsia="Times New Roman" w:hAnsi="Times New Roman" w:cs="Times New Roman"/>
          <w:color w:val="000000" w:themeColor="text1"/>
          <w:sz w:val="24"/>
          <w:szCs w:val="24"/>
        </w:rPr>
        <w:fldChar w:fldCharType="end"/>
      </w:r>
      <w:r w:rsidRPr="00D014D2">
        <w:rPr>
          <w:rFonts w:ascii="Times New Roman" w:eastAsia="Times New Roman" w:hAnsi="Times New Roman" w:cs="Times New Roman"/>
          <w:color w:val="000000" w:themeColor="text1"/>
          <w:sz w:val="24"/>
          <w:szCs w:val="24"/>
        </w:rPr>
        <w:t xml:space="preserve"> This evidence along with </w:t>
      </w:r>
      <w:r w:rsidRPr="00D014D2">
        <w:rPr>
          <w:rFonts w:ascii="Times New Roman" w:eastAsia="Times New Roman" w:hAnsi="Times New Roman" w:cs="Times New Roman"/>
          <w:color w:val="000000" w:themeColor="text1"/>
          <w:sz w:val="24"/>
          <w:szCs w:val="24"/>
        </w:rPr>
        <w:lastRenderedPageBreak/>
        <w:t>the numerous sites available for selection pressure changes in kinases</w:t>
      </w:r>
      <w:r>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fldChar w:fldCharType="begin" w:fldLock="1"/>
      </w:r>
      <w:r w:rsidR="00403260">
        <w:rPr>
          <w:rFonts w:ascii="Times New Roman" w:eastAsia="Times New Roman" w:hAnsi="Times New Roman" w:cs="Times New Roman"/>
          <w:color w:val="000000" w:themeColor="text1"/>
          <w:sz w:val="24"/>
          <w:szCs w:val="24"/>
        </w:rPr>
        <w:instrText>ADDIN CSL_CITATION { "citationItems" : [ { "id" : "ITEM-1", "itemData" : { "DOI" : "10.1517/13543784.2011.546344", "ISSN" : "1744-7658", "PMID" : "21235428", "abstract" : "INTRODUCTION because of their important roles in disease and excellent 'druggability', kinases have become the second largest drug target family. The great success of the BCR-ABL inhibitor imatinib in treating chronic myelogenous leukemia illustrates the high potential of kinase inhibitor (KI) therapeutics, but also unveils a major limitation: the development of drug resistance. This is a significant concern as KIs reach large patient populations for an expanding array of indications. AREAS COVERED we provide an up-to-date understanding of the mechanisms through which KIs function and through which cells can become KI-resistant. We review current and future approaches to overcome KI resistance, focusing on currently approved KIs and KIs in clinical trials. We then discuss approaches to improve KI efficacy and overcome drug resistance and novel approaches to develop less drug resistance-prone KI therapeutics. EXPERT OPINION although drug resistance is a concern for current KI therapeutics, recent progress in our understanding of the underlying mechanisms and promising technological advances may overcome this limitation and provide powerful new therapeutics.", "author" : [ { "dropping-particle" : "", "family" : "Barouch-Bentov", "given" : "Rina", "non-dropping-particle" : "", "parse-names" : false, "suffix" : "" }, { "dropping-particle" : "", "family" : "Sauer", "given" : "Karsten", "non-dropping-particle" : "", "parse-names" : false, "suffix" : "" } ], "container-title" : "Expert opinion on investigational drugs", "id" : "ITEM-1", "issue" : "2", "issued" : { "date-parts" : [ [ "2011", "2" ] ] }, "page" : "153-208", "publisher" : "NIH Public Access", "title" : "Mechanisms of drug resistance in kinases.", "type" : "article-journal", "volume" : "20" }, "uris" : [ "http://www.mendeley.com/documents/?uuid=58902d74-2532-3b2d-a318-bc256ce89ae4" ] } ], "mendeley" : { "formattedCitation" : "&lt;sup&gt;15&lt;/sup&gt;", "plainTextFormattedCitation" : "15", "previouslyFormattedCitation" : "&lt;sup&gt;15&lt;/sup&gt;" }, "properties" : { "noteIndex" : 0 }, "schema" : "https://github.com/citation-style-language/schema/raw/master/csl-citation.json" }</w:instrText>
      </w:r>
      <w:r>
        <w:rPr>
          <w:rFonts w:ascii="Times New Roman" w:eastAsia="Times New Roman" w:hAnsi="Times New Roman" w:cs="Times New Roman"/>
          <w:color w:val="000000" w:themeColor="text1"/>
          <w:sz w:val="24"/>
          <w:szCs w:val="24"/>
        </w:rPr>
        <w:fldChar w:fldCharType="separate"/>
      </w:r>
      <w:r w:rsidR="00682BEC" w:rsidRPr="00682BEC">
        <w:rPr>
          <w:rFonts w:ascii="Times New Roman" w:eastAsia="Times New Roman" w:hAnsi="Times New Roman" w:cs="Times New Roman"/>
          <w:noProof/>
          <w:color w:val="000000" w:themeColor="text1"/>
          <w:sz w:val="24"/>
          <w:szCs w:val="24"/>
          <w:vertAlign w:val="superscript"/>
        </w:rPr>
        <w:t>15</w:t>
      </w:r>
      <w:r>
        <w:rPr>
          <w:rFonts w:ascii="Times New Roman" w:eastAsia="Times New Roman" w:hAnsi="Times New Roman" w:cs="Times New Roman"/>
          <w:color w:val="000000" w:themeColor="text1"/>
          <w:sz w:val="24"/>
          <w:szCs w:val="24"/>
        </w:rPr>
        <w:fldChar w:fldCharType="end"/>
      </w:r>
      <w:r w:rsidRPr="00D014D2">
        <w:rPr>
          <w:rFonts w:ascii="Times New Roman" w:eastAsia="Times New Roman" w:hAnsi="Times New Roman" w:cs="Times New Roman"/>
          <w:color w:val="000000" w:themeColor="text1"/>
          <w:sz w:val="24"/>
          <w:szCs w:val="24"/>
        </w:rPr>
        <w:t xml:space="preserve"> suggests that the amino acid differences between ERK1 and ERK2 </w:t>
      </w:r>
      <w:r>
        <w:rPr>
          <w:rFonts w:ascii="Times New Roman" w:eastAsia="Times New Roman" w:hAnsi="Times New Roman" w:cs="Times New Roman"/>
          <w:color w:val="000000" w:themeColor="text1"/>
          <w:sz w:val="24"/>
          <w:szCs w:val="24"/>
        </w:rPr>
        <w:t>could</w:t>
      </w:r>
      <w:r w:rsidRPr="00D014D2">
        <w:rPr>
          <w:rFonts w:ascii="Times New Roman" w:eastAsia="Times New Roman" w:hAnsi="Times New Roman" w:cs="Times New Roman"/>
          <w:color w:val="000000" w:themeColor="text1"/>
          <w:sz w:val="24"/>
          <w:szCs w:val="24"/>
        </w:rPr>
        <w:t xml:space="preserve"> </w:t>
      </w:r>
      <w:r w:rsidRPr="00D014D2">
        <w:rPr>
          <w:rFonts w:ascii="Times New Roman" w:hAnsi="Times New Roman" w:cs="Times New Roman"/>
          <w:color w:val="000000" w:themeColor="text1"/>
          <w:sz w:val="24"/>
          <w:szCs w:val="24"/>
        </w:rPr>
        <w:t>create</w:t>
      </w:r>
      <w:r w:rsidRPr="00D014D2">
        <w:rPr>
          <w:rFonts w:ascii="Times New Roman" w:eastAsia="Times New Roman" w:hAnsi="Times New Roman" w:cs="Times New Roman"/>
          <w:color w:val="000000" w:themeColor="text1"/>
          <w:sz w:val="24"/>
          <w:szCs w:val="24"/>
        </w:rPr>
        <w:t xml:space="preserve"> differences in the conformational dynamics of their binding pockets, which may affect the binding modes of their respective ligands.</w:t>
      </w:r>
    </w:p>
    <w:p w:rsidR="00511B1C" w:rsidRPr="00511B1C" w:rsidRDefault="006C5F6B" w:rsidP="00511B1C">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 this study</w:t>
      </w:r>
      <w:r w:rsidR="00511B1C" w:rsidRPr="00511B1C">
        <w:rPr>
          <w:rFonts w:ascii="Times New Roman" w:eastAsia="Times New Roman" w:hAnsi="Times New Roman" w:cs="Times New Roman"/>
          <w:color w:val="000000"/>
          <w:sz w:val="24"/>
          <w:szCs w:val="24"/>
        </w:rPr>
        <w:t xml:space="preserve">, we </w:t>
      </w:r>
      <w:r>
        <w:rPr>
          <w:rFonts w:ascii="Times New Roman" w:eastAsia="Times New Roman" w:hAnsi="Times New Roman" w:cs="Times New Roman"/>
          <w:color w:val="000000"/>
          <w:sz w:val="24"/>
          <w:szCs w:val="24"/>
        </w:rPr>
        <w:t>build upon our recent paper</w:t>
      </w:r>
      <w:r w:rsidR="007408F0">
        <w:rPr>
          <w:rFonts w:ascii="Times New Roman" w:eastAsia="Times New Roman" w:hAnsi="Times New Roman" w:cs="Times New Roman"/>
          <w:color w:val="000000"/>
          <w:sz w:val="24"/>
          <w:szCs w:val="24"/>
        </w:rPr>
        <w:fldChar w:fldCharType="begin" w:fldLock="1"/>
      </w:r>
      <w:r w:rsidR="00403260">
        <w:rPr>
          <w:rFonts w:ascii="Times New Roman" w:eastAsia="Times New Roman" w:hAnsi="Times New Roman" w:cs="Times New Roman"/>
          <w:color w:val="000000"/>
          <w:sz w:val="24"/>
          <w:szCs w:val="24"/>
        </w:rPr>
        <w:instrText>ADDIN CSL_CITATION { "citationItems" : [ { "id" : "ITEM-1", "itemData" : { "DOI" : "10.1021/acs.jcim.7b00048", "ISSN" : "1549-9596", "author" : [ { "dropping-particle" : "", "family" : "Ash", "given" : "Jeremy", "non-dropping-particle" : "", "parse-names" : false, "suffix" : "" }, { "dropping-particle" : "", "family" : "Fourches", "given" : "Denis", "non-dropping-particle" : "", "parse-names" : false, "suffix" : "" } ], "container-title" : "Journal of Chemical Information and Modeling", "id" : "ITEM-1", "issued" : { "date-parts" : [ [ "2017" ] ] }, "title" : "Characterizing the Chemical Space of ERK2 Kinase Characterizing the Chemical Space of ERK2 Kinase Inhibitors Using Descriptors Computed from Molecular Dynamics Trajectories", "type" : "article-journal" }, "uris" : [ "http://www.mendeley.com/documents/?uuid=86eb6562-7e24-46de-bf89-0c26cf15ad48" ] } ], "mendeley" : { "formattedCitation" : "&lt;sup&gt;16&lt;/sup&gt;", "plainTextFormattedCitation" : "16", "previouslyFormattedCitation" : "&lt;sup&gt;16&lt;/sup&gt;" }, "properties" : { "noteIndex" : 0 }, "schema" : "https://github.com/citation-style-language/schema/raw/master/csl-citation.json" }</w:instrText>
      </w:r>
      <w:r w:rsidR="007408F0">
        <w:rPr>
          <w:rFonts w:ascii="Times New Roman" w:eastAsia="Times New Roman" w:hAnsi="Times New Roman" w:cs="Times New Roman"/>
          <w:color w:val="000000"/>
          <w:sz w:val="24"/>
          <w:szCs w:val="24"/>
        </w:rPr>
        <w:fldChar w:fldCharType="separate"/>
      </w:r>
      <w:r w:rsidR="00682BEC" w:rsidRPr="00682BEC">
        <w:rPr>
          <w:rFonts w:ascii="Times New Roman" w:eastAsia="Times New Roman" w:hAnsi="Times New Roman" w:cs="Times New Roman"/>
          <w:noProof/>
          <w:color w:val="000000"/>
          <w:sz w:val="24"/>
          <w:szCs w:val="24"/>
          <w:vertAlign w:val="superscript"/>
        </w:rPr>
        <w:t>16</w:t>
      </w:r>
      <w:r w:rsidR="007408F0">
        <w:rPr>
          <w:rFonts w:ascii="Times New Roman" w:eastAsia="Times New Roman" w:hAnsi="Times New Roman" w:cs="Times New Roman"/>
          <w:color w:val="000000"/>
          <w:sz w:val="24"/>
          <w:szCs w:val="24"/>
        </w:rPr>
        <w:fldChar w:fldCharType="end"/>
      </w:r>
      <w:r w:rsidRPr="00511B1C">
        <w:rPr>
          <w:rFonts w:ascii="Times New Roman" w:eastAsia="Times New Roman" w:hAnsi="Times New Roman" w:cs="Times New Roman"/>
          <w:color w:val="000000"/>
          <w:sz w:val="24"/>
          <w:szCs w:val="24"/>
        </w:rPr>
        <w:t xml:space="preserve"> regarding ERK2 and a series of inhibitors modeled according to different levels of molecular representation</w:t>
      </w:r>
      <w:r>
        <w:rPr>
          <w:rFonts w:ascii="Times New Roman" w:eastAsia="Times New Roman" w:hAnsi="Times New Roman" w:cs="Times New Roman"/>
          <w:color w:val="000000"/>
          <w:sz w:val="24"/>
          <w:szCs w:val="24"/>
        </w:rPr>
        <w:t>.  We</w:t>
      </w:r>
      <w:r w:rsidRPr="00511B1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demonstrate </w:t>
      </w:r>
      <w:r w:rsidR="00511B1C" w:rsidRPr="00511B1C">
        <w:rPr>
          <w:rFonts w:ascii="Times New Roman" w:eastAsia="Times New Roman" w:hAnsi="Times New Roman" w:cs="Times New Roman"/>
          <w:color w:val="000000"/>
          <w:sz w:val="24"/>
          <w:szCs w:val="24"/>
        </w:rPr>
        <w:t>that differences between ERK</w:t>
      </w:r>
      <w:r>
        <w:rPr>
          <w:rFonts w:ascii="Times New Roman" w:eastAsia="Times New Roman" w:hAnsi="Times New Roman" w:cs="Times New Roman"/>
          <w:color w:val="000000"/>
          <w:sz w:val="24"/>
          <w:szCs w:val="24"/>
        </w:rPr>
        <w:t>1 and ERK2 binding pockets</w:t>
      </w:r>
      <w:r w:rsidR="00511B1C" w:rsidRPr="00511B1C">
        <w:rPr>
          <w:rFonts w:ascii="Times New Roman" w:eastAsia="Times New Roman" w:hAnsi="Times New Roman" w:cs="Times New Roman"/>
          <w:color w:val="000000"/>
          <w:sz w:val="24"/>
          <w:szCs w:val="24"/>
        </w:rPr>
        <w:t xml:space="preserve"> become apparent when simulating and exploring the conformational space of both kinases bound to small molecule inhibitors. By studying the dynamic non-covalent protein-ligand interactions between ERK1 and ERK2 and a set of known ERK1/2 inhibitors, we establish new relationships between those dynamic interactions and compounds potency and selectivity. </w:t>
      </w:r>
      <w:r w:rsidR="00511B1C" w:rsidRPr="00511B1C">
        <w:rPr>
          <w:rFonts w:ascii="Times New Roman" w:eastAsia="Times New Roman" w:hAnsi="Times New Roman" w:cs="Times New Roman"/>
          <w:color w:val="010101"/>
          <w:sz w:val="24"/>
          <w:szCs w:val="24"/>
        </w:rPr>
        <w:t xml:space="preserve">Since the functional redundancy of ERK1 and ERK2 is an ongoing debate, </w:t>
      </w:r>
      <w:r w:rsidR="00C95078">
        <w:rPr>
          <w:rFonts w:ascii="Times New Roman" w:eastAsia="Times New Roman" w:hAnsi="Times New Roman" w:cs="Times New Roman"/>
          <w:color w:val="010101"/>
          <w:sz w:val="24"/>
          <w:szCs w:val="24"/>
        </w:rPr>
        <w:t xml:space="preserve">a </w:t>
      </w:r>
      <w:r w:rsidR="00511B1C" w:rsidRPr="00511B1C">
        <w:rPr>
          <w:rFonts w:ascii="Times New Roman" w:eastAsia="Times New Roman" w:hAnsi="Times New Roman" w:cs="Times New Roman"/>
          <w:color w:val="010101"/>
          <w:sz w:val="24"/>
          <w:szCs w:val="24"/>
        </w:rPr>
        <w:t>key outc</w:t>
      </w:r>
      <w:r>
        <w:rPr>
          <w:rFonts w:ascii="Times New Roman" w:eastAsia="Times New Roman" w:hAnsi="Times New Roman" w:cs="Times New Roman"/>
          <w:color w:val="010101"/>
          <w:sz w:val="24"/>
          <w:szCs w:val="24"/>
        </w:rPr>
        <w:t>ome of this research is</w:t>
      </w:r>
      <w:r w:rsidR="00511B1C" w:rsidRPr="00511B1C">
        <w:rPr>
          <w:rFonts w:ascii="Times New Roman" w:eastAsia="Times New Roman" w:hAnsi="Times New Roman" w:cs="Times New Roman"/>
          <w:color w:val="010101"/>
          <w:sz w:val="24"/>
          <w:szCs w:val="24"/>
        </w:rPr>
        <w:t xml:space="preserve"> the identification of features of protein-ligand dynamics that confer specificity to ERK1 or ERK2, informing the design of chemical probes for selective inhibition of the isoforms, so that their functional divergence can be further explored.</w:t>
      </w:r>
    </w:p>
    <w:p w:rsidR="00465C4F" w:rsidRDefault="00465C4F" w:rsidP="00511B1C">
      <w:pPr>
        <w:spacing w:line="480" w:lineRule="auto"/>
        <w:rPr>
          <w:rFonts w:ascii="Times New Roman" w:eastAsia="Times New Roman" w:hAnsi="Times New Roman" w:cs="Times New Roman"/>
          <w:color w:val="000000"/>
          <w:sz w:val="24"/>
          <w:szCs w:val="24"/>
        </w:rPr>
      </w:pPr>
    </w:p>
    <w:p w:rsidR="00736A24" w:rsidRDefault="00736A24" w:rsidP="00511B1C">
      <w:pPr>
        <w:spacing w:line="480" w:lineRule="auto"/>
        <w:rPr>
          <w:rFonts w:ascii="Times New Roman" w:eastAsia="Times New Roman" w:hAnsi="Times New Roman" w:cs="Times New Roman"/>
          <w:color w:val="000000"/>
          <w:sz w:val="24"/>
          <w:szCs w:val="24"/>
        </w:rPr>
      </w:pPr>
    </w:p>
    <w:p w:rsidR="00736A24" w:rsidRDefault="00736A24" w:rsidP="00511B1C">
      <w:pPr>
        <w:spacing w:line="480" w:lineRule="auto"/>
        <w:rPr>
          <w:rFonts w:ascii="Times New Roman" w:eastAsia="Times New Roman" w:hAnsi="Times New Roman" w:cs="Times New Roman"/>
          <w:color w:val="000000"/>
          <w:sz w:val="24"/>
          <w:szCs w:val="24"/>
        </w:rPr>
      </w:pPr>
    </w:p>
    <w:p w:rsidR="00736A24" w:rsidRDefault="00736A24" w:rsidP="00511B1C">
      <w:pPr>
        <w:spacing w:line="480" w:lineRule="auto"/>
        <w:rPr>
          <w:rFonts w:ascii="Times New Roman" w:eastAsia="Times New Roman" w:hAnsi="Times New Roman" w:cs="Times New Roman"/>
          <w:color w:val="000000"/>
          <w:sz w:val="24"/>
          <w:szCs w:val="24"/>
        </w:rPr>
      </w:pPr>
    </w:p>
    <w:p w:rsidR="00736A24" w:rsidRDefault="00736A24" w:rsidP="00511B1C">
      <w:pPr>
        <w:spacing w:line="480" w:lineRule="auto"/>
        <w:rPr>
          <w:rFonts w:ascii="Times New Roman" w:eastAsia="Times New Roman" w:hAnsi="Times New Roman" w:cs="Times New Roman"/>
          <w:color w:val="000000"/>
          <w:sz w:val="24"/>
          <w:szCs w:val="24"/>
        </w:rPr>
      </w:pPr>
    </w:p>
    <w:p w:rsidR="00736A24" w:rsidRDefault="00736A24" w:rsidP="00511B1C">
      <w:pPr>
        <w:spacing w:line="480" w:lineRule="auto"/>
        <w:rPr>
          <w:rFonts w:ascii="Times New Roman" w:eastAsia="Times New Roman" w:hAnsi="Times New Roman" w:cs="Times New Roman"/>
          <w:color w:val="000000"/>
          <w:sz w:val="24"/>
          <w:szCs w:val="24"/>
        </w:rPr>
      </w:pPr>
    </w:p>
    <w:p w:rsidR="00C7753D" w:rsidRPr="00C7753D" w:rsidRDefault="00C7753D" w:rsidP="008D205D">
      <w:pPr>
        <w:pStyle w:val="Heading1"/>
        <w:rPr>
          <w:rFonts w:eastAsia="Times New Roman"/>
        </w:rPr>
      </w:pPr>
      <w:r w:rsidRPr="00C7753D">
        <w:rPr>
          <w:rFonts w:eastAsia="Times New Roman"/>
        </w:rPr>
        <w:lastRenderedPageBreak/>
        <w:t>Preliminary Methods and Results</w:t>
      </w:r>
    </w:p>
    <w:p w:rsidR="00C7753D" w:rsidRPr="00C7753D" w:rsidRDefault="00C7753D" w:rsidP="00C7753D">
      <w:pPr>
        <w:spacing w:line="480" w:lineRule="auto"/>
        <w:rPr>
          <w:rFonts w:ascii="Times New Roman" w:eastAsia="Times New Roman" w:hAnsi="Times New Roman" w:cs="Times New Roman"/>
          <w:color w:val="000000"/>
          <w:sz w:val="24"/>
          <w:szCs w:val="24"/>
        </w:rPr>
      </w:pPr>
    </w:p>
    <w:p w:rsidR="00F77584" w:rsidRDefault="00F77584" w:rsidP="00F7758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focused</w:t>
      </w:r>
      <w:r w:rsidR="00181AA4">
        <w:rPr>
          <w:rFonts w:ascii="Times New Roman" w:hAnsi="Times New Roman" w:cs="Times New Roman"/>
          <w:color w:val="000000" w:themeColor="text1"/>
          <w:sz w:val="24"/>
          <w:szCs w:val="24"/>
        </w:rPr>
        <w:t xml:space="preserve"> library</w:t>
      </w:r>
      <w:r w:rsidR="00C047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constructed by</w:t>
      </w:r>
      <w:r w:rsidR="00181AA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mining</w:t>
      </w:r>
      <w:r w:rsidR="00181AA4" w:rsidRPr="00181AA4">
        <w:rPr>
          <w:rFonts w:ascii="Times New Roman" w:hAnsi="Times New Roman" w:cs="Times New Roman"/>
          <w:color w:val="000000" w:themeColor="text1"/>
          <w:sz w:val="24"/>
          <w:szCs w:val="24"/>
        </w:rPr>
        <w:t xml:space="preserve"> the </w:t>
      </w:r>
      <w:proofErr w:type="spellStart"/>
      <w:r w:rsidR="00181AA4" w:rsidRPr="00181AA4">
        <w:rPr>
          <w:rFonts w:ascii="Times New Roman" w:hAnsi="Times New Roman" w:cs="Times New Roman"/>
          <w:color w:val="000000" w:themeColor="text1"/>
          <w:sz w:val="24"/>
          <w:szCs w:val="24"/>
        </w:rPr>
        <w:t>ChEMBL</w:t>
      </w:r>
      <w:proofErr w:type="spellEnd"/>
      <w:r w:rsidR="00181AA4" w:rsidRPr="00181AA4">
        <w:rPr>
          <w:rFonts w:ascii="Times New Roman" w:hAnsi="Times New Roman" w:cs="Times New Roman"/>
          <w:color w:val="000000" w:themeColor="text1"/>
          <w:sz w:val="24"/>
          <w:szCs w:val="24"/>
        </w:rPr>
        <w:t xml:space="preserve"> (</w:t>
      </w:r>
      <w:hyperlink r:id="rId6" w:history="1">
        <w:r w:rsidR="00181AA4" w:rsidRPr="00181AA4">
          <w:rPr>
            <w:rStyle w:val="Hyperlink"/>
            <w:rFonts w:ascii="Times New Roman" w:hAnsi="Times New Roman" w:cs="Times New Roman"/>
            <w:sz w:val="24"/>
            <w:szCs w:val="24"/>
          </w:rPr>
          <w:t>https://www.ebi.ac.uk/chembl/</w:t>
        </w:r>
      </w:hyperlink>
      <w:r w:rsidR="00181AA4" w:rsidRPr="00181AA4">
        <w:rPr>
          <w:rFonts w:ascii="Times New Roman" w:hAnsi="Times New Roman" w:cs="Times New Roman"/>
          <w:color w:val="000000" w:themeColor="text1"/>
          <w:sz w:val="24"/>
          <w:szCs w:val="24"/>
        </w:rPr>
        <w:t xml:space="preserve">) </w:t>
      </w:r>
      <w:proofErr w:type="spellStart"/>
      <w:r w:rsidR="00181AA4" w:rsidRPr="00181AA4">
        <w:rPr>
          <w:rFonts w:ascii="Times New Roman" w:hAnsi="Times New Roman" w:cs="Times New Roman"/>
          <w:color w:val="000000" w:themeColor="text1"/>
          <w:sz w:val="24"/>
          <w:szCs w:val="24"/>
        </w:rPr>
        <w:t>chemogenomics</w:t>
      </w:r>
      <w:proofErr w:type="spellEnd"/>
      <w:r w:rsidR="00181AA4" w:rsidRPr="00181AA4">
        <w:rPr>
          <w:rFonts w:ascii="Times New Roman" w:hAnsi="Times New Roman" w:cs="Times New Roman"/>
          <w:color w:val="000000" w:themeColor="text1"/>
          <w:sz w:val="24"/>
          <w:szCs w:val="24"/>
        </w:rPr>
        <w:t xml:space="preserve"> database for all ligands tested against ERK1 (CHEMBL3385) and ERK2 (CHEMBL4040). Our prelimina</w:t>
      </w:r>
      <w:r w:rsidR="00403260">
        <w:rPr>
          <w:rFonts w:ascii="Times New Roman" w:hAnsi="Times New Roman" w:cs="Times New Roman"/>
          <w:color w:val="000000" w:themeColor="text1"/>
          <w:sz w:val="24"/>
          <w:szCs w:val="24"/>
        </w:rPr>
        <w:t xml:space="preserve">ry analysis retrieved 958 </w:t>
      </w:r>
      <w:r w:rsidR="00181AA4" w:rsidRPr="00181AA4">
        <w:rPr>
          <w:rFonts w:ascii="Times New Roman" w:hAnsi="Times New Roman" w:cs="Times New Roman"/>
          <w:color w:val="000000" w:themeColor="text1"/>
          <w:sz w:val="24"/>
          <w:szCs w:val="24"/>
        </w:rPr>
        <w:t>ligands with known activity to</w:t>
      </w:r>
      <w:r w:rsidR="00403260">
        <w:rPr>
          <w:rFonts w:ascii="Times New Roman" w:hAnsi="Times New Roman" w:cs="Times New Roman"/>
          <w:color w:val="000000" w:themeColor="text1"/>
          <w:sz w:val="24"/>
          <w:szCs w:val="24"/>
        </w:rPr>
        <w:t>wards ERK1</w:t>
      </w:r>
      <w:r w:rsidR="00181AA4" w:rsidRPr="00181AA4">
        <w:rPr>
          <w:rFonts w:ascii="Times New Roman" w:hAnsi="Times New Roman" w:cs="Times New Roman"/>
          <w:color w:val="000000" w:themeColor="text1"/>
          <w:sz w:val="24"/>
          <w:szCs w:val="24"/>
        </w:rPr>
        <w:t xml:space="preserve"> and </w:t>
      </w:r>
      <w:r w:rsidR="00403260">
        <w:rPr>
          <w:rFonts w:ascii="Times New Roman" w:hAnsi="Times New Roman" w:cs="Times New Roman"/>
          <w:color w:val="000000" w:themeColor="text1"/>
          <w:sz w:val="24"/>
          <w:szCs w:val="24"/>
        </w:rPr>
        <w:t xml:space="preserve">969 </w:t>
      </w:r>
      <w:r w:rsidR="00181AA4" w:rsidRPr="00181AA4">
        <w:rPr>
          <w:rFonts w:ascii="Times New Roman" w:hAnsi="Times New Roman" w:cs="Times New Roman"/>
          <w:color w:val="000000" w:themeColor="text1"/>
          <w:sz w:val="24"/>
          <w:szCs w:val="24"/>
        </w:rPr>
        <w:t xml:space="preserve">ligands with known activity towards ERK1. </w:t>
      </w:r>
      <w:r>
        <w:rPr>
          <w:rFonts w:ascii="Times New Roman" w:hAnsi="Times New Roman" w:cs="Times New Roman"/>
          <w:color w:val="000000" w:themeColor="text1"/>
          <w:sz w:val="24"/>
          <w:szCs w:val="24"/>
        </w:rPr>
        <w:t>Knime</w:t>
      </w:r>
      <w:r>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 "citationItems" : [ { "id" : "ITEM-1", "itemData" : { "DOI" : "10.1007/978-3-540-78246-9_38", "ISBN" : "978-3-540-78239-1", "ISSN" : "1431-8814", "author" : [ { "dropping-particle" : "", "family" : "Berthold", "given" : "Michael R", "non-dropping-particle" : "", "parse-names" : false, "suffix" : "" }, { "dropping-particle" : "", "family" : "Cebron", "given" : "Nicolas", "non-dropping-particle" : "", "parse-names" : false, "suffix" : "" }, { "dropping-particle" : "", "family" : "Dill", "given" : "Fabian", "non-dropping-particle" : "", "parse-names" : false, "suffix" : "" }, { "dropping-particle" : "", "family" : "Gabriel", "given" : "Thomas R", "non-dropping-particle" : "", "parse-names" : false, "suffix" : "" }, { "dropping-particle" : "", "family" : "K\u00f6tter", "given" : "Tobias", "non-dropping-particle" : "", "parse-names" : false, "suffix" : "" }, { "dropping-particle" : "", "family" : "Meinl", "given" : "Thorsten", "non-dropping-particle" : "", "parse-names" : false, "suffix" : "" }, { "dropping-particle" : "", "family" : "Ohl", "given" : "Peter", "non-dropping-particle" : "", "parse-names" : false, "suffix" : "" }, { "dropping-particle" : "", "family" : "Sieb", "given" : "Christoph", "non-dropping-particle" : "", "parse-names" : false, "suffix" : "" }, { "dropping-particle" : "", "family" : "Thiel", "given" : "Kilian", "non-dropping-particle" : "", "parse-names" : false, "suffix" : "" }, { "dropping-particle" : "", "family" : "Wiswedel", "given" : "Bernd", "non-dropping-particle" : "", "parse-names" : false, "suffix" : "" } ], "container-title" : "Studies in Classification, Data Analysis, and Knowledge Organization (GfKL 2007)", "id" : "ITEM-1", "issued" : { "date-parts" : [ [ "2008" ] ] }, "page" : "319-326", "publisher" : "Springer", "title" : "KNIME: The Konstanz Information Miner", "type" : "chapter" }, "uris" : [ "http://www.mendeley.com/documents/?uuid=55a7ed2e-d1ee-4fbe-8e05-2f7237f362f6" ] } ], "mendeley" : { "formattedCitation" : "&lt;sup&gt;17&lt;/sup&gt;", "plainTextFormattedCitation" : "17", "previouslyFormattedCitation" : "&lt;sup&gt;17&lt;/sup&gt;" }, "properties" : { "noteIndex" : 0 }, "schema" : "https://github.com/citation-style-language/schema/raw/master/csl-citation.json" }</w:instrText>
      </w:r>
      <w:r>
        <w:rPr>
          <w:rFonts w:ascii="Times New Roman" w:hAnsi="Times New Roman" w:cs="Times New Roman"/>
          <w:color w:val="000000" w:themeColor="text1"/>
          <w:sz w:val="24"/>
          <w:szCs w:val="24"/>
        </w:rPr>
        <w:fldChar w:fldCharType="separate"/>
      </w:r>
      <w:r w:rsidRPr="00F77584">
        <w:rPr>
          <w:rFonts w:ascii="Times New Roman" w:hAnsi="Times New Roman" w:cs="Times New Roman"/>
          <w:noProof/>
          <w:color w:val="000000" w:themeColor="text1"/>
          <w:sz w:val="24"/>
          <w:szCs w:val="24"/>
          <w:vertAlign w:val="superscript"/>
        </w:rPr>
        <w:t>17</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xml:space="preserve"> was used to preprocess the ligands according to a curation</w:t>
      </w:r>
      <w:r w:rsidR="00181AA4" w:rsidRPr="00181AA4">
        <w:rPr>
          <w:rFonts w:ascii="Times New Roman" w:hAnsi="Times New Roman" w:cs="Times New Roman"/>
          <w:color w:val="000000" w:themeColor="text1"/>
          <w:sz w:val="24"/>
          <w:szCs w:val="24"/>
        </w:rPr>
        <w:t xml:space="preserve"> protocol co-developed by the </w:t>
      </w:r>
      <w:proofErr w:type="spellStart"/>
      <w:r w:rsidR="00181AA4" w:rsidRPr="00181AA4">
        <w:rPr>
          <w:rFonts w:ascii="Times New Roman" w:hAnsi="Times New Roman" w:cs="Times New Roman"/>
          <w:color w:val="000000" w:themeColor="text1"/>
          <w:sz w:val="24"/>
          <w:szCs w:val="24"/>
        </w:rPr>
        <w:t>Fourches</w:t>
      </w:r>
      <w:proofErr w:type="spellEnd"/>
      <w:r w:rsidR="00181AA4" w:rsidRPr="00181AA4">
        <w:rPr>
          <w:rFonts w:ascii="Times New Roman" w:hAnsi="Times New Roman" w:cs="Times New Roman"/>
          <w:color w:val="000000" w:themeColor="text1"/>
          <w:sz w:val="24"/>
          <w:szCs w:val="24"/>
        </w:rPr>
        <w:t xml:space="preserve"> lab</w:t>
      </w:r>
      <w:r w:rsidR="00181AA4" w:rsidRPr="00181AA4">
        <w:rPr>
          <w:rFonts w:ascii="Times New Roman" w:hAnsi="Times New Roman" w:cs="Times New Roman"/>
          <w:color w:val="000000" w:themeColor="text1"/>
          <w:sz w:val="24"/>
          <w:szCs w:val="24"/>
        </w:rPr>
        <w:fldChar w:fldCharType="begin" w:fldLock="1"/>
      </w:r>
      <w:r>
        <w:rPr>
          <w:rFonts w:ascii="Times New Roman" w:hAnsi="Times New Roman" w:cs="Times New Roman"/>
          <w:color w:val="000000" w:themeColor="text1"/>
          <w:sz w:val="24"/>
          <w:szCs w:val="24"/>
        </w:rPr>
        <w:instrText>ADDIN CSL_CITATION { "citationItems" : [ { "id" : "ITEM-1", "itemData" : { "DOI" : "10.1021/ci100176x", "ISSN" : "1549-960X", "PMID" : "20572635", "author" : [ { "dropping-particle" : "", "family" : "Fourches", "given" : "Denis", "non-dropping-particle" : "", "parse-names" : false, "suffix" : "" }, { "dropping-particle" : "", "family" : "Muratov", "given" : "Eugene", "non-dropping-particle" : "", "parse-names" : false, "suffix" : "" }, { "dropping-particle" : "", "family" : "Tropsha", "given" : "Alexander", "non-dropping-particle" : "", "parse-names" : false, "suffix" : "" } ], "container-title" : "Journal of chemical information and modeling", "id" : "ITEM-1", "issue" : "7", "issued" : { "date-parts" : [ [ "2010", "7", "26" ] ] }, "page" : "1189-204", "publisher" : "NIH Public Access", "title" : "Trust, but verify: on the importance of chemical structure curation in cheminformatics and QSAR modeling research.", "type" : "article-journal", "volume" : "50" }, "uris" : [ "http://www.mendeley.com/documents/?uuid=6d6ff48a-076f-3b11-aedf-9e6c74469109" ] }, { "id" : "ITEM-2", "itemData" : { "DOI" : "10.1021/acs.jcim.6b00129", "ISSN" : "1549-9596", "author" : [ { "dropping-particle" : "", "family" : "Fourches", "given" : "Denis", "non-dropping-particle" : "", "parse-names" : false, "suffix" : "" }, { "dropping-particle" : "", "family" : "Muratov", "given" : "Eugene", "non-dropping-particle" : "", "parse-names" : false, "suffix" : "" }, { "dropping-particle" : "", "family" : "Tropsha", "given" : "Alexander", "non-dropping-particle" : "", "parse-names" : false, "suffix" : "" } ], "container-title" : "Journal of Chemical Information and Modeling", "id" : "ITEM-2", "issue" : "7", "issued" : { "date-parts" : [ [ "2016", "7", "25" ] ] }, "page" : "1243-1252", "title" : "Trust, but Verify II: A Practical Guide to Chemogenomics Data Curation", "type" : "article-journal", "volume" : "56" }, "uris" : [ "http://www.mendeley.com/documents/?uuid=b70f53bb-3899-47db-a965-b7744a0a2e5f" ] } ], "mendeley" : { "formattedCitation" : "&lt;sup&gt;18,19&lt;/sup&gt;", "plainTextFormattedCitation" : "18,19", "previouslyFormattedCitation" : "&lt;sup&gt;18,19&lt;/sup&gt;" }, "properties" : { "noteIndex" : 0 }, "schema" : "https://github.com/citation-style-language/schema/raw/master/csl-citation.json" }</w:instrText>
      </w:r>
      <w:r w:rsidR="00181AA4" w:rsidRPr="00181AA4">
        <w:rPr>
          <w:rFonts w:ascii="Times New Roman" w:hAnsi="Times New Roman" w:cs="Times New Roman"/>
          <w:color w:val="000000" w:themeColor="text1"/>
          <w:sz w:val="24"/>
          <w:szCs w:val="24"/>
        </w:rPr>
        <w:fldChar w:fldCharType="separate"/>
      </w:r>
      <w:r w:rsidRPr="00F77584">
        <w:rPr>
          <w:rFonts w:ascii="Times New Roman" w:hAnsi="Times New Roman" w:cs="Times New Roman"/>
          <w:noProof/>
          <w:color w:val="000000" w:themeColor="text1"/>
          <w:sz w:val="24"/>
          <w:szCs w:val="24"/>
          <w:vertAlign w:val="superscript"/>
        </w:rPr>
        <w:t>18,19</w:t>
      </w:r>
      <w:r w:rsidR="00181AA4" w:rsidRPr="00181AA4">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Briefly, all salts, inorganic, and compounds with structural errors were flagged and removed.  All structural duplicates were</w:t>
      </w:r>
      <w:r w:rsidR="001B1061">
        <w:rPr>
          <w:rFonts w:ascii="Times New Roman" w:hAnsi="Times New Roman" w:cs="Times New Roman"/>
          <w:color w:val="000000" w:themeColor="text1"/>
          <w:sz w:val="24"/>
          <w:szCs w:val="24"/>
        </w:rPr>
        <w:t xml:space="preserve"> also</w:t>
      </w:r>
      <w:r>
        <w:rPr>
          <w:rFonts w:ascii="Times New Roman" w:hAnsi="Times New Roman" w:cs="Times New Roman"/>
          <w:color w:val="000000" w:themeColor="text1"/>
          <w:sz w:val="24"/>
          <w:szCs w:val="24"/>
        </w:rPr>
        <w:t xml:space="preserve"> removed using ChemmineR</w:t>
      </w:r>
      <w:r>
        <w:rPr>
          <w:rFonts w:ascii="Times New Roman" w:hAnsi="Times New Roman" w:cs="Times New Roman"/>
          <w:color w:val="000000" w:themeColor="text1"/>
          <w:sz w:val="24"/>
          <w:szCs w:val="24"/>
        </w:rPr>
        <w:fldChar w:fldCharType="begin" w:fldLock="1"/>
      </w:r>
      <w:r w:rsidR="00C04723">
        <w:rPr>
          <w:rFonts w:ascii="Times New Roman" w:hAnsi="Times New Roman" w:cs="Times New Roman"/>
          <w:color w:val="000000" w:themeColor="text1"/>
          <w:sz w:val="24"/>
          <w:szCs w:val="24"/>
        </w:rPr>
        <w:instrText>ADDIN CSL_CITATION { "citationItems" : [ { "id" : "ITEM-1", "itemData" : { "DOI" : "10.1093/bioinformatics/btn307", "ISSN" : "1367-4811", "PMID" : "18596077", "abstract" : "MOTIVATION Software applications for structural similarity searching and clustering of small molecules play an important role in drug discovery and chemical genomics. Here, we present the first open-source compound mining framework for the popular statistical programming environment R. The integration with a powerful statistical environment maximizes the flexibility, expandability and programmability of the provided analysis functions. RESULTS We discuss the algorithms and compound mining utilities provided by the R package ChemmineR. It contains functions for structural similarity searching, clustering of compound libraries with a wide spectrum of classification algorithms and various utilities for managing complex compound data. It also offers a wide range of visualization functions for compound clusters and chemical structures. The package is well integrated with the online ChemMine environment and allows bidirectional communications between the two services. AVAILABILITY ChemmineR is freely available as an R package from the ChemMine project site: http://bioweb.ucr.edu/ChemMineV2/chemminer", "author" : [ { "dropping-particle" : "", "family" : "Cao", "given" : "Yiqun", "non-dropping-particle" : "", "parse-names" : false, "suffix" : "" }, { "dropping-particle" : "", "family" : "Charisi", "given" : "Anna", "non-dropping-particle" : "", "parse-names" : false, "suffix" : "" }, { "dropping-particle" : "", "family" : "Cheng", "given" : "Li-Chang", "non-dropping-particle" : "", "parse-names" : false, "suffix" : "" }, { "dropping-particle" : "", "family" : "Jiang", "given" : "Tao", "non-dropping-particle" : "", "parse-names" : false, "suffix" : "" }, { "dropping-particle" : "", "family" : "Girke", "given" : "Thomas", "non-dropping-particle" : "", "parse-names" : false, "suffix" : "" } ], "container-title" : "Bioinformatics (Oxford, England)", "id" : "ITEM-1", "issue" : "15", "issued" : { "date-parts" : [ [ "2008", "8", "1" ] ] }, "page" : "1733-4", "publisher" : "Oxford University Press", "title" : "ChemmineR: a compound mining framework for R.", "type" : "article-journal", "volume" : "24" }, "uris" : [ "http://www.mendeley.com/documents/?uuid=d5ad4cea-0c9d-33e4-b6fc-c4cfa2c9b35f" ] } ], "mendeley" : { "formattedCitation" : "&lt;sup&gt;20&lt;/sup&gt;", "plainTextFormattedCitation" : "20", "previouslyFormattedCitation" : "&lt;sup&gt;20&lt;/sup&gt;" }, "properties" : { "noteIndex" : 0 }, "schema" : "https://github.com/citation-style-language/schema/raw/master/csl-citation.json" }</w:instrText>
      </w:r>
      <w:r>
        <w:rPr>
          <w:rFonts w:ascii="Times New Roman" w:hAnsi="Times New Roman" w:cs="Times New Roman"/>
          <w:color w:val="000000" w:themeColor="text1"/>
          <w:sz w:val="24"/>
          <w:szCs w:val="24"/>
        </w:rPr>
        <w:fldChar w:fldCharType="separate"/>
      </w:r>
      <w:r w:rsidRPr="00F77584">
        <w:rPr>
          <w:rFonts w:ascii="Times New Roman" w:hAnsi="Times New Roman" w:cs="Times New Roman"/>
          <w:noProof/>
          <w:color w:val="000000" w:themeColor="text1"/>
          <w:sz w:val="24"/>
          <w:szCs w:val="24"/>
          <w:vertAlign w:val="superscript"/>
        </w:rPr>
        <w:t>20</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  If there were multip</w:t>
      </w:r>
      <w:r w:rsidR="001B1061">
        <w:rPr>
          <w:rFonts w:ascii="Times New Roman" w:hAnsi="Times New Roman" w:cs="Times New Roman"/>
          <w:color w:val="000000" w:themeColor="text1"/>
          <w:sz w:val="24"/>
          <w:szCs w:val="24"/>
        </w:rPr>
        <w:t>le IC50 values measures, the</w:t>
      </w:r>
      <w:r>
        <w:rPr>
          <w:rFonts w:ascii="Times New Roman" w:hAnsi="Times New Roman" w:cs="Times New Roman"/>
          <w:color w:val="000000" w:themeColor="text1"/>
          <w:sz w:val="24"/>
          <w:szCs w:val="24"/>
        </w:rPr>
        <w:t xml:space="preserve"> mean was computed and standard deviations above 1 were flagged (only a couple of these instances, should probably throw out this data).</w:t>
      </w:r>
      <w:r w:rsidR="000577C6">
        <w:rPr>
          <w:rFonts w:ascii="Times New Roman" w:hAnsi="Times New Roman" w:cs="Times New Roman"/>
          <w:color w:val="000000" w:themeColor="text1"/>
          <w:sz w:val="24"/>
          <w:szCs w:val="24"/>
        </w:rPr>
        <w:t xml:space="preserve">  </w:t>
      </w:r>
      <w:r w:rsidR="00F94C3E">
        <w:rPr>
          <w:rFonts w:ascii="Times New Roman" w:hAnsi="Times New Roman" w:cs="Times New Roman"/>
          <w:color w:val="000000" w:themeColor="text1"/>
          <w:sz w:val="24"/>
          <w:szCs w:val="24"/>
        </w:rPr>
        <w:t xml:space="preserve">IC50 values were transformed to pIC50s with a negative log base 10 transform.  </w:t>
      </w:r>
      <w:r w:rsidR="000577C6">
        <w:rPr>
          <w:rFonts w:ascii="Times New Roman" w:hAnsi="Times New Roman" w:cs="Times New Roman"/>
          <w:color w:val="000000" w:themeColor="text1"/>
          <w:sz w:val="24"/>
          <w:szCs w:val="24"/>
        </w:rPr>
        <w:t>After preprocessing, only 71 compounds had binding potencies (</w:t>
      </w:r>
      <w:r w:rsidR="00F94C3E">
        <w:rPr>
          <w:rFonts w:ascii="Times New Roman" w:hAnsi="Times New Roman" w:cs="Times New Roman"/>
          <w:color w:val="000000" w:themeColor="text1"/>
          <w:sz w:val="24"/>
          <w:szCs w:val="24"/>
        </w:rPr>
        <w:t>p</w:t>
      </w:r>
      <w:r w:rsidR="000577C6">
        <w:rPr>
          <w:rFonts w:ascii="Times New Roman" w:hAnsi="Times New Roman" w:cs="Times New Roman"/>
          <w:color w:val="000000" w:themeColor="text1"/>
          <w:sz w:val="24"/>
          <w:szCs w:val="24"/>
        </w:rPr>
        <w:t>IC50)</w:t>
      </w:r>
      <w:r w:rsidR="000577C6" w:rsidRPr="00181AA4">
        <w:rPr>
          <w:rFonts w:ascii="Times New Roman" w:hAnsi="Times New Roman" w:cs="Times New Roman"/>
          <w:color w:val="000000" w:themeColor="text1"/>
          <w:sz w:val="24"/>
          <w:szCs w:val="24"/>
        </w:rPr>
        <w:t xml:space="preserve"> available</w:t>
      </w:r>
      <w:r w:rsidR="000577C6">
        <w:rPr>
          <w:rFonts w:ascii="Times New Roman" w:hAnsi="Times New Roman" w:cs="Times New Roman"/>
          <w:color w:val="000000" w:themeColor="text1"/>
          <w:sz w:val="24"/>
          <w:szCs w:val="24"/>
        </w:rPr>
        <w:t xml:space="preserve"> towards b</w:t>
      </w:r>
      <w:r w:rsidR="00181AA4" w:rsidRPr="00181AA4">
        <w:rPr>
          <w:rFonts w:ascii="Times New Roman" w:hAnsi="Times New Roman" w:cs="Times New Roman"/>
          <w:color w:val="000000" w:themeColor="text1"/>
          <w:sz w:val="24"/>
          <w:szCs w:val="24"/>
        </w:rPr>
        <w:t xml:space="preserve">oth ERK1 and ERK2. </w:t>
      </w:r>
      <w:r w:rsidR="000577C6">
        <w:rPr>
          <w:rFonts w:ascii="Times New Roman" w:hAnsi="Times New Roman" w:cs="Times New Roman"/>
          <w:color w:val="000000" w:themeColor="text1"/>
          <w:sz w:val="24"/>
          <w:szCs w:val="24"/>
        </w:rPr>
        <w:t xml:space="preserve"> Figure 1 shows that most activities measured were highly similar</w:t>
      </w:r>
      <w:r w:rsidR="00D51FBD">
        <w:rPr>
          <w:rFonts w:ascii="Times New Roman" w:hAnsi="Times New Roman" w:cs="Times New Roman"/>
          <w:color w:val="000000" w:themeColor="text1"/>
          <w:sz w:val="24"/>
          <w:szCs w:val="24"/>
        </w:rPr>
        <w:t xml:space="preserve"> and had correlation coefficient of</w:t>
      </w:r>
      <w:r w:rsidR="000577C6">
        <w:rPr>
          <w:rFonts w:ascii="Times New Roman" w:hAnsi="Times New Roman" w:cs="Times New Roman"/>
          <w:color w:val="000000" w:themeColor="text1"/>
          <w:sz w:val="24"/>
          <w:szCs w:val="24"/>
        </w:rPr>
        <w:t xml:space="preserve"> .893.  </w:t>
      </w:r>
      <w:r w:rsidR="00F94C3E">
        <w:rPr>
          <w:rFonts w:ascii="Times New Roman" w:hAnsi="Times New Roman" w:cs="Times New Roman"/>
          <w:color w:val="000000" w:themeColor="text1"/>
          <w:sz w:val="24"/>
          <w:szCs w:val="24"/>
        </w:rPr>
        <w:t>There were</w:t>
      </w:r>
      <w:r w:rsidR="001B1061">
        <w:rPr>
          <w:rFonts w:ascii="Times New Roman" w:hAnsi="Times New Roman" w:cs="Times New Roman"/>
          <w:color w:val="000000" w:themeColor="text1"/>
          <w:sz w:val="24"/>
          <w:szCs w:val="24"/>
        </w:rPr>
        <w:t xml:space="preserve"> only 10</w:t>
      </w:r>
      <w:r w:rsidR="00F94C3E" w:rsidRPr="00F94C3E">
        <w:rPr>
          <w:rFonts w:ascii="Times New Roman" w:hAnsi="Times New Roman" w:cs="Times New Roman"/>
          <w:color w:val="000000" w:themeColor="text1"/>
          <w:sz w:val="24"/>
          <w:szCs w:val="24"/>
        </w:rPr>
        <w:t xml:space="preserve"> ligands with larger than </w:t>
      </w:r>
      <w:r w:rsidR="00F94C3E">
        <w:rPr>
          <w:rFonts w:ascii="Times New Roman" w:hAnsi="Times New Roman" w:cs="Times New Roman"/>
          <w:color w:val="000000" w:themeColor="text1"/>
          <w:sz w:val="24"/>
          <w:szCs w:val="24"/>
        </w:rPr>
        <w:t>1 pIC50 difference (</w:t>
      </w:r>
      <w:r w:rsidR="00F94C3E" w:rsidRPr="00F94C3E">
        <w:rPr>
          <w:rFonts w:ascii="Times New Roman" w:hAnsi="Times New Roman" w:cs="Times New Roman"/>
          <w:color w:val="000000" w:themeColor="text1"/>
          <w:sz w:val="24"/>
          <w:szCs w:val="24"/>
        </w:rPr>
        <w:t>IC50</w:t>
      </w:r>
      <w:r w:rsidR="00F94C3E">
        <w:rPr>
          <w:rFonts w:ascii="Times New Roman" w:hAnsi="Times New Roman" w:cs="Times New Roman"/>
          <w:color w:val="000000" w:themeColor="text1"/>
          <w:sz w:val="24"/>
          <w:szCs w:val="24"/>
        </w:rPr>
        <w:t xml:space="preserve"> fold change of 10) between ERK1 and ERK2</w:t>
      </w:r>
      <w:r w:rsidR="00F94C3E" w:rsidRPr="00F94C3E">
        <w:rPr>
          <w:rFonts w:ascii="Times New Roman" w:hAnsi="Times New Roman" w:cs="Times New Roman"/>
          <w:color w:val="000000" w:themeColor="text1"/>
          <w:sz w:val="24"/>
          <w:szCs w:val="24"/>
        </w:rPr>
        <w:t>.</w:t>
      </w:r>
      <w:r w:rsidR="00AD4898">
        <w:rPr>
          <w:rFonts w:ascii="Times New Roman" w:hAnsi="Times New Roman" w:cs="Times New Roman"/>
          <w:color w:val="000000" w:themeColor="text1"/>
          <w:sz w:val="24"/>
          <w:szCs w:val="24"/>
        </w:rPr>
        <w:t xml:space="preserve">  </w:t>
      </w:r>
      <w:proofErr w:type="spellStart"/>
      <w:r w:rsidR="001B1061">
        <w:rPr>
          <w:rFonts w:ascii="Times New Roman" w:hAnsi="Times New Roman" w:cs="Times New Roman"/>
          <w:color w:val="000000" w:themeColor="text1"/>
          <w:sz w:val="24"/>
          <w:szCs w:val="24"/>
        </w:rPr>
        <w:t>Staurosporine</w:t>
      </w:r>
      <w:proofErr w:type="spellEnd"/>
      <w:r w:rsidR="001B1061">
        <w:rPr>
          <w:rFonts w:ascii="Times New Roman" w:hAnsi="Times New Roman" w:cs="Times New Roman"/>
          <w:color w:val="000000" w:themeColor="text1"/>
          <w:sz w:val="24"/>
          <w:szCs w:val="24"/>
        </w:rPr>
        <w:t xml:space="preserve"> was removed as it had multiple pIC50 values reported with a range larger than 1. Three other</w:t>
      </w:r>
      <w:r w:rsidR="00AD4898">
        <w:rPr>
          <w:rFonts w:ascii="Times New Roman" w:hAnsi="Times New Roman" w:cs="Times New Roman"/>
          <w:color w:val="000000" w:themeColor="text1"/>
          <w:sz w:val="24"/>
          <w:szCs w:val="24"/>
        </w:rPr>
        <w:t xml:space="preserve"> ligands were removed</w:t>
      </w:r>
      <w:r w:rsidR="006212F5">
        <w:rPr>
          <w:rFonts w:ascii="Times New Roman" w:hAnsi="Times New Roman" w:cs="Times New Roman"/>
          <w:color w:val="000000" w:themeColor="text1"/>
          <w:sz w:val="24"/>
          <w:szCs w:val="24"/>
        </w:rPr>
        <w:t xml:space="preserve"> due to poor ADMET properties</w:t>
      </w:r>
      <w:r w:rsidR="001B1061">
        <w:rPr>
          <w:rFonts w:ascii="Times New Roman" w:hAnsi="Times New Roman" w:cs="Times New Roman"/>
          <w:color w:val="000000" w:themeColor="text1"/>
          <w:sz w:val="24"/>
          <w:szCs w:val="24"/>
        </w:rPr>
        <w:t>.</w:t>
      </w:r>
      <w:r w:rsidR="00AD4898">
        <w:rPr>
          <w:rFonts w:ascii="Times New Roman" w:hAnsi="Times New Roman" w:cs="Times New Roman"/>
          <w:color w:val="000000" w:themeColor="text1"/>
          <w:sz w:val="24"/>
          <w:szCs w:val="24"/>
        </w:rPr>
        <w:t xml:space="preserve"> Tannic Acid had to</w:t>
      </w:r>
      <w:r w:rsidR="001B1061">
        <w:rPr>
          <w:rFonts w:ascii="Times New Roman" w:hAnsi="Times New Roman" w:cs="Times New Roman"/>
          <w:color w:val="000000" w:themeColor="text1"/>
          <w:sz w:val="24"/>
          <w:szCs w:val="24"/>
        </w:rPr>
        <w:t>o</w:t>
      </w:r>
      <w:r w:rsidR="00AD4898">
        <w:rPr>
          <w:rFonts w:ascii="Times New Roman" w:hAnsi="Times New Roman" w:cs="Times New Roman"/>
          <w:color w:val="000000" w:themeColor="text1"/>
          <w:sz w:val="24"/>
          <w:szCs w:val="24"/>
        </w:rPr>
        <w:t xml:space="preserve"> large of a molecular weight (1701.2 MW).  </w:t>
      </w:r>
      <w:proofErr w:type="spellStart"/>
      <w:r w:rsidR="00AD4898">
        <w:rPr>
          <w:rFonts w:ascii="Times New Roman" w:hAnsi="Times New Roman" w:cs="Times New Roman"/>
          <w:color w:val="000000" w:themeColor="text1"/>
          <w:sz w:val="24"/>
          <w:szCs w:val="24"/>
        </w:rPr>
        <w:t>Idoquinol</w:t>
      </w:r>
      <w:proofErr w:type="spellEnd"/>
      <w:r w:rsidR="00AD4898">
        <w:rPr>
          <w:rFonts w:ascii="Times New Roman" w:hAnsi="Times New Roman" w:cs="Times New Roman"/>
          <w:color w:val="000000" w:themeColor="text1"/>
          <w:sz w:val="24"/>
          <w:szCs w:val="24"/>
        </w:rPr>
        <w:t xml:space="preserve"> is known to be poorly absorbed in the gastrointestinal tract, and Hexachlorophene is an organochlorine compound.</w:t>
      </w:r>
      <w:r w:rsidR="006212F5">
        <w:rPr>
          <w:rFonts w:ascii="Times New Roman" w:hAnsi="Times New Roman" w:cs="Times New Roman"/>
          <w:color w:val="000000" w:themeColor="text1"/>
          <w:sz w:val="24"/>
          <w:szCs w:val="24"/>
        </w:rPr>
        <w:t xml:space="preserve">  </w:t>
      </w:r>
      <w:r w:rsidR="001B1061">
        <w:rPr>
          <w:rFonts w:ascii="Times New Roman" w:hAnsi="Times New Roman" w:cs="Times New Roman"/>
          <w:color w:val="000000" w:themeColor="text1"/>
          <w:sz w:val="24"/>
          <w:szCs w:val="24"/>
        </w:rPr>
        <w:t xml:space="preserve">The remaining six compounds belonged to an </w:t>
      </w:r>
      <w:r w:rsidR="006212F5">
        <w:rPr>
          <w:rFonts w:ascii="Times New Roman" w:hAnsi="Times New Roman" w:cs="Times New Roman"/>
          <w:color w:val="000000" w:themeColor="text1"/>
          <w:sz w:val="24"/>
          <w:szCs w:val="24"/>
        </w:rPr>
        <w:t xml:space="preserve">analog series reported by </w:t>
      </w:r>
      <w:proofErr w:type="spellStart"/>
      <w:r w:rsidR="006212F5" w:rsidRPr="006212F5">
        <w:rPr>
          <w:rFonts w:ascii="Times New Roman" w:hAnsi="Times New Roman" w:cs="Times New Roman"/>
          <w:color w:val="000000" w:themeColor="text1"/>
          <w:sz w:val="24"/>
          <w:szCs w:val="24"/>
        </w:rPr>
        <w:t>Awadallah</w:t>
      </w:r>
      <w:proofErr w:type="spellEnd"/>
      <w:r w:rsidR="006212F5">
        <w:rPr>
          <w:rFonts w:ascii="Times New Roman" w:hAnsi="Times New Roman" w:cs="Times New Roman"/>
          <w:color w:val="000000" w:themeColor="text1"/>
          <w:sz w:val="24"/>
          <w:szCs w:val="24"/>
        </w:rPr>
        <w:t xml:space="preserve"> et al</w:t>
      </w:r>
      <w:r w:rsidR="006212F5">
        <w:rPr>
          <w:rFonts w:ascii="Times New Roman" w:hAnsi="Times New Roman" w:cs="Times New Roman"/>
          <w:color w:val="000000" w:themeColor="text1"/>
          <w:sz w:val="24"/>
          <w:szCs w:val="24"/>
        </w:rPr>
        <w:fldChar w:fldCharType="begin" w:fldLock="1"/>
      </w:r>
      <w:r w:rsidR="006D2BF3">
        <w:rPr>
          <w:rFonts w:ascii="Times New Roman" w:hAnsi="Times New Roman" w:cs="Times New Roman"/>
          <w:color w:val="000000" w:themeColor="text1"/>
          <w:sz w:val="24"/>
          <w:szCs w:val="24"/>
        </w:rPr>
        <w:instrText>ADDIN CSL_CITATION { "citationItems" : [ { "id" : "ITEM-1", "itemData" : { "DOI" : "10.1016/j.ejmech.2015.03.008", "abstract" : "a b s t r a c t The synthesis of new 1,2,4-trisubstituted imidazolinone derivatives was described. The new compounds were designed as dual p38aMAPK and ERK1/2 inhibitors through hybridization of pharmacophoric el-ements associated with inhibition of these kinases. The kinase inhibition assay revealed excellent activity in the nanomolar range; especially compounds 6d and 7h which seemed promising candidates for such dual activity with IC 50 values of 4.5 and 4.7 nM against p38aMAP, 25.0 and 24.0 nM against ERK1, and 3.2 and 3.5 nM against ERK2, respectively. These compounds were further tested for their antiproliferative activity against nine cancer cell lines, where they elicited high activity in the sub-micromolar range against breast, prostate and melanoma cells.", "author" : [ { "dropping-particle" : "", "family" : "Awadallah", "given" : "Fadi M", "non-dropping-particle" : "", "parse-names" : false, "suffix" : "" }, { "dropping-particle" : "", "family" : "Abou-Seri", "given" : "Sahar M", "non-dropping-particle" : "", "parse-names" : false, "suffix" : "" }, { "dropping-particle" : "", "family" : "Abdulla", "given" : "Mohamed M", "non-dropping-particle" : "", "parse-names" : false, "suffix" : "" }, { "dropping-particle" : "", "family" : "Georgey", "given" : "Hanan H", "non-dropping-particle" : "", "parse-names" : false, "suffix" : "" } ], "container-title" : "European Journal of Medicinal Chemistry", "id" : "ITEM-1", "issued" : { "date-parts" : [ [ "2015" ] ] }, "page" : "397-404", "title" : "Design and synthesis of potent 1,2,4-trisubstituted imidazolinone derivatives with dual p38\u03b1MAPK and ERK1/2 inhibitory activity", "type" : "article-journal", "volume" : "94" }, "uris" : [ "http://www.mendeley.com/documents/?uuid=15ac780d-106b-3a1a-92a1-a606ee037851" ] } ], "mendeley" : { "formattedCitation" : "&lt;sup&gt;21&lt;/sup&gt;", "plainTextFormattedCitation" : "21", "previouslyFormattedCitation" : "&lt;sup&gt;21&lt;/sup&gt;" }, "properties" : { "noteIndex" : 0 }, "schema" : "https://github.com/citation-style-language/schema/raw/master/csl-citation.json" }</w:instrText>
      </w:r>
      <w:r w:rsidR="006212F5">
        <w:rPr>
          <w:rFonts w:ascii="Times New Roman" w:hAnsi="Times New Roman" w:cs="Times New Roman"/>
          <w:color w:val="000000" w:themeColor="text1"/>
          <w:sz w:val="24"/>
          <w:szCs w:val="24"/>
        </w:rPr>
        <w:fldChar w:fldCharType="separate"/>
      </w:r>
      <w:r w:rsidR="006212F5" w:rsidRPr="006212F5">
        <w:rPr>
          <w:rFonts w:ascii="Times New Roman" w:hAnsi="Times New Roman" w:cs="Times New Roman"/>
          <w:noProof/>
          <w:color w:val="000000" w:themeColor="text1"/>
          <w:sz w:val="24"/>
          <w:szCs w:val="24"/>
          <w:vertAlign w:val="superscript"/>
        </w:rPr>
        <w:t>21</w:t>
      </w:r>
      <w:r w:rsidR="006212F5">
        <w:rPr>
          <w:rFonts w:ascii="Times New Roman" w:hAnsi="Times New Roman" w:cs="Times New Roman"/>
          <w:color w:val="000000" w:themeColor="text1"/>
          <w:sz w:val="24"/>
          <w:szCs w:val="24"/>
        </w:rPr>
        <w:fldChar w:fldCharType="end"/>
      </w:r>
      <w:r w:rsidR="006212F5">
        <w:rPr>
          <w:rFonts w:ascii="Times New Roman" w:hAnsi="Times New Roman" w:cs="Times New Roman"/>
          <w:color w:val="000000" w:themeColor="text1"/>
          <w:sz w:val="24"/>
          <w:szCs w:val="24"/>
        </w:rPr>
        <w:t>.  The activities for all compounds in this analog series are reported in Table 1.</w:t>
      </w:r>
    </w:p>
    <w:p w:rsidR="006212F5" w:rsidRDefault="006212F5" w:rsidP="00F77584">
      <w:pPr>
        <w:spacing w:line="480" w:lineRule="auto"/>
        <w:ind w:firstLine="720"/>
        <w:rPr>
          <w:rFonts w:ascii="Times New Roman" w:hAnsi="Times New Roman" w:cs="Times New Roman"/>
          <w:color w:val="000000" w:themeColor="text1"/>
          <w:sz w:val="24"/>
          <w:szCs w:val="24"/>
        </w:rPr>
      </w:pPr>
    </w:p>
    <w:p w:rsidR="006212F5" w:rsidRDefault="006212F5" w:rsidP="00F77584">
      <w:pPr>
        <w:spacing w:line="480" w:lineRule="auto"/>
        <w:ind w:firstLine="720"/>
        <w:rPr>
          <w:rFonts w:ascii="Times New Roman" w:hAnsi="Times New Roman" w:cs="Times New Roman"/>
          <w:color w:val="000000" w:themeColor="text1"/>
          <w:sz w:val="24"/>
          <w:szCs w:val="24"/>
        </w:rPr>
      </w:pPr>
    </w:p>
    <w:p w:rsidR="00D51FBD" w:rsidRDefault="00D51FBD" w:rsidP="00F77584">
      <w:pPr>
        <w:spacing w:line="480" w:lineRule="auto"/>
        <w:ind w:firstLine="720"/>
        <w:rPr>
          <w:rFonts w:ascii="Times New Roman" w:hAnsi="Times New Roman" w:cs="Times New Roman"/>
          <w:color w:val="000000" w:themeColor="text1"/>
          <w:sz w:val="24"/>
          <w:szCs w:val="24"/>
        </w:rPr>
      </w:pPr>
      <w:r>
        <w:rPr>
          <w:noProof/>
        </w:rPr>
        <w:lastRenderedPageBreak/>
        <w:drawing>
          <wp:inline distT="0" distB="0" distL="0" distR="0" wp14:anchorId="74AF0F0A" wp14:editId="51161218">
            <wp:extent cx="4762500" cy="2939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4530" cy="2946844"/>
                    </a:xfrm>
                    <a:prstGeom prst="rect">
                      <a:avLst/>
                    </a:prstGeom>
                  </pic:spPr>
                </pic:pic>
              </a:graphicData>
            </a:graphic>
          </wp:inline>
        </w:drawing>
      </w:r>
    </w:p>
    <w:p w:rsidR="00D51FBD" w:rsidRDefault="00C04723" w:rsidP="00C04723">
      <w:pPr>
        <w:spacing w:line="480" w:lineRule="auto"/>
        <w:ind w:firstLine="720"/>
        <w:rPr>
          <w:rFonts w:ascii="Times New Roman" w:hAnsi="Times New Roman" w:cs="Times New Roman"/>
          <w:color w:val="000000" w:themeColor="text1"/>
          <w:sz w:val="24"/>
          <w:szCs w:val="24"/>
        </w:rPr>
      </w:pPr>
      <w:r w:rsidRPr="00C04723">
        <w:rPr>
          <w:rFonts w:ascii="Times New Roman" w:hAnsi="Times New Roman" w:cs="Times New Roman"/>
          <w:b/>
          <w:color w:val="000000" w:themeColor="text1"/>
          <w:sz w:val="24"/>
          <w:szCs w:val="24"/>
        </w:rPr>
        <w:t>Figure 1</w:t>
      </w:r>
      <w:r>
        <w:rPr>
          <w:rFonts w:ascii="Times New Roman" w:hAnsi="Times New Roman" w:cs="Times New Roman"/>
          <w:b/>
          <w:color w:val="000000" w:themeColor="text1"/>
          <w:sz w:val="24"/>
          <w:szCs w:val="24"/>
        </w:rPr>
        <w:t xml:space="preserve">.  </w:t>
      </w:r>
      <w:r w:rsidRPr="001B1061">
        <w:rPr>
          <w:rFonts w:ascii="Times New Roman" w:hAnsi="Times New Roman" w:cs="Times New Roman"/>
          <w:b/>
          <w:color w:val="000000" w:themeColor="text1"/>
          <w:sz w:val="24"/>
          <w:szCs w:val="24"/>
        </w:rPr>
        <w:t>Scatterplot of ERK1 pIC50 versus ERK2 pIC50.</w:t>
      </w:r>
      <w:r>
        <w:rPr>
          <w:rFonts w:ascii="Times New Roman" w:hAnsi="Times New Roman" w:cs="Times New Roman"/>
          <w:color w:val="000000" w:themeColor="text1"/>
          <w:sz w:val="24"/>
          <w:szCs w:val="24"/>
        </w:rPr>
        <w:t xml:space="preserve"> Points outside of the blue band have a difference in pIC50 greater than 1.  The activity values are highly correlated with an R</w:t>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vertAlign w:val="superscript"/>
        </w:rPr>
        <w:t xml:space="preserve">2 </w:t>
      </w:r>
      <w:r>
        <w:rPr>
          <w:rFonts w:ascii="Times New Roman" w:hAnsi="Times New Roman" w:cs="Times New Roman"/>
          <w:color w:val="000000" w:themeColor="text1"/>
          <w:sz w:val="24"/>
          <w:szCs w:val="24"/>
        </w:rPr>
        <w:t xml:space="preserve">of 0.893. </w:t>
      </w:r>
    </w:p>
    <w:p w:rsidR="001B1061" w:rsidRDefault="001B1061" w:rsidP="001B1061">
      <w:pPr>
        <w:spacing w:line="480" w:lineRule="auto"/>
        <w:ind w:firstLine="720"/>
        <w:rPr>
          <w:rFonts w:ascii="Times New Roman" w:hAnsi="Times New Roman" w:cs="Times New Roman"/>
          <w:color w:val="000000" w:themeColor="text1"/>
          <w:sz w:val="24"/>
          <w:szCs w:val="24"/>
        </w:rPr>
      </w:pPr>
      <w:r w:rsidRPr="006212F5">
        <w:rPr>
          <w:rFonts w:ascii="Times New Roman" w:hAnsi="Times New Roman" w:cs="Times New Roman"/>
          <w:noProof/>
          <w:color w:val="000000" w:themeColor="text1"/>
          <w:sz w:val="24"/>
          <w:szCs w:val="24"/>
        </w:rPr>
        <w:lastRenderedPageBreak/>
        <w:drawing>
          <wp:inline distT="0" distB="0" distL="0" distR="0" wp14:anchorId="2E776473" wp14:editId="35555BAE">
            <wp:extent cx="4603581" cy="5973966"/>
            <wp:effectExtent l="0" t="0" r="6985"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8"/>
                    <a:srcRect t="3715"/>
                    <a:stretch/>
                  </pic:blipFill>
                  <pic:spPr>
                    <a:xfrm>
                      <a:off x="0" y="0"/>
                      <a:ext cx="4626094" cy="6003181"/>
                    </a:xfrm>
                    <a:prstGeom prst="rect">
                      <a:avLst/>
                    </a:prstGeom>
                  </pic:spPr>
                </pic:pic>
              </a:graphicData>
            </a:graphic>
          </wp:inline>
        </w:drawing>
      </w:r>
    </w:p>
    <w:p w:rsidR="001B1061" w:rsidRDefault="001B1061" w:rsidP="001B1061">
      <w:pPr>
        <w:spacing w:line="480" w:lineRule="auto"/>
        <w:ind w:firstLine="720"/>
        <w:rPr>
          <w:rFonts w:ascii="Times New Roman" w:hAnsi="Times New Roman" w:cs="Times New Roman"/>
          <w:b/>
          <w:color w:val="000000" w:themeColor="text1"/>
          <w:sz w:val="24"/>
          <w:szCs w:val="24"/>
        </w:rPr>
      </w:pPr>
      <w:r w:rsidRPr="001B1061">
        <w:rPr>
          <w:rFonts w:ascii="Times New Roman" w:hAnsi="Times New Roman" w:cs="Times New Roman"/>
          <w:b/>
          <w:color w:val="000000" w:themeColor="text1"/>
          <w:sz w:val="24"/>
          <w:szCs w:val="24"/>
        </w:rPr>
        <w:t>Table 1.</w:t>
      </w:r>
      <w:r>
        <w:rPr>
          <w:rFonts w:ascii="Times New Roman" w:hAnsi="Times New Roman" w:cs="Times New Roman"/>
          <w:color w:val="000000" w:themeColor="text1"/>
          <w:sz w:val="24"/>
          <w:szCs w:val="24"/>
        </w:rPr>
        <w:t xml:space="preserve">  </w:t>
      </w:r>
      <w:r w:rsidRPr="001B1061">
        <w:rPr>
          <w:rFonts w:ascii="Times New Roman" w:hAnsi="Times New Roman" w:cs="Times New Roman"/>
          <w:b/>
          <w:color w:val="000000" w:themeColor="text1"/>
          <w:sz w:val="24"/>
          <w:szCs w:val="24"/>
        </w:rPr>
        <w:t xml:space="preserve">IC50 for all compounds in the analog series tested by </w:t>
      </w:r>
      <w:proofErr w:type="spellStart"/>
      <w:r w:rsidRPr="001B1061">
        <w:rPr>
          <w:rFonts w:ascii="Times New Roman" w:hAnsi="Times New Roman" w:cs="Times New Roman"/>
          <w:b/>
          <w:color w:val="000000" w:themeColor="text1"/>
          <w:sz w:val="24"/>
          <w:szCs w:val="24"/>
        </w:rPr>
        <w:t>Awadallah</w:t>
      </w:r>
      <w:proofErr w:type="spellEnd"/>
      <w:r w:rsidRPr="001B1061">
        <w:rPr>
          <w:rFonts w:ascii="Times New Roman" w:hAnsi="Times New Roman" w:cs="Times New Roman"/>
          <w:b/>
          <w:color w:val="000000" w:themeColor="text1"/>
          <w:sz w:val="24"/>
          <w:szCs w:val="24"/>
        </w:rPr>
        <w:t xml:space="preserve"> et al</w:t>
      </w:r>
      <w:r w:rsidRPr="001B1061">
        <w:rPr>
          <w:rFonts w:ascii="Times New Roman" w:hAnsi="Times New Roman" w:cs="Times New Roman"/>
          <w:b/>
          <w:color w:val="000000" w:themeColor="text1"/>
          <w:sz w:val="24"/>
          <w:szCs w:val="24"/>
        </w:rPr>
        <w:fldChar w:fldCharType="begin" w:fldLock="1"/>
      </w:r>
      <w:r w:rsidR="006D2BF3">
        <w:rPr>
          <w:rFonts w:ascii="Times New Roman" w:hAnsi="Times New Roman" w:cs="Times New Roman"/>
          <w:b/>
          <w:color w:val="000000" w:themeColor="text1"/>
          <w:sz w:val="24"/>
          <w:szCs w:val="24"/>
        </w:rPr>
        <w:instrText>ADDIN CSL_CITATION { "citationItems" : [ { "id" : "ITEM-1", "itemData" : { "DOI" : "10.1016/j.ejmech.2015.03.008", "abstract" : "a b s t r a c t The synthesis of new 1,2,4-trisubstituted imidazolinone derivatives was described. The new compounds were designed as dual p38aMAPK and ERK1/2 inhibitors through hybridization of pharmacophoric el-ements associated with inhibition of these kinases. The kinase inhibition assay revealed excellent activity in the nanomolar range; especially compounds 6d and 7h which seemed promising candidates for such dual activity with IC 50 values of 4.5 and 4.7 nM against p38aMAP, 25.0 and 24.0 nM against ERK1, and 3.2 and 3.5 nM against ERK2, respectively. These compounds were further tested for their antiproliferative activity against nine cancer cell lines, where they elicited high activity in the sub-micromolar range against breast, prostate and melanoma cells.", "author" : [ { "dropping-particle" : "", "family" : "Awadallah", "given" : "Fadi M", "non-dropping-particle" : "", "parse-names" : false, "suffix" : "" }, { "dropping-particle" : "", "family" : "Abou-Seri", "given" : "Sahar M", "non-dropping-particle" : "", "parse-names" : false, "suffix" : "" }, { "dropping-particle" : "", "family" : "Abdulla", "given" : "Mohamed M", "non-dropping-particle" : "", "parse-names" : false, "suffix" : "" }, { "dropping-particle" : "", "family" : "Georgey", "given" : "Hanan H", "non-dropping-particle" : "", "parse-names" : false, "suffix" : "" } ], "container-title" : "European Journal of Medicinal Chemistry", "id" : "ITEM-1", "issued" : { "date-parts" : [ [ "2015" ] ] }, "page" : "397-404", "title" : "Design and synthesis of potent 1,2,4-trisubstituted imidazolinone derivatives with dual p38\u03b1MAPK and ERK1/2 inhibitory activity", "type" : "article-journal", "volume" : "94" }, "uris" : [ "http://www.mendeley.com/documents/?uuid=15ac780d-106b-3a1a-92a1-a606ee037851" ] } ], "mendeley" : { "formattedCitation" : "&lt;sup&gt;21&lt;/sup&gt;", "plainTextFormattedCitation" : "21", "previouslyFormattedCitation" : "&lt;sup&gt;21&lt;/sup&gt;" }, "properties" : { "noteIndex" : 0 }, "schema" : "https://github.com/citation-style-language/schema/raw/master/csl-citation.json" }</w:instrText>
      </w:r>
      <w:r w:rsidRPr="001B1061">
        <w:rPr>
          <w:rFonts w:ascii="Times New Roman" w:hAnsi="Times New Roman" w:cs="Times New Roman"/>
          <w:b/>
          <w:color w:val="000000" w:themeColor="text1"/>
          <w:sz w:val="24"/>
          <w:szCs w:val="24"/>
        </w:rPr>
        <w:fldChar w:fldCharType="separate"/>
      </w:r>
      <w:r w:rsidRPr="001B1061">
        <w:rPr>
          <w:rFonts w:ascii="Times New Roman" w:hAnsi="Times New Roman" w:cs="Times New Roman"/>
          <w:b/>
          <w:noProof/>
          <w:color w:val="000000" w:themeColor="text1"/>
          <w:sz w:val="24"/>
          <w:szCs w:val="24"/>
          <w:vertAlign w:val="superscript"/>
        </w:rPr>
        <w:t>21</w:t>
      </w:r>
      <w:r w:rsidRPr="001B1061">
        <w:rPr>
          <w:rFonts w:ascii="Times New Roman" w:hAnsi="Times New Roman" w:cs="Times New Roman"/>
          <w:b/>
          <w:color w:val="000000" w:themeColor="text1"/>
          <w:sz w:val="24"/>
          <w:szCs w:val="24"/>
        </w:rPr>
        <w:fldChar w:fldCharType="end"/>
      </w:r>
      <w:r w:rsidRPr="001B1061">
        <w:rPr>
          <w:rFonts w:ascii="Times New Roman" w:hAnsi="Times New Roman" w:cs="Times New Roman"/>
          <w:b/>
          <w:color w:val="000000" w:themeColor="text1"/>
          <w:sz w:val="24"/>
          <w:szCs w:val="24"/>
        </w:rPr>
        <w:t xml:space="preserve"> against ERK1 and ERK2.</w:t>
      </w:r>
    </w:p>
    <w:p w:rsidR="001B1061" w:rsidRDefault="001B1061" w:rsidP="00C04723">
      <w:pPr>
        <w:spacing w:line="480" w:lineRule="auto"/>
        <w:ind w:firstLine="720"/>
        <w:rPr>
          <w:rFonts w:ascii="Times New Roman" w:hAnsi="Times New Roman" w:cs="Times New Roman"/>
          <w:color w:val="000000" w:themeColor="text1"/>
          <w:sz w:val="24"/>
          <w:szCs w:val="24"/>
        </w:rPr>
      </w:pPr>
    </w:p>
    <w:p w:rsidR="001B1061" w:rsidRDefault="001B1061" w:rsidP="00C04723">
      <w:pPr>
        <w:spacing w:line="480" w:lineRule="auto"/>
        <w:ind w:firstLine="720"/>
        <w:rPr>
          <w:rFonts w:ascii="Times New Roman" w:hAnsi="Times New Roman" w:cs="Times New Roman"/>
          <w:color w:val="000000" w:themeColor="text1"/>
          <w:sz w:val="24"/>
          <w:szCs w:val="24"/>
        </w:rPr>
      </w:pPr>
    </w:p>
    <w:p w:rsidR="001B1061" w:rsidRPr="00C04723" w:rsidRDefault="001B1061" w:rsidP="00C04723">
      <w:pPr>
        <w:spacing w:line="480" w:lineRule="auto"/>
        <w:ind w:firstLine="720"/>
        <w:rPr>
          <w:rFonts w:ascii="Times New Roman" w:hAnsi="Times New Roman" w:cs="Times New Roman"/>
          <w:color w:val="000000" w:themeColor="text1"/>
          <w:sz w:val="24"/>
          <w:szCs w:val="24"/>
        </w:rPr>
      </w:pPr>
    </w:p>
    <w:p w:rsidR="001B1061" w:rsidRDefault="001B1061" w:rsidP="00F7758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There were a number of other compounds that showed statistically significant differences when the experimental variability of the pIC50 measurements was considered.  All of the compounds with a fold change in I</w:t>
      </w:r>
      <w:r w:rsidR="006C1FF0">
        <w:rPr>
          <w:rFonts w:ascii="Times New Roman" w:hAnsi="Times New Roman" w:cs="Times New Roman"/>
          <w:color w:val="000000" w:themeColor="text1"/>
          <w:sz w:val="24"/>
          <w:szCs w:val="24"/>
        </w:rPr>
        <w:t xml:space="preserve">C50 greater than 2 between ERK1/2 </w:t>
      </w:r>
      <w:r>
        <w:rPr>
          <w:rFonts w:ascii="Times New Roman" w:hAnsi="Times New Roman" w:cs="Times New Roman"/>
          <w:color w:val="000000" w:themeColor="text1"/>
          <w:sz w:val="24"/>
          <w:szCs w:val="24"/>
        </w:rPr>
        <w:t xml:space="preserve">showed statistical significance.  Therefore, these compounds were considered </w:t>
      </w:r>
      <w:r w:rsidR="00972B23">
        <w:rPr>
          <w:rFonts w:ascii="Times New Roman" w:hAnsi="Times New Roman" w:cs="Times New Roman"/>
          <w:color w:val="000000" w:themeColor="text1"/>
          <w:sz w:val="24"/>
          <w:szCs w:val="24"/>
        </w:rPr>
        <w:t>to have large changes in IC50.  There were 11 of these compounds with higher affinity towards ERK2, and one compound with higher affinity towards ERK1.</w:t>
      </w:r>
    </w:p>
    <w:p w:rsidR="006C1FF0" w:rsidRDefault="00ED7D43" w:rsidP="00F7758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Nex</w:t>
      </w:r>
      <w:r w:rsidR="006C1FF0">
        <w:rPr>
          <w:rFonts w:ascii="Times New Roman" w:hAnsi="Times New Roman" w:cs="Times New Roman"/>
          <w:color w:val="000000" w:themeColor="text1"/>
          <w:sz w:val="24"/>
          <w:szCs w:val="24"/>
        </w:rPr>
        <w:t xml:space="preserve">t, we </w:t>
      </w:r>
      <w:r w:rsidR="006C1FF0" w:rsidRPr="00181AA4">
        <w:rPr>
          <w:rFonts w:ascii="Times New Roman" w:hAnsi="Times New Roman" w:cs="Times New Roman"/>
          <w:color w:val="000000" w:themeColor="text1"/>
          <w:sz w:val="24"/>
          <w:szCs w:val="24"/>
        </w:rPr>
        <w:t>dock</w:t>
      </w:r>
      <w:r w:rsidR="006C1FF0">
        <w:rPr>
          <w:rFonts w:ascii="Times New Roman" w:hAnsi="Times New Roman" w:cs="Times New Roman"/>
          <w:color w:val="000000" w:themeColor="text1"/>
          <w:sz w:val="24"/>
          <w:szCs w:val="24"/>
        </w:rPr>
        <w:t>ed each of the</w:t>
      </w:r>
      <w:r w:rsidR="006C1FF0" w:rsidRPr="00181AA4">
        <w:rPr>
          <w:rFonts w:ascii="Times New Roman" w:hAnsi="Times New Roman" w:cs="Times New Roman"/>
          <w:color w:val="000000" w:themeColor="text1"/>
          <w:sz w:val="24"/>
          <w:szCs w:val="24"/>
        </w:rPr>
        <w:t xml:space="preserve"> compounds in</w:t>
      </w:r>
      <w:r w:rsidR="006C1FF0">
        <w:rPr>
          <w:rFonts w:ascii="Times New Roman" w:hAnsi="Times New Roman" w:cs="Times New Roman"/>
          <w:color w:val="000000" w:themeColor="text1"/>
          <w:sz w:val="24"/>
          <w:szCs w:val="24"/>
        </w:rPr>
        <w:t xml:space="preserve"> the analog series</w:t>
      </w:r>
      <w:r w:rsidR="006C1FF0" w:rsidRPr="00181AA4">
        <w:rPr>
          <w:rFonts w:ascii="Times New Roman" w:hAnsi="Times New Roman" w:cs="Times New Roman"/>
          <w:color w:val="000000" w:themeColor="text1"/>
          <w:sz w:val="24"/>
          <w:szCs w:val="24"/>
        </w:rPr>
        <w:t xml:space="preserve"> </w:t>
      </w:r>
      <w:r w:rsidR="006C1FF0">
        <w:rPr>
          <w:rFonts w:ascii="Times New Roman" w:hAnsi="Times New Roman" w:cs="Times New Roman"/>
          <w:color w:val="000000" w:themeColor="text1"/>
          <w:sz w:val="24"/>
          <w:szCs w:val="24"/>
        </w:rPr>
        <w:t xml:space="preserve">in both the ERK1 and ERK2 binding pockets.  Compounds with large differences in activity toward ERK1/2, and those without large differences were docked to determine what differences in protein ligand interactions could attributed to differences in activity.  We used the </w:t>
      </w:r>
      <w:r w:rsidR="00C04723">
        <w:rPr>
          <w:rFonts w:ascii="Times New Roman" w:hAnsi="Times New Roman" w:cs="Times New Roman"/>
          <w:color w:val="000000" w:themeColor="text1"/>
          <w:sz w:val="24"/>
          <w:szCs w:val="24"/>
        </w:rPr>
        <w:t xml:space="preserve">4QTA </w:t>
      </w:r>
      <w:r w:rsidR="00181AA4" w:rsidRPr="00181AA4">
        <w:rPr>
          <w:rFonts w:ascii="Times New Roman" w:hAnsi="Times New Roman" w:cs="Times New Roman"/>
          <w:color w:val="000000" w:themeColor="text1"/>
          <w:sz w:val="24"/>
          <w:szCs w:val="24"/>
        </w:rPr>
        <w:t>and 4QTB PDB crystal structures and Schrodinger’s Glide software</w:t>
      </w:r>
      <w:r w:rsidR="00181AA4" w:rsidRPr="00181AA4">
        <w:rPr>
          <w:rFonts w:ascii="Times New Roman" w:hAnsi="Times New Roman" w:cs="Times New Roman"/>
          <w:color w:val="000000" w:themeColor="text1"/>
          <w:sz w:val="24"/>
          <w:szCs w:val="24"/>
        </w:rPr>
        <w:fldChar w:fldCharType="begin" w:fldLock="1"/>
      </w:r>
      <w:r w:rsidR="006D2BF3">
        <w:rPr>
          <w:rFonts w:ascii="Times New Roman" w:hAnsi="Times New Roman" w:cs="Times New Roman"/>
          <w:color w:val="000000" w:themeColor="text1"/>
          <w:sz w:val="24"/>
          <w:szCs w:val="24"/>
        </w:rPr>
        <w:instrText>ADDIN CSL_CITATION { "citationItems" : [ { "id" : "ITEM-1", "itemData" : { "id" : "ITEM-1", "issued" : { "date-parts" : [ [ "0" ] ] }, "title" : "Small-Molecule Drug Discovery Suite 2016-4, Schr\u00f6dinger, LLC, New York, NY, 2016.", "type" : "article" }, "uris" : [ "http://www.mendeley.com/documents/?uuid=5a5b2368-5f79-4357-9cfd-fdf190a22997" ] } ], "mendeley" : { "formattedCitation" : "&lt;sup&gt;22&lt;/sup&gt;", "plainTextFormattedCitation" : "22", "previouslyFormattedCitation" : "&lt;sup&gt;22&lt;/sup&gt;" }, "properties" : { "noteIndex" : 0 }, "schema" : "https://github.com/citation-style-language/schema/raw/master/csl-citation.json" }</w:instrText>
      </w:r>
      <w:r w:rsidR="00181AA4" w:rsidRPr="00181AA4">
        <w:rPr>
          <w:rFonts w:ascii="Times New Roman" w:hAnsi="Times New Roman" w:cs="Times New Roman"/>
          <w:color w:val="000000" w:themeColor="text1"/>
          <w:sz w:val="24"/>
          <w:szCs w:val="24"/>
        </w:rPr>
        <w:fldChar w:fldCharType="separate"/>
      </w:r>
      <w:r w:rsidR="006212F5" w:rsidRPr="006212F5">
        <w:rPr>
          <w:rFonts w:ascii="Times New Roman" w:hAnsi="Times New Roman" w:cs="Times New Roman"/>
          <w:noProof/>
          <w:color w:val="000000" w:themeColor="text1"/>
          <w:sz w:val="24"/>
          <w:szCs w:val="24"/>
          <w:vertAlign w:val="superscript"/>
        </w:rPr>
        <w:t>22</w:t>
      </w:r>
      <w:r w:rsidR="00181AA4" w:rsidRPr="00181AA4">
        <w:rPr>
          <w:rFonts w:ascii="Times New Roman" w:hAnsi="Times New Roman" w:cs="Times New Roman"/>
          <w:color w:val="000000" w:themeColor="text1"/>
          <w:sz w:val="24"/>
          <w:szCs w:val="24"/>
        </w:rPr>
        <w:fldChar w:fldCharType="end"/>
      </w:r>
      <w:r w:rsidR="00B926A4">
        <w:rPr>
          <w:rFonts w:ascii="Times New Roman" w:hAnsi="Times New Roman" w:cs="Times New Roman"/>
          <w:color w:val="000000" w:themeColor="text1"/>
          <w:sz w:val="24"/>
          <w:szCs w:val="24"/>
        </w:rPr>
        <w:t>.</w:t>
      </w:r>
      <w:r w:rsidR="00181AA4" w:rsidRPr="00181AA4">
        <w:rPr>
          <w:rFonts w:ascii="Times New Roman" w:hAnsi="Times New Roman" w:cs="Times New Roman"/>
          <w:color w:val="000000" w:themeColor="text1"/>
          <w:sz w:val="24"/>
          <w:szCs w:val="24"/>
        </w:rPr>
        <w:t xml:space="preserve"> </w:t>
      </w:r>
      <w:r w:rsidR="00C04723">
        <w:rPr>
          <w:rFonts w:ascii="Times New Roman" w:hAnsi="Times New Roman" w:cs="Times New Roman"/>
          <w:color w:val="000000" w:themeColor="text1"/>
          <w:sz w:val="24"/>
          <w:szCs w:val="24"/>
        </w:rPr>
        <w:t xml:space="preserve">These crystal structures were selected because they were crystallized by the same lab with the same native ligand, </w:t>
      </w:r>
      <w:r w:rsidR="00C04723" w:rsidRPr="00C04723">
        <w:rPr>
          <w:rFonts w:ascii="Times New Roman" w:hAnsi="Times New Roman" w:cs="Times New Roman"/>
          <w:color w:val="000000" w:themeColor="text1"/>
          <w:sz w:val="24"/>
          <w:szCs w:val="24"/>
        </w:rPr>
        <w:t>SCH772984</w:t>
      </w:r>
      <w:r w:rsidR="00C04723">
        <w:rPr>
          <w:rFonts w:ascii="Times New Roman" w:hAnsi="Times New Roman" w:cs="Times New Roman"/>
          <w:color w:val="000000" w:themeColor="text1"/>
          <w:sz w:val="24"/>
          <w:szCs w:val="24"/>
        </w:rPr>
        <w:fldChar w:fldCharType="begin" w:fldLock="1"/>
      </w:r>
      <w:r w:rsidR="006D2BF3">
        <w:rPr>
          <w:rFonts w:ascii="Times New Roman" w:hAnsi="Times New Roman" w:cs="Times New Roman"/>
          <w:color w:val="000000" w:themeColor="text1"/>
          <w:sz w:val="24"/>
          <w:szCs w:val="24"/>
        </w:rPr>
        <w:instrText>ADDIN CSL_CITATION { "citationItems" : [ { "id" : "ITEM-1", "itemData" : { "DOI" : "10.1038/nCHeMBIO.1629", "abstract" : "nature CHeMICaL BIOLOGY | VOL 10 | OctOber 2014 | www.nature.com/naturechemicalbiology 853 article puBLIsHed OnLIne: 7 septeMBer 2014 | dOI: 10.1038/nCHeMBIO.1629 T he Ras-Raf-MEK-ERK cascade constitutes a central signal-ing pathway that tightly controls key cellular functions such as cell proliferation. Aberrant activation of this pathway has been extensively targeted for the development of cancer therapeu-tics, best exemplified by clinical B-RAF and MEK inhibitors 1,2 . In particular, the RAF inhibitor vemurafenib (PLX4032) has demon-strated excellent efficacy in the treatment of patients with BRAF V600E mutated melanoma, which led to the recent approval of this drug 3 . However, the response to vemurafenib is often temporary, owing to the rapid development of drug resistance by a number of diverse mechanisms 3\u20135 . Vemurafenib strongly attenuates ERK signaling in BRAF V600E mutated melanoma but not in cancer types harboring other muta-tions that activate the ERK pathway 6 . Unexpectedly, in wild-type or non-BRAF mutated cancers, ATP-competitive RAF inhibitors lead to increased ERK signaling, an unexpected finding that has been attributed to a drug-activated dimerization mechanism of RAF kinases 7,8 . Most of the identified resistant mechanisms to RAF inhibitor result in strong reactivation of the ERK pathway by a large variety of different mechanisms 9\u201311 . This observation led to a number of clini-cal studies combining RAF and MEK inhibitors, which have demon-strated a notable increase in progression-free survival in BRAF V600E melanoma 12 . The strong activation of ERK in RAF inhibitor\u2013 resistant tumors and other MAPK-activated cancers suggests direct targeting of ERK as an attractive strategy for the cancer treatment 4,13 . To date, only a few ERK1/2 inhibitors have been reported. Initial inhibitor development has been focused on pyrazolopyridazines such as FR180204, a modest ERK inhibitor that has not been pro-filed comprehensively 14 . Further development led to the discovery of the pyrimidylpyrrole-based ERK inhibitor VTX-11e, a potent ERK inhibitor with oral bioavailability 15 . Currently, kinase inhibitors employing either of two main strat-egies are being developed: ATP mimetic inhibitors that target the kinase active state (type I inhibitors) and inhibitors that target a structurally more diverse inactive state, usually characterized by an 'out' conformation of the ATP/Mg 2+ -coordinating DFG motif (type II inhibitors) 16 . However, selectiv\u2026", "author" : [ { "dropping-particle" : "", "family" : "Chaikuad", "given" : "Apirat", "non-dropping-particle" : "", "parse-names" : false, "suffix" : "" }, { "dropping-particle" : "", "family" : "C Tacconi", "given" : "Eliana M", "non-dropping-particle" : "", "parse-names" : false, "suffix" : "" }, { "dropping-particle" : "", "family" : "Zimmer", "given" : "Jutta", "non-dropping-particle" : "", "parse-names" : false, "suffix" : "" }, { "dropping-particle" : "", "family" : "Liang", "given" : "Yanke", "non-dropping-particle" : "", "parse-names" : false, "suffix" : "" }, { "dropping-particle" : "", "family" : "Gray", "given" : "Nathanael S", "non-dropping-particle" : "", "parse-names" : false, "suffix" : "" }, { "dropping-particle" : "", "family" : "Tarsounas", "given" : "Madalena", "non-dropping-particle" : "", "parse-names" : false, "suffix" : "" }, { "dropping-particle" : "", "family" : "Knapp", "given" : "Stefan", "non-dropping-particle" : "", "parse-names" : false, "suffix" : "" } ], "id" : "ITEM-1", "issued" : { "date-parts" : [ [ "2014" ] ] }, "title" : "A unique inhibitor binding site in ERK1/2 is associated with slow binding kinetics", "type" : "article-journal" }, "uris" : [ "http://www.mendeley.com/documents/?uuid=bfb48233-4bdc-3a94-ae57-068ff477f052" ] } ], "mendeley" : { "formattedCitation" : "&lt;sup&gt;23&lt;/sup&gt;", "plainTextFormattedCitation" : "23", "previouslyFormattedCitation" : "&lt;sup&gt;23&lt;/sup&gt;" }, "properties" : { "noteIndex" : 0 }, "schema" : "https://github.com/citation-style-language/schema/raw/master/csl-citation.json" }</w:instrText>
      </w:r>
      <w:r w:rsidR="00C04723">
        <w:rPr>
          <w:rFonts w:ascii="Times New Roman" w:hAnsi="Times New Roman" w:cs="Times New Roman"/>
          <w:color w:val="000000" w:themeColor="text1"/>
          <w:sz w:val="24"/>
          <w:szCs w:val="24"/>
        </w:rPr>
        <w:fldChar w:fldCharType="separate"/>
      </w:r>
      <w:r w:rsidR="006212F5" w:rsidRPr="006212F5">
        <w:rPr>
          <w:rFonts w:ascii="Times New Roman" w:hAnsi="Times New Roman" w:cs="Times New Roman"/>
          <w:noProof/>
          <w:color w:val="000000" w:themeColor="text1"/>
          <w:sz w:val="24"/>
          <w:szCs w:val="24"/>
          <w:vertAlign w:val="superscript"/>
        </w:rPr>
        <w:t>23</w:t>
      </w:r>
      <w:r w:rsidR="00C04723">
        <w:rPr>
          <w:rFonts w:ascii="Times New Roman" w:hAnsi="Times New Roman" w:cs="Times New Roman"/>
          <w:color w:val="000000" w:themeColor="text1"/>
          <w:sz w:val="24"/>
          <w:szCs w:val="24"/>
        </w:rPr>
        <w:fldChar w:fldCharType="end"/>
      </w:r>
      <w:r w:rsidR="00C04723">
        <w:rPr>
          <w:rFonts w:ascii="Times New Roman" w:hAnsi="Times New Roman" w:cs="Times New Roman"/>
          <w:color w:val="000000" w:themeColor="text1"/>
          <w:sz w:val="24"/>
          <w:szCs w:val="24"/>
        </w:rPr>
        <w:t xml:space="preserve">.  This ligand was also more structurally than the only other ligand </w:t>
      </w:r>
      <w:proofErr w:type="spellStart"/>
      <w:r w:rsidR="00C04723">
        <w:rPr>
          <w:rFonts w:ascii="Times New Roman" w:hAnsi="Times New Roman" w:cs="Times New Roman"/>
          <w:color w:val="000000" w:themeColor="text1"/>
          <w:sz w:val="24"/>
          <w:szCs w:val="24"/>
        </w:rPr>
        <w:t>cocrystallized</w:t>
      </w:r>
      <w:proofErr w:type="spellEnd"/>
      <w:r w:rsidR="00C04723">
        <w:rPr>
          <w:rFonts w:ascii="Times New Roman" w:hAnsi="Times New Roman" w:cs="Times New Roman"/>
          <w:color w:val="000000" w:themeColor="text1"/>
          <w:sz w:val="24"/>
          <w:szCs w:val="24"/>
        </w:rPr>
        <w:t xml:space="preserve"> with ERK1 in the </w:t>
      </w:r>
      <w:proofErr w:type="spellStart"/>
      <w:r w:rsidR="00C04723">
        <w:rPr>
          <w:rFonts w:ascii="Times New Roman" w:hAnsi="Times New Roman" w:cs="Times New Roman"/>
          <w:color w:val="000000" w:themeColor="text1"/>
          <w:sz w:val="24"/>
          <w:szCs w:val="24"/>
        </w:rPr>
        <w:t>pdb</w:t>
      </w:r>
      <w:proofErr w:type="spellEnd"/>
      <w:r w:rsidR="00C04723">
        <w:rPr>
          <w:rFonts w:ascii="Times New Roman" w:hAnsi="Times New Roman" w:cs="Times New Roman"/>
          <w:color w:val="000000" w:themeColor="text1"/>
          <w:sz w:val="24"/>
          <w:szCs w:val="24"/>
        </w:rPr>
        <w:t xml:space="preserve">, </w:t>
      </w:r>
      <w:r w:rsidR="00AD4898" w:rsidRPr="00AD4898">
        <w:rPr>
          <w:rFonts w:ascii="Times New Roman" w:hAnsi="Times New Roman" w:cs="Times New Roman"/>
          <w:color w:val="000000" w:themeColor="text1"/>
          <w:sz w:val="24"/>
          <w:szCs w:val="24"/>
        </w:rPr>
        <w:t>2ZOQ</w:t>
      </w:r>
      <w:r w:rsidR="00AD4898">
        <w:rPr>
          <w:rFonts w:ascii="Times New Roman" w:hAnsi="Times New Roman" w:cs="Times New Roman"/>
          <w:color w:val="000000" w:themeColor="text1"/>
          <w:sz w:val="24"/>
          <w:szCs w:val="24"/>
        </w:rPr>
        <w:t>,</w:t>
      </w:r>
      <w:r w:rsidR="00AD4898" w:rsidRPr="00AD4898">
        <w:rPr>
          <w:rFonts w:ascii="Times New Roman" w:hAnsi="Times New Roman" w:cs="Times New Roman"/>
          <w:color w:val="000000" w:themeColor="text1"/>
          <w:sz w:val="24"/>
          <w:szCs w:val="24"/>
        </w:rPr>
        <w:t xml:space="preserve"> </w:t>
      </w:r>
      <w:r w:rsidR="00C04723">
        <w:rPr>
          <w:rFonts w:ascii="Times New Roman" w:hAnsi="Times New Roman" w:cs="Times New Roman"/>
          <w:color w:val="000000" w:themeColor="text1"/>
          <w:sz w:val="24"/>
          <w:szCs w:val="24"/>
        </w:rPr>
        <w:t xml:space="preserve">and the majority of the </w:t>
      </w:r>
      <w:proofErr w:type="spellStart"/>
      <w:r w:rsidR="00C04723">
        <w:rPr>
          <w:rFonts w:ascii="Times New Roman" w:hAnsi="Times New Roman" w:cs="Times New Roman"/>
          <w:color w:val="000000" w:themeColor="text1"/>
          <w:sz w:val="24"/>
          <w:szCs w:val="24"/>
        </w:rPr>
        <w:t>cocrystallized</w:t>
      </w:r>
      <w:proofErr w:type="spellEnd"/>
      <w:r w:rsidR="00C04723">
        <w:rPr>
          <w:rFonts w:ascii="Times New Roman" w:hAnsi="Times New Roman" w:cs="Times New Roman"/>
          <w:color w:val="000000" w:themeColor="text1"/>
          <w:sz w:val="24"/>
          <w:szCs w:val="24"/>
        </w:rPr>
        <w:t xml:space="preserve"> ligands with ERK2. The induced fit protocol</w:t>
      </w:r>
      <w:r w:rsidR="006C1FF0">
        <w:rPr>
          <w:rFonts w:ascii="Times New Roman" w:hAnsi="Times New Roman" w:cs="Times New Roman"/>
          <w:color w:val="000000" w:themeColor="text1"/>
          <w:sz w:val="24"/>
          <w:szCs w:val="24"/>
        </w:rPr>
        <w:fldChar w:fldCharType="begin" w:fldLock="1"/>
      </w:r>
      <w:r w:rsidR="006D2BF3">
        <w:rPr>
          <w:rFonts w:ascii="Times New Roman" w:hAnsi="Times New Roman" w:cs="Times New Roman"/>
          <w:color w:val="000000" w:themeColor="text1"/>
          <w:sz w:val="24"/>
          <w:szCs w:val="24"/>
        </w:rPr>
        <w:instrText>ADDIN CSL_CITATION { "citationItems" : [ { "id" : "ITEM-1", "itemData" : { "id" : "ITEM-1", "issued" : { "date-parts" : [ [ "0" ] ] }, "title" : "Schr\u00f6dinger Release 2018-1: Schr\u00f6dinger Suite 2018-1 Induced Fit Docking protocol; Glide, Schr\u00f6dinger, LLC, New York, NY, 2018; Prime, Schr\u00f6dinger, LLC, New York, NY, 2018.", "type" : "article-journal" }, "uris" : [ "http://www.mendeley.com/documents/?uuid=29206900-3c75-4894-a9e5-4893829b5d94" ] } ], "mendeley" : { "formattedCitation" : "&lt;sup&gt;24&lt;/sup&gt;", "plainTextFormattedCitation" : "24", "previouslyFormattedCitation" : "&lt;sup&gt;24&lt;/sup&gt;" }, "properties" : { "noteIndex" : 0 }, "schema" : "https://github.com/citation-style-language/schema/raw/master/csl-citation.json" }</w:instrText>
      </w:r>
      <w:r w:rsidR="006C1FF0">
        <w:rPr>
          <w:rFonts w:ascii="Times New Roman" w:hAnsi="Times New Roman" w:cs="Times New Roman"/>
          <w:color w:val="000000" w:themeColor="text1"/>
          <w:sz w:val="24"/>
          <w:szCs w:val="24"/>
        </w:rPr>
        <w:fldChar w:fldCharType="separate"/>
      </w:r>
      <w:r w:rsidR="006C1FF0" w:rsidRPr="006212F5">
        <w:rPr>
          <w:rFonts w:ascii="Times New Roman" w:hAnsi="Times New Roman" w:cs="Times New Roman"/>
          <w:noProof/>
          <w:color w:val="000000" w:themeColor="text1"/>
          <w:sz w:val="24"/>
          <w:szCs w:val="24"/>
          <w:vertAlign w:val="superscript"/>
        </w:rPr>
        <w:t>24</w:t>
      </w:r>
      <w:r w:rsidR="006C1FF0">
        <w:rPr>
          <w:rFonts w:ascii="Times New Roman" w:hAnsi="Times New Roman" w:cs="Times New Roman"/>
          <w:color w:val="000000" w:themeColor="text1"/>
          <w:sz w:val="24"/>
          <w:szCs w:val="24"/>
        </w:rPr>
        <w:fldChar w:fldCharType="end"/>
      </w:r>
      <w:r w:rsidR="00C04723">
        <w:rPr>
          <w:rFonts w:ascii="Times New Roman" w:hAnsi="Times New Roman" w:cs="Times New Roman"/>
          <w:color w:val="000000" w:themeColor="text1"/>
          <w:sz w:val="24"/>
          <w:szCs w:val="24"/>
        </w:rPr>
        <w:t xml:space="preserve"> was used</w:t>
      </w:r>
      <w:r w:rsidR="006C1FF0">
        <w:rPr>
          <w:rFonts w:ascii="Times New Roman" w:hAnsi="Times New Roman" w:cs="Times New Roman"/>
          <w:color w:val="000000" w:themeColor="text1"/>
          <w:sz w:val="24"/>
          <w:szCs w:val="24"/>
        </w:rPr>
        <w:t xml:space="preserve"> because the compounds in the analog series had large structural differences from the native ligands, resulting in a difference in induced fit</w:t>
      </w:r>
      <w:r w:rsidR="00C04723">
        <w:rPr>
          <w:rFonts w:ascii="Times New Roman" w:hAnsi="Times New Roman" w:cs="Times New Roman"/>
          <w:color w:val="000000" w:themeColor="text1"/>
          <w:sz w:val="24"/>
          <w:szCs w:val="24"/>
        </w:rPr>
        <w:t xml:space="preserve">. </w:t>
      </w:r>
    </w:p>
    <w:p w:rsidR="005E379D" w:rsidRDefault="003A5E85" w:rsidP="00F77584">
      <w:pPr>
        <w:spacing w:line="480" w:lineRule="auto"/>
        <w:ind w:firstLine="720"/>
        <w:rPr>
          <w:rFonts w:ascii="Times New Roman" w:hAnsi="Times New Roman" w:cs="Times New Roman"/>
          <w:color w:val="000000" w:themeColor="text1"/>
          <w:sz w:val="24"/>
          <w:szCs w:val="24"/>
        </w:rPr>
      </w:pPr>
      <w:r>
        <w:rPr>
          <w:noProof/>
        </w:rPr>
        <w:lastRenderedPageBreak/>
        <w:drawing>
          <wp:inline distT="0" distB="0" distL="0" distR="0" wp14:anchorId="70B86AB3" wp14:editId="24765614">
            <wp:extent cx="4855294" cy="31870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8631" cy="3189255"/>
                    </a:xfrm>
                    <a:prstGeom prst="rect">
                      <a:avLst/>
                    </a:prstGeom>
                  </pic:spPr>
                </pic:pic>
              </a:graphicData>
            </a:graphic>
          </wp:inline>
        </w:drawing>
      </w:r>
    </w:p>
    <w:p w:rsidR="003A5E85" w:rsidRDefault="006569E6" w:rsidP="003A5E85">
      <w:pPr>
        <w:spacing w:line="480" w:lineRule="auto"/>
        <w:ind w:firstLine="720"/>
        <w:rPr>
          <w:rFonts w:ascii="Times New Roman" w:eastAsia="Times New Roman" w:hAnsi="Times New Roman" w:cs="Times New Roman"/>
          <w:b/>
          <w:color w:val="000000"/>
          <w:sz w:val="24"/>
          <w:szCs w:val="24"/>
        </w:rPr>
      </w:pPr>
      <w:r w:rsidRPr="003A5E85">
        <w:rPr>
          <w:rFonts w:ascii="Times New Roman" w:eastAsia="Times New Roman" w:hAnsi="Times New Roman" w:cs="Times New Roman"/>
          <w:b/>
          <w:color w:val="000000"/>
          <w:sz w:val="24"/>
          <w:szCs w:val="24"/>
        </w:rPr>
        <w:t>Figure 2</w:t>
      </w:r>
      <w:r w:rsidR="005874AD" w:rsidRPr="003A5E85">
        <w:rPr>
          <w:rFonts w:ascii="Times New Roman" w:eastAsia="Times New Roman" w:hAnsi="Times New Roman" w:cs="Times New Roman"/>
          <w:b/>
          <w:color w:val="000000"/>
          <w:sz w:val="24"/>
          <w:szCs w:val="24"/>
        </w:rPr>
        <w:t xml:space="preserve">.  </w:t>
      </w:r>
      <w:r w:rsidR="003A5E85">
        <w:rPr>
          <w:rFonts w:ascii="Times New Roman" w:eastAsia="Times New Roman" w:hAnsi="Times New Roman" w:cs="Times New Roman"/>
          <w:b/>
          <w:color w:val="000000"/>
          <w:sz w:val="24"/>
          <w:szCs w:val="24"/>
        </w:rPr>
        <w:t>Difference in the n</w:t>
      </w:r>
      <w:r w:rsidRPr="003A5E85">
        <w:rPr>
          <w:rFonts w:ascii="Times New Roman" w:eastAsia="Times New Roman" w:hAnsi="Times New Roman" w:cs="Times New Roman"/>
          <w:b/>
          <w:color w:val="000000"/>
          <w:sz w:val="24"/>
          <w:szCs w:val="24"/>
        </w:rPr>
        <w:t xml:space="preserve">umber of </w:t>
      </w:r>
      <w:r w:rsidR="003A5E85">
        <w:rPr>
          <w:rFonts w:ascii="Times New Roman" w:eastAsia="Times New Roman" w:hAnsi="Times New Roman" w:cs="Times New Roman"/>
          <w:b/>
          <w:color w:val="000000"/>
          <w:sz w:val="24"/>
          <w:szCs w:val="24"/>
        </w:rPr>
        <w:t xml:space="preserve">ligands with non-covalent interactions between </w:t>
      </w:r>
      <w:r w:rsidRPr="003A5E85">
        <w:rPr>
          <w:rFonts w:ascii="Times New Roman" w:eastAsia="Times New Roman" w:hAnsi="Times New Roman" w:cs="Times New Roman"/>
          <w:b/>
          <w:color w:val="000000"/>
          <w:sz w:val="24"/>
          <w:szCs w:val="24"/>
        </w:rPr>
        <w:t xml:space="preserve">ERK1 and ERK2 for each residue in the binding pocket.  </w:t>
      </w:r>
      <w:r w:rsidR="003A5E85">
        <w:rPr>
          <w:rFonts w:ascii="Times New Roman" w:eastAsia="Times New Roman" w:hAnsi="Times New Roman" w:cs="Times New Roman"/>
          <w:b/>
          <w:color w:val="000000"/>
          <w:sz w:val="24"/>
          <w:szCs w:val="24"/>
        </w:rPr>
        <w:t xml:space="preserve"> </w:t>
      </w:r>
      <w:r w:rsidR="005874AD" w:rsidRPr="003A5E85">
        <w:rPr>
          <w:rFonts w:ascii="Times New Roman" w:eastAsia="Times New Roman" w:hAnsi="Times New Roman" w:cs="Times New Roman"/>
          <w:b/>
          <w:color w:val="000000"/>
          <w:sz w:val="24"/>
          <w:szCs w:val="24"/>
        </w:rPr>
        <w:t xml:space="preserve"> </w:t>
      </w:r>
    </w:p>
    <w:p w:rsidR="003A5E85" w:rsidRPr="003A5E85" w:rsidRDefault="003A5E85" w:rsidP="003A5E85">
      <w:pPr>
        <w:spacing w:line="480" w:lineRule="auto"/>
        <w:ind w:firstLine="720"/>
        <w:rPr>
          <w:rFonts w:ascii="Times New Roman" w:eastAsia="Times New Roman" w:hAnsi="Times New Roman" w:cs="Times New Roman"/>
          <w:b/>
          <w:color w:val="000000"/>
          <w:sz w:val="24"/>
          <w:szCs w:val="24"/>
        </w:rPr>
      </w:pPr>
    </w:p>
    <w:p w:rsidR="00984F8A" w:rsidRDefault="006569E6" w:rsidP="00F77584">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2 shows the </w:t>
      </w:r>
      <w:r w:rsidR="003A5E85">
        <w:rPr>
          <w:rFonts w:ascii="Times New Roman" w:hAnsi="Times New Roman" w:cs="Times New Roman"/>
          <w:color w:val="000000" w:themeColor="text1"/>
          <w:sz w:val="24"/>
          <w:szCs w:val="24"/>
        </w:rPr>
        <w:t>number of ligands with different</w:t>
      </w:r>
      <w:r>
        <w:rPr>
          <w:rFonts w:ascii="Times New Roman" w:hAnsi="Times New Roman" w:cs="Times New Roman"/>
          <w:color w:val="000000" w:themeColor="text1"/>
          <w:sz w:val="24"/>
          <w:szCs w:val="24"/>
        </w:rPr>
        <w:t xml:space="preserve"> non-covalent interactions per residue in </w:t>
      </w:r>
      <w:r w:rsidR="003A5E85">
        <w:rPr>
          <w:rFonts w:ascii="Times New Roman" w:hAnsi="Times New Roman" w:cs="Times New Roman"/>
          <w:color w:val="000000" w:themeColor="text1"/>
          <w:sz w:val="24"/>
          <w:szCs w:val="24"/>
        </w:rPr>
        <w:t>the ERK1/2 binding pocket.  Three residues had</w:t>
      </w:r>
      <w:r w:rsidR="00D06F27">
        <w:rPr>
          <w:rFonts w:ascii="Times New Roman" w:hAnsi="Times New Roman" w:cs="Times New Roman"/>
          <w:color w:val="000000" w:themeColor="text1"/>
          <w:sz w:val="24"/>
          <w:szCs w:val="24"/>
        </w:rPr>
        <w:t xml:space="preserve"> the largest number of interaction differences --</w:t>
      </w:r>
      <w:r w:rsidR="003A5E85">
        <w:rPr>
          <w:rFonts w:ascii="Times New Roman" w:hAnsi="Times New Roman" w:cs="Times New Roman"/>
          <w:color w:val="000000" w:themeColor="text1"/>
          <w:sz w:val="24"/>
          <w:szCs w:val="24"/>
        </w:rPr>
        <w:t xml:space="preserve"> three ligands </w:t>
      </w:r>
      <w:r w:rsidR="00D06F27">
        <w:rPr>
          <w:rFonts w:ascii="Times New Roman" w:hAnsi="Times New Roman" w:cs="Times New Roman"/>
          <w:color w:val="000000" w:themeColor="text1"/>
          <w:sz w:val="24"/>
          <w:szCs w:val="24"/>
        </w:rPr>
        <w:t>forming interactions in ERK1 that were not present for ERK2</w:t>
      </w:r>
      <w:r w:rsidR="003A5E85">
        <w:rPr>
          <w:rFonts w:ascii="Times New Roman" w:hAnsi="Times New Roman" w:cs="Times New Roman"/>
          <w:color w:val="000000" w:themeColor="text1"/>
          <w:sz w:val="24"/>
          <w:szCs w:val="24"/>
        </w:rPr>
        <w:t xml:space="preserve">.  </w:t>
      </w:r>
      <w:r w:rsidR="00D06F27">
        <w:rPr>
          <w:rFonts w:ascii="Times New Roman" w:hAnsi="Times New Roman" w:cs="Times New Roman"/>
          <w:color w:val="000000" w:themeColor="text1"/>
          <w:sz w:val="24"/>
          <w:szCs w:val="24"/>
        </w:rPr>
        <w:t xml:space="preserve">Figure 3 shows ligand interaction diagrams for a ligand with a difference in all three of these interactions in ERK1/2.  </w:t>
      </w:r>
      <w:r w:rsidR="003A5E85">
        <w:rPr>
          <w:rFonts w:ascii="Times New Roman" w:hAnsi="Times New Roman" w:cs="Times New Roman"/>
          <w:color w:val="000000" w:themeColor="text1"/>
          <w:sz w:val="24"/>
          <w:szCs w:val="24"/>
        </w:rPr>
        <w:t>The first residue was Leucine 124</w:t>
      </w:r>
      <w:r w:rsidR="00D06F27">
        <w:rPr>
          <w:rFonts w:ascii="Times New Roman" w:hAnsi="Times New Roman" w:cs="Times New Roman"/>
          <w:color w:val="000000" w:themeColor="text1"/>
          <w:sz w:val="24"/>
          <w:szCs w:val="24"/>
        </w:rPr>
        <w:t xml:space="preserve"> (all amino acids numbered with respect to ERK1)</w:t>
      </w:r>
      <w:r w:rsidR="003A5E85">
        <w:rPr>
          <w:rFonts w:ascii="Times New Roman" w:hAnsi="Times New Roman" w:cs="Times New Roman"/>
          <w:color w:val="000000" w:themeColor="text1"/>
          <w:sz w:val="24"/>
          <w:szCs w:val="24"/>
        </w:rPr>
        <w:t>, which is in the critical hinge region of the ERK1/2.  This is the region of ERK1/2 that all inhibitors target as</w:t>
      </w:r>
      <w:r w:rsidR="00D06F27">
        <w:rPr>
          <w:rFonts w:ascii="Times New Roman" w:hAnsi="Times New Roman" w:cs="Times New Roman"/>
          <w:color w:val="000000" w:themeColor="text1"/>
          <w:sz w:val="24"/>
          <w:szCs w:val="24"/>
        </w:rPr>
        <w:t xml:space="preserve"> the hinge regions binds ATP</w:t>
      </w:r>
      <w:r w:rsidR="003A5E85">
        <w:rPr>
          <w:rFonts w:ascii="Times New Roman" w:hAnsi="Times New Roman" w:cs="Times New Roman"/>
          <w:color w:val="000000" w:themeColor="text1"/>
          <w:sz w:val="24"/>
          <w:szCs w:val="24"/>
        </w:rPr>
        <w:t xml:space="preserve"> </w:t>
      </w:r>
      <w:r w:rsidR="00D06F27">
        <w:rPr>
          <w:rFonts w:ascii="Times New Roman" w:hAnsi="Times New Roman" w:cs="Times New Roman"/>
          <w:color w:val="000000" w:themeColor="text1"/>
          <w:sz w:val="24"/>
          <w:szCs w:val="24"/>
        </w:rPr>
        <w:t>(</w:t>
      </w:r>
      <w:r w:rsidR="003A5E85">
        <w:rPr>
          <w:rFonts w:ascii="Times New Roman" w:hAnsi="Times New Roman" w:cs="Times New Roman"/>
          <w:color w:val="000000" w:themeColor="text1"/>
          <w:sz w:val="24"/>
          <w:szCs w:val="24"/>
        </w:rPr>
        <w:t xml:space="preserve">ERK1/2 </w:t>
      </w:r>
      <w:r w:rsidR="00D06F27">
        <w:rPr>
          <w:rFonts w:ascii="Times New Roman" w:hAnsi="Times New Roman" w:cs="Times New Roman"/>
          <w:color w:val="000000" w:themeColor="text1"/>
          <w:sz w:val="24"/>
          <w:szCs w:val="24"/>
        </w:rPr>
        <w:t xml:space="preserve">inhibitors </w:t>
      </w:r>
      <w:r w:rsidR="003A5E85">
        <w:rPr>
          <w:rFonts w:ascii="Times New Roman" w:hAnsi="Times New Roman" w:cs="Times New Roman"/>
          <w:color w:val="000000" w:themeColor="text1"/>
          <w:sz w:val="24"/>
          <w:szCs w:val="24"/>
        </w:rPr>
        <w:t>are ATP competitors</w:t>
      </w:r>
      <w:r w:rsidR="00D06F27">
        <w:rPr>
          <w:rFonts w:ascii="Times New Roman" w:hAnsi="Times New Roman" w:cs="Times New Roman"/>
          <w:color w:val="000000" w:themeColor="text1"/>
          <w:sz w:val="24"/>
          <w:szCs w:val="24"/>
        </w:rPr>
        <w:t>)</w:t>
      </w:r>
      <w:r w:rsidR="003A5E85">
        <w:rPr>
          <w:rFonts w:ascii="Times New Roman" w:hAnsi="Times New Roman" w:cs="Times New Roman"/>
          <w:color w:val="000000" w:themeColor="text1"/>
          <w:sz w:val="24"/>
          <w:szCs w:val="24"/>
        </w:rPr>
        <w:t xml:space="preserve">.  The second residue </w:t>
      </w:r>
      <w:r w:rsidR="00D06F27">
        <w:rPr>
          <w:rFonts w:ascii="Times New Roman" w:hAnsi="Times New Roman" w:cs="Times New Roman"/>
          <w:color w:val="000000" w:themeColor="text1"/>
          <w:sz w:val="24"/>
          <w:szCs w:val="24"/>
        </w:rPr>
        <w:t xml:space="preserve">was </w:t>
      </w:r>
      <w:r w:rsidR="00060CBE">
        <w:rPr>
          <w:rFonts w:ascii="Times New Roman" w:hAnsi="Times New Roman" w:cs="Times New Roman"/>
          <w:color w:val="000000" w:themeColor="text1"/>
          <w:sz w:val="24"/>
          <w:szCs w:val="24"/>
        </w:rPr>
        <w:t xml:space="preserve">Lysine 168, which is interacting with the benzene, which also interacts with the P-Loop (amino acids 49 - 54).  The third residue was </w:t>
      </w:r>
      <w:r w:rsidR="00D06F27">
        <w:rPr>
          <w:rFonts w:ascii="Times New Roman" w:hAnsi="Times New Roman" w:cs="Times New Roman"/>
          <w:color w:val="000000" w:themeColor="text1"/>
          <w:sz w:val="24"/>
          <w:szCs w:val="24"/>
        </w:rPr>
        <w:t>Glycine 186</w:t>
      </w:r>
      <w:r w:rsidR="00060CBE">
        <w:rPr>
          <w:rFonts w:ascii="Times New Roman" w:hAnsi="Times New Roman" w:cs="Times New Roman"/>
          <w:color w:val="000000" w:themeColor="text1"/>
          <w:sz w:val="24"/>
          <w:szCs w:val="24"/>
        </w:rPr>
        <w:t>,</w:t>
      </w:r>
      <w:r w:rsidR="00D06F27">
        <w:rPr>
          <w:rFonts w:ascii="Times New Roman" w:hAnsi="Times New Roman" w:cs="Times New Roman"/>
          <w:color w:val="000000" w:themeColor="text1"/>
          <w:sz w:val="24"/>
          <w:szCs w:val="24"/>
        </w:rPr>
        <w:t xml:space="preserve"> which is interacting with </w:t>
      </w:r>
      <w:r w:rsidR="00D06F27">
        <w:rPr>
          <w:rFonts w:ascii="Times New Roman" w:hAnsi="Times New Roman" w:cs="Times New Roman"/>
          <w:color w:val="000000" w:themeColor="text1"/>
          <w:sz w:val="24"/>
          <w:szCs w:val="24"/>
        </w:rPr>
        <w:lastRenderedPageBreak/>
        <w:t>the</w:t>
      </w:r>
      <w:r w:rsidR="00060CBE">
        <w:rPr>
          <w:rFonts w:ascii="Times New Roman" w:hAnsi="Times New Roman" w:cs="Times New Roman"/>
          <w:color w:val="000000" w:themeColor="text1"/>
          <w:sz w:val="24"/>
          <w:szCs w:val="24"/>
        </w:rPr>
        <w:t xml:space="preserve"> terminal</w:t>
      </w:r>
      <w:r w:rsidR="00D06F27">
        <w:rPr>
          <w:rFonts w:ascii="Times New Roman" w:hAnsi="Times New Roman" w:cs="Times New Roman"/>
          <w:color w:val="000000" w:themeColor="text1"/>
          <w:sz w:val="24"/>
          <w:szCs w:val="24"/>
        </w:rPr>
        <w:t xml:space="preserve"> </w:t>
      </w:r>
      <w:r w:rsidR="00060CBE">
        <w:rPr>
          <w:rFonts w:ascii="Times New Roman" w:hAnsi="Times New Roman" w:cs="Times New Roman"/>
          <w:color w:val="000000" w:themeColor="text1"/>
          <w:sz w:val="24"/>
          <w:szCs w:val="24"/>
        </w:rPr>
        <w:t>chlorobenzene in the induced hydrophobic pocket. In addition to these differences in interactions, there are also numerous differences in i</w:t>
      </w:r>
      <w:r w:rsidR="00984F8A">
        <w:rPr>
          <w:rFonts w:ascii="Times New Roman" w:hAnsi="Times New Roman" w:cs="Times New Roman"/>
          <w:color w:val="000000" w:themeColor="text1"/>
          <w:sz w:val="24"/>
          <w:szCs w:val="24"/>
        </w:rPr>
        <w:t xml:space="preserve">nteraction in the P-Loop.  </w:t>
      </w:r>
    </w:p>
    <w:p w:rsidR="00D06F27" w:rsidRPr="002B7D4D" w:rsidRDefault="00984F8A" w:rsidP="002B7D4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differences in interactions are interesting because </w:t>
      </w:r>
      <w:r w:rsidRPr="00984F8A">
        <w:rPr>
          <w:rFonts w:ascii="Times New Roman" w:hAnsi="Times New Roman" w:cs="Times New Roman"/>
          <w:color w:val="000000" w:themeColor="text1"/>
          <w:sz w:val="24"/>
          <w:szCs w:val="24"/>
        </w:rPr>
        <w:t>Ring et al</w:t>
      </w:r>
      <w:r w:rsidR="006D2BF3">
        <w:rPr>
          <w:rFonts w:ascii="Times New Roman" w:hAnsi="Times New Roman" w:cs="Times New Roman"/>
          <w:color w:val="000000" w:themeColor="text1"/>
          <w:sz w:val="24"/>
          <w:szCs w:val="24"/>
        </w:rPr>
        <w:t xml:space="preserve"> have shown that there is a difference in conformational mobility of inactivated ERK1 and ERK2 in the </w:t>
      </w:r>
      <w:r>
        <w:rPr>
          <w:rFonts w:ascii="Times New Roman" w:hAnsi="Times New Roman" w:cs="Times New Roman"/>
          <w:color w:val="000000" w:themeColor="text1"/>
          <w:sz w:val="24"/>
          <w:szCs w:val="24"/>
        </w:rPr>
        <w:t>hinge and P-loop regions</w:t>
      </w:r>
      <w:r w:rsidR="006D2BF3">
        <w:rPr>
          <w:rFonts w:ascii="Times New Roman" w:hAnsi="Times New Roman" w:cs="Times New Roman"/>
          <w:color w:val="000000" w:themeColor="text1"/>
          <w:sz w:val="24"/>
          <w:szCs w:val="24"/>
        </w:rPr>
        <w:fldChar w:fldCharType="begin" w:fldLock="1"/>
      </w:r>
      <w:r w:rsidR="006D2BF3">
        <w:rPr>
          <w:rFonts w:ascii="Times New Roman" w:hAnsi="Times New Roman" w:cs="Times New Roman"/>
          <w:color w:val="000000" w:themeColor="text1"/>
          <w:sz w:val="24"/>
          <w:szCs w:val="24"/>
        </w:rPr>
        <w:instrText>ADDIN CSL_CITATION { "citationItems" : [ { "id" : "ITEM-1", "itemData" : { "DOI" : "10.1016/j.ijms.2010.08.020", "ISBN" : "1387-3806 (Print) 1387-3806 (Linking)", "ISSN" : "13873806", "PMID" : "21785572", "abstract" : "Hydrogen/deuterium exchange measurements by mass spectrometry (HX-MS) can be used to report localized conformational mobility within folded proteins, where exchange predominantly occurs through low energy fluctuations in structure, allowing transient solvent exposure. Changes in conformational mobility may impact protein function, even in cases where structural changes are unobservable. Previous studies of the MAP kinase, ERK2, revealed increases in HX upon activation occurred at the hinge between conserved N- and C-terminal domains, which could be ascribed to enhanced backbone flexibility. This implied that kinase activation modulates interdomain closure, and was supported by evidence for two modes of nucleotide binding that were consistent with closed vs open conformations in active vs inactive forms of ERK2, respectively. Thus, phosphorylation of ERK2 releases constraints to interdomain closure, by modulating hinge flexibility. In this study, we examined ERK1, which shares 90% sequence identity with ERK2. HX-MS measurements of ERK1 showed similarities with ERK2 in overall deuteration, consistent with their similar tertiary structures. However, the patterns of HX that were altered upon activation of ERK1 differed from those in ERK2. In particular, alterations in HX at the hinge region upon activation of ERK2 did not occur in ERK1, suggesting that the two enzymes differ with respect to their regulation of hinge mobility and interdomain closure. In agreement, HX-MS measurements of nucleotide binding suggested revealed domain closure in both inactive and active forms of ERK1. We conclude that although ERK1 and ERK2 are closely related with respect to primary sequence and tertiary structure, they utilize distinct mechanisms for controlling enzyme function through interdomain interactions. \u00a9 2010 Elsevier B.V.", "author" : [ { "dropping-particle" : "", "family" : "Ring", "given" : "Adam Y.", "non-dropping-particle" : "", "parse-names" : false, "suffix" : "" }, { "dropping-particle" : "", "family" : "Sours", "given" : "Kevin M.", "non-dropping-particle" : "", "parse-names" : false, "suffix" : "" }, { "dropping-particle" : "", "family" : "Lee", "given" : "Thomas", "non-dropping-particle" : "", "parse-names" : false, "suffix" : "" }, { "dropping-particle" : "", "family" : "Ahn", "given" : "Natalie G.", "non-dropping-particle" : "", "parse-names" : false, "suffix" : "" } ], "container-title" : "International Journal of Mass Spectrometry", "id" : "ITEM-1", "issue" : "1-3", "issued" : { "date-parts" : [ [ "2011" ] ] }, "page" : "101-109", "title" : "Distinct patterns of activation-dependent changes in conformational mobility between ERK1 and ERK2", "type" : "article-journal", "volume" : "302" }, "uris" : [ "http://www.mendeley.com/documents/?uuid=f12088e8-fc56-4330-96bf-bd71d1da9d24" ] } ], "mendeley" : { "formattedCitation" : "&lt;sup&gt;25&lt;/sup&gt;", "plainTextFormattedCitation" : "25" }, "properties" : { "noteIndex" : 0 }, "schema" : "https://github.com/citation-style-language/schema/raw/master/csl-citation.json" }</w:instrText>
      </w:r>
      <w:r w:rsidR="006D2BF3">
        <w:rPr>
          <w:rFonts w:ascii="Times New Roman" w:hAnsi="Times New Roman" w:cs="Times New Roman"/>
          <w:color w:val="000000" w:themeColor="text1"/>
          <w:sz w:val="24"/>
          <w:szCs w:val="24"/>
        </w:rPr>
        <w:fldChar w:fldCharType="separate"/>
      </w:r>
      <w:r w:rsidR="006D2BF3" w:rsidRPr="006D2BF3">
        <w:rPr>
          <w:rFonts w:ascii="Times New Roman" w:hAnsi="Times New Roman" w:cs="Times New Roman"/>
          <w:noProof/>
          <w:color w:val="000000" w:themeColor="text1"/>
          <w:sz w:val="24"/>
          <w:szCs w:val="24"/>
          <w:vertAlign w:val="superscript"/>
        </w:rPr>
        <w:t>25</w:t>
      </w:r>
      <w:r w:rsidR="006D2BF3">
        <w:rPr>
          <w:rFonts w:ascii="Times New Roman" w:hAnsi="Times New Roman" w:cs="Times New Roman"/>
          <w:color w:val="000000" w:themeColor="text1"/>
          <w:sz w:val="24"/>
          <w:szCs w:val="24"/>
        </w:rPr>
        <w:fldChar w:fldCharType="end"/>
      </w:r>
      <w:r w:rsidR="006D2BF3">
        <w:rPr>
          <w:rFonts w:ascii="Times New Roman" w:hAnsi="Times New Roman" w:cs="Times New Roman"/>
          <w:color w:val="000000" w:themeColor="text1"/>
          <w:sz w:val="24"/>
          <w:szCs w:val="24"/>
        </w:rPr>
        <w:t>.  They propose that when inactivated, as the ERK1/2 proteins are in the 4QTA/B crystal structures, ERK2 has a constraint that prevents the closure of its C-Terminal domain on a bound ligand, while this constrai</w:t>
      </w:r>
      <w:r w:rsidR="005544C1">
        <w:rPr>
          <w:rFonts w:ascii="Times New Roman" w:hAnsi="Times New Roman" w:cs="Times New Roman"/>
          <w:color w:val="000000" w:themeColor="text1"/>
          <w:sz w:val="24"/>
          <w:szCs w:val="24"/>
        </w:rPr>
        <w:t>nt is not present in ERK1.  The difference in conformational mobility in these regions may explain the difference in affinity that these ligands have for these two targets.  To further study this protein ligand interactions over the course of long run molecular dynamics will need to be studied.</w:t>
      </w:r>
      <w:r w:rsidR="006D2BF3">
        <w:rPr>
          <w:rFonts w:ascii="Times New Roman" w:hAnsi="Times New Roman" w:cs="Times New Roman"/>
          <w:color w:val="000000" w:themeColor="text1"/>
          <w:sz w:val="24"/>
          <w:szCs w:val="24"/>
        </w:rPr>
        <w:t xml:space="preserve"> </w:t>
      </w:r>
      <w:r w:rsidR="00D06F27">
        <w:rPr>
          <w:rFonts w:eastAsia="Times New Roman"/>
        </w:rPr>
        <w:br w:type="page"/>
      </w:r>
    </w:p>
    <w:p w:rsidR="00C7753D" w:rsidRDefault="00C7753D" w:rsidP="00F77584">
      <w:pPr>
        <w:spacing w:line="480" w:lineRule="auto"/>
        <w:ind w:firstLine="720"/>
        <w:rPr>
          <w:rFonts w:ascii="Times New Roman" w:eastAsia="Times New Roman" w:hAnsi="Times New Roman" w:cs="Times New Roman"/>
          <w:color w:val="000000"/>
          <w:sz w:val="24"/>
          <w:szCs w:val="24"/>
        </w:rPr>
      </w:pPr>
    </w:p>
    <w:p w:rsidR="005874AD" w:rsidRDefault="00ED7D43" w:rsidP="00F77584">
      <w:pPr>
        <w:spacing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BD68430">
            <wp:extent cx="4654132" cy="6296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544" cy="6306052"/>
                    </a:xfrm>
                    <a:prstGeom prst="rect">
                      <a:avLst/>
                    </a:prstGeom>
                    <a:noFill/>
                  </pic:spPr>
                </pic:pic>
              </a:graphicData>
            </a:graphic>
          </wp:inline>
        </w:drawing>
      </w:r>
    </w:p>
    <w:p w:rsidR="005874AD" w:rsidRDefault="005874AD" w:rsidP="00F77584">
      <w:pPr>
        <w:spacing w:line="480" w:lineRule="auto"/>
        <w:ind w:firstLine="720"/>
        <w:rPr>
          <w:rFonts w:ascii="Times New Roman" w:eastAsia="Times New Roman" w:hAnsi="Times New Roman" w:cs="Times New Roman"/>
          <w:color w:val="000000"/>
          <w:sz w:val="24"/>
          <w:szCs w:val="24"/>
        </w:rPr>
      </w:pPr>
      <w:r w:rsidRPr="00D06F27">
        <w:rPr>
          <w:rFonts w:ascii="Times New Roman" w:eastAsia="Times New Roman" w:hAnsi="Times New Roman" w:cs="Times New Roman"/>
          <w:b/>
          <w:color w:val="000000"/>
          <w:sz w:val="24"/>
          <w:szCs w:val="24"/>
        </w:rPr>
        <w:t>Figure 3.  Representative</w:t>
      </w:r>
      <w:r w:rsidR="00D06F27">
        <w:rPr>
          <w:rFonts w:ascii="Times New Roman" w:eastAsia="Times New Roman" w:hAnsi="Times New Roman" w:cs="Times New Roman"/>
          <w:b/>
          <w:color w:val="000000"/>
          <w:sz w:val="24"/>
          <w:szCs w:val="24"/>
        </w:rPr>
        <w:t xml:space="preserve"> molecule with</w:t>
      </w:r>
      <w:r w:rsidRPr="00D06F27">
        <w:rPr>
          <w:rFonts w:ascii="Times New Roman" w:eastAsia="Times New Roman" w:hAnsi="Times New Roman" w:cs="Times New Roman"/>
          <w:b/>
          <w:color w:val="000000"/>
          <w:sz w:val="24"/>
          <w:szCs w:val="24"/>
        </w:rPr>
        <w:t xml:space="preserve"> difference in most frequent protein ligand interactions.</w:t>
      </w:r>
      <w:r>
        <w:rPr>
          <w:rFonts w:ascii="Times New Roman" w:eastAsia="Times New Roman" w:hAnsi="Times New Roman" w:cs="Times New Roman"/>
          <w:color w:val="000000"/>
          <w:sz w:val="24"/>
          <w:szCs w:val="24"/>
        </w:rPr>
        <w:t xml:space="preserve">  Docked conformation of CHEMBL3577644 in both ERK1 and ERK2.  </w:t>
      </w:r>
      <w:r w:rsidR="00ED7D43">
        <w:rPr>
          <w:rFonts w:ascii="Times New Roman" w:eastAsia="Times New Roman" w:hAnsi="Times New Roman" w:cs="Times New Roman"/>
          <w:color w:val="000000"/>
          <w:sz w:val="24"/>
          <w:szCs w:val="24"/>
        </w:rPr>
        <w:t>Interactions of interest that are present in ERK1 but not ERK2 are circled in orange.</w:t>
      </w:r>
    </w:p>
    <w:p w:rsidR="00402B3F" w:rsidRDefault="00402B3F" w:rsidP="00402B3F">
      <w:pPr>
        <w:pStyle w:val="Heading1"/>
      </w:pPr>
      <w:r>
        <w:lastRenderedPageBreak/>
        <w:t>References</w:t>
      </w:r>
    </w:p>
    <w:p w:rsidR="00402B3F" w:rsidRPr="00402B3F" w:rsidRDefault="00402B3F" w:rsidP="00402B3F">
      <w:bookmarkStart w:id="0" w:name="_GoBack"/>
      <w:bookmarkEnd w:id="0"/>
    </w:p>
    <w:p w:rsidR="006D2BF3" w:rsidRPr="006D2BF3" w:rsidRDefault="00736A24" w:rsidP="006D2BF3">
      <w:pPr>
        <w:widowControl w:val="0"/>
        <w:autoSpaceDE w:val="0"/>
        <w:autoSpaceDN w:val="0"/>
        <w:adjustRightInd w:val="0"/>
        <w:spacing w:line="48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6D2BF3" w:rsidRPr="006D2BF3">
        <w:rPr>
          <w:rFonts w:ascii="Calibri" w:hAnsi="Calibri" w:cs="Times New Roman"/>
          <w:noProof/>
          <w:szCs w:val="24"/>
        </w:rPr>
        <w:t xml:space="preserve">(1) </w:t>
      </w:r>
      <w:r w:rsidR="006D2BF3" w:rsidRPr="006D2BF3">
        <w:rPr>
          <w:rFonts w:ascii="Calibri" w:hAnsi="Calibri" w:cs="Times New Roman"/>
          <w:noProof/>
          <w:szCs w:val="24"/>
        </w:rPr>
        <w:tab/>
        <w:t xml:space="preserve">Wu, P.; Nielsen, T. E.; Clausen, M. H. Small-Molecule Kinase Inhibitors: An Analysis of FDA-Approved Drugs. </w:t>
      </w:r>
      <w:r w:rsidR="006D2BF3" w:rsidRPr="006D2BF3">
        <w:rPr>
          <w:rFonts w:ascii="Calibri" w:hAnsi="Calibri" w:cs="Times New Roman"/>
          <w:i/>
          <w:iCs/>
          <w:noProof/>
          <w:szCs w:val="24"/>
        </w:rPr>
        <w:t>Drug Discov. Today</w:t>
      </w:r>
      <w:r w:rsidR="006D2BF3" w:rsidRPr="006D2BF3">
        <w:rPr>
          <w:rFonts w:ascii="Calibri" w:hAnsi="Calibri" w:cs="Times New Roman"/>
          <w:noProof/>
          <w:szCs w:val="24"/>
        </w:rPr>
        <w:t xml:space="preserve"> </w:t>
      </w:r>
      <w:r w:rsidR="006D2BF3" w:rsidRPr="006D2BF3">
        <w:rPr>
          <w:rFonts w:ascii="Calibri" w:hAnsi="Calibri" w:cs="Times New Roman"/>
          <w:b/>
          <w:bCs/>
          <w:noProof/>
          <w:szCs w:val="24"/>
        </w:rPr>
        <w:t>2016</w:t>
      </w:r>
      <w:r w:rsidR="006D2BF3" w:rsidRPr="006D2BF3">
        <w:rPr>
          <w:rFonts w:ascii="Calibri" w:hAnsi="Calibri" w:cs="Times New Roman"/>
          <w:noProof/>
          <w:szCs w:val="24"/>
        </w:rPr>
        <w:t xml:space="preserve">, </w:t>
      </w:r>
      <w:r w:rsidR="006D2BF3" w:rsidRPr="006D2BF3">
        <w:rPr>
          <w:rFonts w:ascii="Calibri" w:hAnsi="Calibri" w:cs="Times New Roman"/>
          <w:i/>
          <w:iCs/>
          <w:noProof/>
          <w:szCs w:val="24"/>
        </w:rPr>
        <w:t>21</w:t>
      </w:r>
      <w:r w:rsidR="006D2BF3" w:rsidRPr="006D2BF3">
        <w:rPr>
          <w:rFonts w:ascii="Calibri" w:hAnsi="Calibri" w:cs="Times New Roman"/>
          <w:noProof/>
          <w:szCs w:val="24"/>
        </w:rPr>
        <w:t xml:space="preserve"> (1), 5–10.</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 </w:t>
      </w:r>
      <w:r w:rsidRPr="006D2BF3">
        <w:rPr>
          <w:rFonts w:ascii="Calibri" w:hAnsi="Calibri" w:cs="Times New Roman"/>
          <w:noProof/>
          <w:szCs w:val="24"/>
        </w:rPr>
        <w:tab/>
        <w:t xml:space="preserve">Knight, Z. A.; Lin, H.; Shokat, K. M. Targeting the Cancer Kinome through Polypharmacology. </w:t>
      </w:r>
      <w:r w:rsidRPr="006D2BF3">
        <w:rPr>
          <w:rFonts w:ascii="Calibri" w:hAnsi="Calibri" w:cs="Times New Roman"/>
          <w:i/>
          <w:iCs/>
          <w:noProof/>
          <w:szCs w:val="24"/>
        </w:rPr>
        <w:t>Nat. Rev. Cancer</w:t>
      </w:r>
      <w:r w:rsidRPr="006D2BF3">
        <w:rPr>
          <w:rFonts w:ascii="Calibri" w:hAnsi="Calibri" w:cs="Times New Roman"/>
          <w:noProof/>
          <w:szCs w:val="24"/>
        </w:rPr>
        <w:t xml:space="preserve"> </w:t>
      </w:r>
      <w:r w:rsidRPr="006D2BF3">
        <w:rPr>
          <w:rFonts w:ascii="Calibri" w:hAnsi="Calibri" w:cs="Times New Roman"/>
          <w:b/>
          <w:bCs/>
          <w:noProof/>
          <w:szCs w:val="24"/>
        </w:rPr>
        <w:t>2010</w:t>
      </w:r>
      <w:r w:rsidRPr="006D2BF3">
        <w:rPr>
          <w:rFonts w:ascii="Calibri" w:hAnsi="Calibri" w:cs="Times New Roman"/>
          <w:noProof/>
          <w:szCs w:val="24"/>
        </w:rPr>
        <w:t xml:space="preserve">, </w:t>
      </w:r>
      <w:r w:rsidRPr="006D2BF3">
        <w:rPr>
          <w:rFonts w:ascii="Calibri" w:hAnsi="Calibri" w:cs="Times New Roman"/>
          <w:i/>
          <w:iCs/>
          <w:noProof/>
          <w:szCs w:val="24"/>
        </w:rPr>
        <w:t>10</w:t>
      </w:r>
      <w:r w:rsidRPr="006D2BF3">
        <w:rPr>
          <w:rFonts w:ascii="Calibri" w:hAnsi="Calibri" w:cs="Times New Roman"/>
          <w:noProof/>
          <w:szCs w:val="24"/>
        </w:rPr>
        <w:t xml:space="preserve"> (2), 130–137.</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(3) </w:t>
      </w:r>
      <w:r w:rsidRPr="006D2BF3">
        <w:rPr>
          <w:rFonts w:ascii="Calibri" w:hAnsi="Calibri" w:cs="Times New Roman"/>
          <w:noProof/>
          <w:szCs w:val="24"/>
        </w:rPr>
        <w:tab/>
        <w:t xml:space="preserve">Apsel, B.; Blair, J. A.; Gonzalez, B.; Nazif, T. M.; Feldman, M. E.; Aizenstein, B.; Hoffman, R.; Williams, R. L.; Shokat, K. M.; Knight, Z. A. Targeted Polypharmacology: Discovery of Dual Inhibitors of Tyrosine and Phosphoinositide Kinases. </w:t>
      </w:r>
      <w:r w:rsidRPr="006D2BF3">
        <w:rPr>
          <w:rFonts w:ascii="Calibri" w:hAnsi="Calibri" w:cs="Times New Roman"/>
          <w:i/>
          <w:iCs/>
          <w:noProof/>
          <w:szCs w:val="24"/>
        </w:rPr>
        <w:t>Nat. Chem. Biol.</w:t>
      </w:r>
      <w:r w:rsidRPr="006D2BF3">
        <w:rPr>
          <w:rFonts w:ascii="Calibri" w:hAnsi="Calibri" w:cs="Times New Roman"/>
          <w:noProof/>
          <w:szCs w:val="24"/>
        </w:rPr>
        <w:t xml:space="preserve"> </w:t>
      </w:r>
      <w:r w:rsidRPr="006D2BF3">
        <w:rPr>
          <w:rFonts w:ascii="Calibri" w:hAnsi="Calibri" w:cs="Times New Roman"/>
          <w:b/>
          <w:bCs/>
          <w:noProof/>
          <w:szCs w:val="24"/>
        </w:rPr>
        <w:t>2008</w:t>
      </w:r>
      <w:r w:rsidRPr="006D2BF3">
        <w:rPr>
          <w:rFonts w:ascii="Calibri" w:hAnsi="Calibri" w:cs="Times New Roman"/>
          <w:noProof/>
          <w:szCs w:val="24"/>
        </w:rPr>
        <w:t xml:space="preserve">, </w:t>
      </w:r>
      <w:r w:rsidRPr="006D2BF3">
        <w:rPr>
          <w:rFonts w:ascii="Calibri" w:hAnsi="Calibri" w:cs="Times New Roman"/>
          <w:i/>
          <w:iCs/>
          <w:noProof/>
          <w:szCs w:val="24"/>
        </w:rPr>
        <w:t>4</w:t>
      </w:r>
      <w:r w:rsidRPr="006D2BF3">
        <w:rPr>
          <w:rFonts w:ascii="Calibri" w:hAnsi="Calibri" w:cs="Times New Roman"/>
          <w:noProof/>
          <w:szCs w:val="24"/>
        </w:rPr>
        <w:t xml:space="preserve"> (11), 691–699.</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(4) </w:t>
      </w:r>
      <w:r w:rsidRPr="006D2BF3">
        <w:rPr>
          <w:rFonts w:ascii="Calibri" w:hAnsi="Calibri" w:cs="Times New Roman"/>
          <w:noProof/>
          <w:szCs w:val="24"/>
        </w:rPr>
        <w:tab/>
        <w:t xml:space="preserve">Sawyers, C. L. Cancer: Mixing Cocktails. </w:t>
      </w:r>
      <w:r w:rsidRPr="006D2BF3">
        <w:rPr>
          <w:rFonts w:ascii="Calibri" w:hAnsi="Calibri" w:cs="Times New Roman"/>
          <w:i/>
          <w:iCs/>
          <w:noProof/>
          <w:szCs w:val="24"/>
        </w:rPr>
        <w:t>Nature</w:t>
      </w:r>
      <w:r w:rsidRPr="006D2BF3">
        <w:rPr>
          <w:rFonts w:ascii="Calibri" w:hAnsi="Calibri" w:cs="Times New Roman"/>
          <w:noProof/>
          <w:szCs w:val="24"/>
        </w:rPr>
        <w:t xml:space="preserve"> </w:t>
      </w:r>
      <w:r w:rsidRPr="006D2BF3">
        <w:rPr>
          <w:rFonts w:ascii="Calibri" w:hAnsi="Calibri" w:cs="Times New Roman"/>
          <w:b/>
          <w:bCs/>
          <w:noProof/>
          <w:szCs w:val="24"/>
        </w:rPr>
        <w:t>2007</w:t>
      </w:r>
      <w:r w:rsidRPr="006D2BF3">
        <w:rPr>
          <w:rFonts w:ascii="Calibri" w:hAnsi="Calibri" w:cs="Times New Roman"/>
          <w:noProof/>
          <w:szCs w:val="24"/>
        </w:rPr>
        <w:t xml:space="preserve">, </w:t>
      </w:r>
      <w:r w:rsidRPr="006D2BF3">
        <w:rPr>
          <w:rFonts w:ascii="Calibri" w:hAnsi="Calibri" w:cs="Times New Roman"/>
          <w:i/>
          <w:iCs/>
          <w:noProof/>
          <w:szCs w:val="24"/>
        </w:rPr>
        <w:t>449</w:t>
      </w:r>
      <w:r w:rsidRPr="006D2BF3">
        <w:rPr>
          <w:rFonts w:ascii="Calibri" w:hAnsi="Calibri" w:cs="Times New Roman"/>
          <w:noProof/>
          <w:szCs w:val="24"/>
        </w:rPr>
        <w:t xml:space="preserve"> (7165), 993–996.</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(5) </w:t>
      </w:r>
      <w:r w:rsidRPr="006D2BF3">
        <w:rPr>
          <w:rFonts w:ascii="Calibri" w:hAnsi="Calibri" w:cs="Times New Roman"/>
          <w:noProof/>
          <w:szCs w:val="24"/>
        </w:rPr>
        <w:tab/>
        <w:t xml:space="preserve">Bain, J.; Plater, L.; Elliott, M.; Shpiro, N.; Hastie, J.; Mclauchlan, H.; Klevernic, I.; Simon, J.; Arthur, C.; Alessi, D. R.; Cohen, P. The Selectivity of Protein Kinase Inhibitors: A Further Update. </w:t>
      </w:r>
      <w:r w:rsidRPr="006D2BF3">
        <w:rPr>
          <w:rFonts w:ascii="Calibri" w:hAnsi="Calibri" w:cs="Times New Roman"/>
          <w:i/>
          <w:iCs/>
          <w:noProof/>
          <w:szCs w:val="24"/>
        </w:rPr>
        <w:t>Biochem. J</w:t>
      </w:r>
      <w:r w:rsidRPr="006D2BF3">
        <w:rPr>
          <w:rFonts w:ascii="Calibri" w:hAnsi="Calibri" w:cs="Times New Roman"/>
          <w:noProof/>
          <w:szCs w:val="24"/>
        </w:rPr>
        <w:t xml:space="preserve"> </w:t>
      </w:r>
      <w:r w:rsidRPr="006D2BF3">
        <w:rPr>
          <w:rFonts w:ascii="Calibri" w:hAnsi="Calibri" w:cs="Times New Roman"/>
          <w:b/>
          <w:bCs/>
          <w:noProof/>
          <w:szCs w:val="24"/>
        </w:rPr>
        <w:t>2007</w:t>
      </w:r>
      <w:r w:rsidRPr="006D2BF3">
        <w:rPr>
          <w:rFonts w:ascii="Calibri" w:hAnsi="Calibri" w:cs="Times New Roman"/>
          <w:noProof/>
          <w:szCs w:val="24"/>
        </w:rPr>
        <w:t xml:space="preserve">, </w:t>
      </w:r>
      <w:r w:rsidRPr="006D2BF3">
        <w:rPr>
          <w:rFonts w:ascii="Calibri" w:hAnsi="Calibri" w:cs="Times New Roman"/>
          <w:i/>
          <w:iCs/>
          <w:noProof/>
          <w:szCs w:val="24"/>
        </w:rPr>
        <w:t>408</w:t>
      </w:r>
      <w:r w:rsidRPr="006D2BF3">
        <w:rPr>
          <w:rFonts w:ascii="Calibri" w:hAnsi="Calibri" w:cs="Times New Roman"/>
          <w:noProof/>
          <w:szCs w:val="24"/>
        </w:rPr>
        <w:t>, 297–315.</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(6) </w:t>
      </w:r>
      <w:r w:rsidRPr="006D2BF3">
        <w:rPr>
          <w:rFonts w:ascii="Calibri" w:hAnsi="Calibri" w:cs="Times New Roman"/>
          <w:noProof/>
          <w:szCs w:val="24"/>
        </w:rPr>
        <w:tab/>
        <w:t>Bamborough, P.; Drewry, D.; Harper, G.; Smith, G. K.; Schneider, K. Assessment of Chemical Coverage of Kinome Space and Its Implications for Kinase Drug Discovery.</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(7) </w:t>
      </w:r>
      <w:r w:rsidRPr="006D2BF3">
        <w:rPr>
          <w:rFonts w:ascii="Calibri" w:hAnsi="Calibri" w:cs="Times New Roman"/>
          <w:noProof/>
          <w:szCs w:val="24"/>
        </w:rPr>
        <w:tab/>
        <w:t xml:space="preserve">Christmann-Franck, S.; van Westen, G. J. P.; Papadatos, G.; Beltran Escudie, F.; Roberts, A.; Overington, J. P.; Domine, D. An Unprecedentedly Large-Scale Kinase Inhibitor Set Enabling the Accurate Prediction of Compound-Kinase Activities: A Way towards Selective Promiscuity by Design? </w:t>
      </w:r>
      <w:r w:rsidRPr="006D2BF3">
        <w:rPr>
          <w:rFonts w:ascii="Calibri" w:hAnsi="Calibri" w:cs="Times New Roman"/>
          <w:i/>
          <w:iCs/>
          <w:noProof/>
          <w:szCs w:val="24"/>
        </w:rPr>
        <w:t>J. Chem. Inf. Model.</w:t>
      </w:r>
      <w:r w:rsidRPr="006D2BF3">
        <w:rPr>
          <w:rFonts w:ascii="Calibri" w:hAnsi="Calibri" w:cs="Times New Roman"/>
          <w:noProof/>
          <w:szCs w:val="24"/>
        </w:rPr>
        <w:t xml:space="preserve"> </w:t>
      </w:r>
      <w:r w:rsidRPr="006D2BF3">
        <w:rPr>
          <w:rFonts w:ascii="Calibri" w:hAnsi="Calibri" w:cs="Times New Roman"/>
          <w:b/>
          <w:bCs/>
          <w:noProof/>
          <w:szCs w:val="24"/>
        </w:rPr>
        <w:t>2016</w:t>
      </w:r>
      <w:r w:rsidRPr="006D2BF3">
        <w:rPr>
          <w:rFonts w:ascii="Calibri" w:hAnsi="Calibri" w:cs="Times New Roman"/>
          <w:noProof/>
          <w:szCs w:val="24"/>
        </w:rPr>
        <w:t>, acs.jcim.6b00122.</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(8) </w:t>
      </w:r>
      <w:r w:rsidRPr="006D2BF3">
        <w:rPr>
          <w:rFonts w:ascii="Calibri" w:hAnsi="Calibri" w:cs="Times New Roman"/>
          <w:noProof/>
          <w:szCs w:val="24"/>
        </w:rPr>
        <w:tab/>
        <w:t xml:space="preserve">Morris, E. J.; Jha, S.; Restaino, C. R.; Dayananth, P.; Zhu, H.; Cooper, A.; Carr, D.; Deng, Y.; Jin, W.; Black, S.; Long, B.; Liu, J.; DiNunzio, E.; Windsor, W.; Zhang, R.; Zhao, S.; Angagaw, M. H.; Pinheiro, E. M.; Desai, J.; Xiao, L.; Shipps, G.; Hruza, A.; Wang, J.; Kelly, J.; Paliwal, S.; Gao, X.; </w:t>
      </w:r>
      <w:r w:rsidRPr="006D2BF3">
        <w:rPr>
          <w:rFonts w:ascii="Calibri" w:hAnsi="Calibri" w:cs="Times New Roman"/>
          <w:noProof/>
          <w:szCs w:val="24"/>
        </w:rPr>
        <w:lastRenderedPageBreak/>
        <w:t xml:space="preserve">Babu, B. S.; Zhu, L.; Daublain, P.; Zhang, L.; Lutterbach, B. A.; Pelletier, M. R.; Philippar, U.; Siliphaivanh, P.; Witter, D.; Kirschmeier, P.; Robert Bishop, W.; Hicklin, D.; Gary Gillil, D.; Jayaraman, L.; Zawel, L.; Fawell, S.; Samatar, A. A. Discovery of a Novel ERK Inhibitor with Activity in Models of Acquired Resistance to BRAF and MEK Inhibitors. </w:t>
      </w:r>
      <w:r w:rsidRPr="006D2BF3">
        <w:rPr>
          <w:rFonts w:ascii="Calibri" w:hAnsi="Calibri" w:cs="Times New Roman"/>
          <w:i/>
          <w:iCs/>
          <w:noProof/>
          <w:szCs w:val="24"/>
        </w:rPr>
        <w:t>Cancer Discov.</w:t>
      </w:r>
      <w:r w:rsidRPr="006D2BF3">
        <w:rPr>
          <w:rFonts w:ascii="Calibri" w:hAnsi="Calibri" w:cs="Times New Roman"/>
          <w:noProof/>
          <w:szCs w:val="24"/>
        </w:rPr>
        <w:t xml:space="preserve"> </w:t>
      </w:r>
      <w:r w:rsidRPr="006D2BF3">
        <w:rPr>
          <w:rFonts w:ascii="Calibri" w:hAnsi="Calibri" w:cs="Times New Roman"/>
          <w:b/>
          <w:bCs/>
          <w:noProof/>
          <w:szCs w:val="24"/>
        </w:rPr>
        <w:t>2013</w:t>
      </w:r>
      <w:r w:rsidRPr="006D2BF3">
        <w:rPr>
          <w:rFonts w:ascii="Calibri" w:hAnsi="Calibri" w:cs="Times New Roman"/>
          <w:noProof/>
          <w:szCs w:val="24"/>
        </w:rPr>
        <w:t xml:space="preserve">, </w:t>
      </w:r>
      <w:r w:rsidRPr="006D2BF3">
        <w:rPr>
          <w:rFonts w:ascii="Calibri" w:hAnsi="Calibri" w:cs="Times New Roman"/>
          <w:i/>
          <w:iCs/>
          <w:noProof/>
          <w:szCs w:val="24"/>
        </w:rPr>
        <w:t>3</w:t>
      </w:r>
      <w:r w:rsidRPr="006D2BF3">
        <w:rPr>
          <w:rFonts w:ascii="Calibri" w:hAnsi="Calibri" w:cs="Times New Roman"/>
          <w:noProof/>
          <w:szCs w:val="24"/>
        </w:rPr>
        <w:t xml:space="preserve"> (7), 742–750.</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(9) </w:t>
      </w:r>
      <w:r w:rsidRPr="006D2BF3">
        <w:rPr>
          <w:rFonts w:ascii="Calibri" w:hAnsi="Calibri" w:cs="Times New Roman"/>
          <w:noProof/>
          <w:szCs w:val="24"/>
        </w:rPr>
        <w:tab/>
        <w:t xml:space="preserve">Hatzivassiliou, G.; Liu, B.; O ’brien, C.; Spoerke, J. M.; Hoeflich, K. P.; Haverty, P. M.; Soriano, R.; Forrest, W. F.; Heldens, S.; Chen, H.; Toy, K.; Ha, C.; Zhou, W.; Song, K.; Friedman, L. S.; Amler, L. C.; Hampton, G. M.; Moffat, J.; Belvin, M.; Lackner, M. R. ERK Inhibition Overcomes Acquired Resistance to MEK Inhibitors. </w:t>
      </w:r>
      <w:r w:rsidRPr="006D2BF3">
        <w:rPr>
          <w:rFonts w:ascii="Calibri" w:hAnsi="Calibri" w:cs="Times New Roman"/>
          <w:i/>
          <w:iCs/>
          <w:noProof/>
          <w:szCs w:val="24"/>
        </w:rPr>
        <w:t>Mol Cancer Ther</w:t>
      </w:r>
      <w:r w:rsidRPr="006D2BF3">
        <w:rPr>
          <w:rFonts w:ascii="Calibri" w:hAnsi="Calibri" w:cs="Times New Roman"/>
          <w:noProof/>
          <w:szCs w:val="24"/>
        </w:rPr>
        <w:t xml:space="preserve"> </w:t>
      </w:r>
      <w:r w:rsidRPr="006D2BF3">
        <w:rPr>
          <w:rFonts w:ascii="Calibri" w:hAnsi="Calibri" w:cs="Times New Roman"/>
          <w:i/>
          <w:iCs/>
          <w:noProof/>
          <w:szCs w:val="24"/>
        </w:rPr>
        <w:t>11</w:t>
      </w:r>
      <w:r w:rsidRPr="006D2BF3">
        <w:rPr>
          <w:rFonts w:ascii="Calibri" w:hAnsi="Calibri" w:cs="Times New Roman"/>
          <w:noProof/>
          <w:szCs w:val="24"/>
        </w:rPr>
        <w:t xml:space="preserve"> (5), 1143–1154.</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(10) </w:t>
      </w:r>
      <w:r w:rsidRPr="006D2BF3">
        <w:rPr>
          <w:rFonts w:ascii="Calibri" w:hAnsi="Calibri" w:cs="Times New Roman"/>
          <w:noProof/>
          <w:szCs w:val="24"/>
        </w:rPr>
        <w:tab/>
        <w:t xml:space="preserve">Flaherty, K. T.; Yasothan, U.; Kirkpatrick, P. Vemurafenib. </w:t>
      </w:r>
      <w:r w:rsidRPr="006D2BF3">
        <w:rPr>
          <w:rFonts w:ascii="Calibri" w:hAnsi="Calibri" w:cs="Times New Roman"/>
          <w:i/>
          <w:iCs/>
          <w:noProof/>
          <w:szCs w:val="24"/>
        </w:rPr>
        <w:t>Nat. Rev. Drug Discov.</w:t>
      </w:r>
      <w:r w:rsidRPr="006D2BF3">
        <w:rPr>
          <w:rFonts w:ascii="Calibri" w:hAnsi="Calibri" w:cs="Times New Roman"/>
          <w:noProof/>
          <w:szCs w:val="24"/>
        </w:rPr>
        <w:t xml:space="preserve"> </w:t>
      </w:r>
      <w:r w:rsidRPr="006D2BF3">
        <w:rPr>
          <w:rFonts w:ascii="Calibri" w:hAnsi="Calibri" w:cs="Times New Roman"/>
          <w:b/>
          <w:bCs/>
          <w:noProof/>
          <w:szCs w:val="24"/>
        </w:rPr>
        <w:t>2011</w:t>
      </w:r>
      <w:r w:rsidRPr="006D2BF3">
        <w:rPr>
          <w:rFonts w:ascii="Calibri" w:hAnsi="Calibri" w:cs="Times New Roman"/>
          <w:noProof/>
          <w:szCs w:val="24"/>
        </w:rPr>
        <w:t xml:space="preserve">, </w:t>
      </w:r>
      <w:r w:rsidRPr="006D2BF3">
        <w:rPr>
          <w:rFonts w:ascii="Calibri" w:hAnsi="Calibri" w:cs="Times New Roman"/>
          <w:i/>
          <w:iCs/>
          <w:noProof/>
          <w:szCs w:val="24"/>
        </w:rPr>
        <w:t>10</w:t>
      </w:r>
      <w:r w:rsidRPr="006D2BF3">
        <w:rPr>
          <w:rFonts w:ascii="Calibri" w:hAnsi="Calibri" w:cs="Times New Roman"/>
          <w:noProof/>
          <w:szCs w:val="24"/>
        </w:rPr>
        <w:t xml:space="preserve"> (11), 811–812.</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(11) </w:t>
      </w:r>
      <w:r w:rsidRPr="006D2BF3">
        <w:rPr>
          <w:rFonts w:ascii="Calibri" w:hAnsi="Calibri" w:cs="Times New Roman"/>
          <w:noProof/>
          <w:szCs w:val="24"/>
        </w:rPr>
        <w:tab/>
        <w:t xml:space="preserve">Jha, S.; Morris, E. J.; Hruza, A.; Mansueto, M. S.; Schroeder, G. K.; Arbanas, J.; McMasters, D.; Restaino, C. R.; Dayananth, P.; Black, S.; Elsen, N. L.; Mannarino, A.; Cooper, A.; Fawell, S.; Zawel, L.; Jayaraman, L.; Samatar, A. A. Dissecting Therapeutic Resistance to ERK Inhibition. </w:t>
      </w:r>
      <w:r w:rsidRPr="006D2BF3">
        <w:rPr>
          <w:rFonts w:ascii="Calibri" w:hAnsi="Calibri" w:cs="Times New Roman"/>
          <w:i/>
          <w:iCs/>
          <w:noProof/>
          <w:szCs w:val="24"/>
        </w:rPr>
        <w:t>Mol. Cancer Ther.</w:t>
      </w:r>
      <w:r w:rsidRPr="006D2BF3">
        <w:rPr>
          <w:rFonts w:ascii="Calibri" w:hAnsi="Calibri" w:cs="Times New Roman"/>
          <w:noProof/>
          <w:szCs w:val="24"/>
        </w:rPr>
        <w:t xml:space="preserve"> </w:t>
      </w:r>
      <w:r w:rsidRPr="006D2BF3">
        <w:rPr>
          <w:rFonts w:ascii="Calibri" w:hAnsi="Calibri" w:cs="Times New Roman"/>
          <w:b/>
          <w:bCs/>
          <w:noProof/>
          <w:szCs w:val="24"/>
        </w:rPr>
        <w:t>2016</w:t>
      </w:r>
      <w:r w:rsidRPr="006D2BF3">
        <w:rPr>
          <w:rFonts w:ascii="Calibri" w:hAnsi="Calibri" w:cs="Times New Roman"/>
          <w:noProof/>
          <w:szCs w:val="24"/>
        </w:rPr>
        <w:t xml:space="preserve">, </w:t>
      </w:r>
      <w:r w:rsidRPr="006D2BF3">
        <w:rPr>
          <w:rFonts w:ascii="Calibri" w:hAnsi="Calibri" w:cs="Times New Roman"/>
          <w:i/>
          <w:iCs/>
          <w:noProof/>
          <w:szCs w:val="24"/>
        </w:rPr>
        <w:t>15</w:t>
      </w:r>
      <w:r w:rsidRPr="006D2BF3">
        <w:rPr>
          <w:rFonts w:ascii="Calibri" w:hAnsi="Calibri" w:cs="Times New Roman"/>
          <w:noProof/>
          <w:szCs w:val="24"/>
        </w:rPr>
        <w:t xml:space="preserve"> (4), 548–559.</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(12) </w:t>
      </w:r>
      <w:r w:rsidRPr="006D2BF3">
        <w:rPr>
          <w:rFonts w:ascii="Calibri" w:hAnsi="Calibri" w:cs="Times New Roman"/>
          <w:noProof/>
          <w:szCs w:val="24"/>
        </w:rPr>
        <w:tab/>
        <w:t xml:space="preserve">Buscà, R.; Pouysségur, J.; Lenormand, P. ERK1 and ERK2 Map Kinases: Specific Roles or Functional Redundancy? </w:t>
      </w:r>
      <w:r w:rsidRPr="006D2BF3">
        <w:rPr>
          <w:rFonts w:ascii="Calibri" w:hAnsi="Calibri" w:cs="Times New Roman"/>
          <w:i/>
          <w:iCs/>
          <w:noProof/>
          <w:szCs w:val="24"/>
        </w:rPr>
        <w:t>Front. Cell Dev. Biol.</w:t>
      </w:r>
      <w:r w:rsidRPr="006D2BF3">
        <w:rPr>
          <w:rFonts w:ascii="Calibri" w:hAnsi="Calibri" w:cs="Times New Roman"/>
          <w:noProof/>
          <w:szCs w:val="24"/>
        </w:rPr>
        <w:t xml:space="preserve"> </w:t>
      </w:r>
      <w:r w:rsidRPr="006D2BF3">
        <w:rPr>
          <w:rFonts w:ascii="Calibri" w:hAnsi="Calibri" w:cs="Times New Roman"/>
          <w:b/>
          <w:bCs/>
          <w:noProof/>
          <w:szCs w:val="24"/>
        </w:rPr>
        <w:t>2016</w:t>
      </w:r>
      <w:r w:rsidRPr="006D2BF3">
        <w:rPr>
          <w:rFonts w:ascii="Calibri" w:hAnsi="Calibri" w:cs="Times New Roman"/>
          <w:noProof/>
          <w:szCs w:val="24"/>
        </w:rPr>
        <w:t xml:space="preserve">, </w:t>
      </w:r>
      <w:r w:rsidRPr="006D2BF3">
        <w:rPr>
          <w:rFonts w:ascii="Calibri" w:hAnsi="Calibri" w:cs="Times New Roman"/>
          <w:i/>
          <w:iCs/>
          <w:noProof/>
          <w:szCs w:val="24"/>
        </w:rPr>
        <w:t>4</w:t>
      </w:r>
      <w:r w:rsidRPr="006D2BF3">
        <w:rPr>
          <w:rFonts w:ascii="Calibri" w:hAnsi="Calibri" w:cs="Times New Roman"/>
          <w:noProof/>
          <w:szCs w:val="24"/>
        </w:rPr>
        <w:t xml:space="preserve"> (June), 53.</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(13) </w:t>
      </w:r>
      <w:r w:rsidRPr="006D2BF3">
        <w:rPr>
          <w:rFonts w:ascii="Calibri" w:hAnsi="Calibri" w:cs="Times New Roman"/>
          <w:noProof/>
          <w:szCs w:val="24"/>
        </w:rPr>
        <w:tab/>
        <w:t xml:space="preserve">Kumar, A.; Butler, B. M.; Kumar, S.; Ozkan, S. B. Integration of Structural Dynamics and Molecular Evolution via Protein Interaction Networks: A New Era in Genomic Medicine. </w:t>
      </w:r>
      <w:r w:rsidRPr="006D2BF3">
        <w:rPr>
          <w:rFonts w:ascii="Calibri" w:hAnsi="Calibri" w:cs="Times New Roman"/>
          <w:i/>
          <w:iCs/>
          <w:noProof/>
          <w:szCs w:val="24"/>
        </w:rPr>
        <w:t>Curr. Opin. Struct. Biol.</w:t>
      </w:r>
      <w:r w:rsidRPr="006D2BF3">
        <w:rPr>
          <w:rFonts w:ascii="Calibri" w:hAnsi="Calibri" w:cs="Times New Roman"/>
          <w:noProof/>
          <w:szCs w:val="24"/>
        </w:rPr>
        <w:t xml:space="preserve"> </w:t>
      </w:r>
      <w:r w:rsidRPr="006D2BF3">
        <w:rPr>
          <w:rFonts w:ascii="Calibri" w:hAnsi="Calibri" w:cs="Times New Roman"/>
          <w:b/>
          <w:bCs/>
          <w:noProof/>
          <w:szCs w:val="24"/>
        </w:rPr>
        <w:t>2015</w:t>
      </w:r>
      <w:r w:rsidRPr="006D2BF3">
        <w:rPr>
          <w:rFonts w:ascii="Calibri" w:hAnsi="Calibri" w:cs="Times New Roman"/>
          <w:noProof/>
          <w:szCs w:val="24"/>
        </w:rPr>
        <w:t xml:space="preserve">, </w:t>
      </w:r>
      <w:r w:rsidRPr="006D2BF3">
        <w:rPr>
          <w:rFonts w:ascii="Calibri" w:hAnsi="Calibri" w:cs="Times New Roman"/>
          <w:i/>
          <w:iCs/>
          <w:noProof/>
          <w:szCs w:val="24"/>
        </w:rPr>
        <w:t>35</w:t>
      </w:r>
      <w:r w:rsidRPr="006D2BF3">
        <w:rPr>
          <w:rFonts w:ascii="Calibri" w:hAnsi="Calibri" w:cs="Times New Roman"/>
          <w:noProof/>
          <w:szCs w:val="24"/>
        </w:rPr>
        <w:t>, 135–142.</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(14) </w:t>
      </w:r>
      <w:r w:rsidRPr="006D2BF3">
        <w:rPr>
          <w:rFonts w:ascii="Calibri" w:hAnsi="Calibri" w:cs="Times New Roman"/>
          <w:noProof/>
          <w:szCs w:val="24"/>
        </w:rPr>
        <w:tab/>
        <w:t xml:space="preserve">Jackson, C. J.; Foo, J.-L.; Tokuriki, N.; Afriat, L.; Carr, P. D.; Kim, H.-K.; Schenk, G.; Tawfik, D. S.; Ollis, D. L. Conformational Sampling, Catalysis, and Evolution of the Bacterial Phosphotriesterase. </w:t>
      </w:r>
      <w:r w:rsidRPr="006D2BF3">
        <w:rPr>
          <w:rFonts w:ascii="Calibri" w:hAnsi="Calibri" w:cs="Times New Roman"/>
          <w:i/>
          <w:iCs/>
          <w:noProof/>
          <w:szCs w:val="24"/>
        </w:rPr>
        <w:lastRenderedPageBreak/>
        <w:t>Proc. Natl. Acad. Sci.</w:t>
      </w:r>
      <w:r w:rsidRPr="006D2BF3">
        <w:rPr>
          <w:rFonts w:ascii="Calibri" w:hAnsi="Calibri" w:cs="Times New Roman"/>
          <w:noProof/>
          <w:szCs w:val="24"/>
        </w:rPr>
        <w:t xml:space="preserve"> </w:t>
      </w:r>
      <w:r w:rsidRPr="006D2BF3">
        <w:rPr>
          <w:rFonts w:ascii="Calibri" w:hAnsi="Calibri" w:cs="Times New Roman"/>
          <w:b/>
          <w:bCs/>
          <w:noProof/>
          <w:szCs w:val="24"/>
        </w:rPr>
        <w:t>2009</w:t>
      </w:r>
      <w:r w:rsidRPr="006D2BF3">
        <w:rPr>
          <w:rFonts w:ascii="Calibri" w:hAnsi="Calibri" w:cs="Times New Roman"/>
          <w:noProof/>
          <w:szCs w:val="24"/>
        </w:rPr>
        <w:t xml:space="preserve">, </w:t>
      </w:r>
      <w:r w:rsidRPr="006D2BF3">
        <w:rPr>
          <w:rFonts w:ascii="Calibri" w:hAnsi="Calibri" w:cs="Times New Roman"/>
          <w:i/>
          <w:iCs/>
          <w:noProof/>
          <w:szCs w:val="24"/>
        </w:rPr>
        <w:t>106</w:t>
      </w:r>
      <w:r w:rsidRPr="006D2BF3">
        <w:rPr>
          <w:rFonts w:ascii="Calibri" w:hAnsi="Calibri" w:cs="Times New Roman"/>
          <w:noProof/>
          <w:szCs w:val="24"/>
        </w:rPr>
        <w:t xml:space="preserve"> (51), 21631–21636.</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(15) </w:t>
      </w:r>
      <w:r w:rsidRPr="006D2BF3">
        <w:rPr>
          <w:rFonts w:ascii="Calibri" w:hAnsi="Calibri" w:cs="Times New Roman"/>
          <w:noProof/>
          <w:szCs w:val="24"/>
        </w:rPr>
        <w:tab/>
        <w:t xml:space="preserve">Barouch-Bentov, R.; Sauer, K. Mechanisms of Drug Resistance in Kinases. </w:t>
      </w:r>
      <w:r w:rsidRPr="006D2BF3">
        <w:rPr>
          <w:rFonts w:ascii="Calibri" w:hAnsi="Calibri" w:cs="Times New Roman"/>
          <w:i/>
          <w:iCs/>
          <w:noProof/>
          <w:szCs w:val="24"/>
        </w:rPr>
        <w:t>Expert Opin. Investig. Drugs</w:t>
      </w:r>
      <w:r w:rsidRPr="006D2BF3">
        <w:rPr>
          <w:rFonts w:ascii="Calibri" w:hAnsi="Calibri" w:cs="Times New Roman"/>
          <w:noProof/>
          <w:szCs w:val="24"/>
        </w:rPr>
        <w:t xml:space="preserve"> </w:t>
      </w:r>
      <w:r w:rsidRPr="006D2BF3">
        <w:rPr>
          <w:rFonts w:ascii="Calibri" w:hAnsi="Calibri" w:cs="Times New Roman"/>
          <w:b/>
          <w:bCs/>
          <w:noProof/>
          <w:szCs w:val="24"/>
        </w:rPr>
        <w:t>2011</w:t>
      </w:r>
      <w:r w:rsidRPr="006D2BF3">
        <w:rPr>
          <w:rFonts w:ascii="Calibri" w:hAnsi="Calibri" w:cs="Times New Roman"/>
          <w:noProof/>
          <w:szCs w:val="24"/>
        </w:rPr>
        <w:t xml:space="preserve">, </w:t>
      </w:r>
      <w:r w:rsidRPr="006D2BF3">
        <w:rPr>
          <w:rFonts w:ascii="Calibri" w:hAnsi="Calibri" w:cs="Times New Roman"/>
          <w:i/>
          <w:iCs/>
          <w:noProof/>
          <w:szCs w:val="24"/>
        </w:rPr>
        <w:t>20</w:t>
      </w:r>
      <w:r w:rsidRPr="006D2BF3">
        <w:rPr>
          <w:rFonts w:ascii="Calibri" w:hAnsi="Calibri" w:cs="Times New Roman"/>
          <w:noProof/>
          <w:szCs w:val="24"/>
        </w:rPr>
        <w:t xml:space="preserve"> (2), 153–208.</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(16) </w:t>
      </w:r>
      <w:r w:rsidRPr="006D2BF3">
        <w:rPr>
          <w:rFonts w:ascii="Calibri" w:hAnsi="Calibri" w:cs="Times New Roman"/>
          <w:noProof/>
          <w:szCs w:val="24"/>
        </w:rPr>
        <w:tab/>
        <w:t xml:space="preserve">Ash, J.; Fourches, D. Characterizing the Chemical Space of ERK2 Kinase Characterizing the Chemical Space of ERK2 Kinase Inhibitors Using Descriptors Computed from Molecular Dynamics Trajectories. </w:t>
      </w:r>
      <w:r w:rsidRPr="006D2BF3">
        <w:rPr>
          <w:rFonts w:ascii="Calibri" w:hAnsi="Calibri" w:cs="Times New Roman"/>
          <w:i/>
          <w:iCs/>
          <w:noProof/>
          <w:szCs w:val="24"/>
        </w:rPr>
        <w:t>J. Chem. Inf. Model.</w:t>
      </w:r>
      <w:r w:rsidRPr="006D2BF3">
        <w:rPr>
          <w:rFonts w:ascii="Calibri" w:hAnsi="Calibri" w:cs="Times New Roman"/>
          <w:noProof/>
          <w:szCs w:val="24"/>
        </w:rPr>
        <w:t xml:space="preserve"> </w:t>
      </w:r>
      <w:r w:rsidRPr="006D2BF3">
        <w:rPr>
          <w:rFonts w:ascii="Calibri" w:hAnsi="Calibri" w:cs="Times New Roman"/>
          <w:b/>
          <w:bCs/>
          <w:noProof/>
          <w:szCs w:val="24"/>
        </w:rPr>
        <w:t>2017</w:t>
      </w:r>
      <w:r w:rsidRPr="006D2BF3">
        <w:rPr>
          <w:rFonts w:ascii="Calibri" w:hAnsi="Calibri" w:cs="Times New Roman"/>
          <w:noProof/>
          <w:szCs w:val="24"/>
        </w:rPr>
        <w:t>.</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(17) </w:t>
      </w:r>
      <w:r w:rsidRPr="006D2BF3">
        <w:rPr>
          <w:rFonts w:ascii="Calibri" w:hAnsi="Calibri" w:cs="Times New Roman"/>
          <w:noProof/>
          <w:szCs w:val="24"/>
        </w:rPr>
        <w:tab/>
        <w:t xml:space="preserve">Berthold, M. R.; Cebron, N.; Dill, F.; Gabriel, T. R.; Kötter, T.; Meinl, T.; Ohl, P.; Sieb, C.; Thiel, K.; Wiswedel, B. KNIME: The Konstanz Information Miner. In </w:t>
      </w:r>
      <w:r w:rsidRPr="006D2BF3">
        <w:rPr>
          <w:rFonts w:ascii="Calibri" w:hAnsi="Calibri" w:cs="Times New Roman"/>
          <w:i/>
          <w:iCs/>
          <w:noProof/>
          <w:szCs w:val="24"/>
        </w:rPr>
        <w:t>Studies in Classification, Data Analysis, and Knowledge Organization (GfKL 2007)</w:t>
      </w:r>
      <w:r w:rsidRPr="006D2BF3">
        <w:rPr>
          <w:rFonts w:ascii="Calibri" w:hAnsi="Calibri" w:cs="Times New Roman"/>
          <w:noProof/>
          <w:szCs w:val="24"/>
        </w:rPr>
        <w:t>; Springer, 2008; pp 319–326.</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(18) </w:t>
      </w:r>
      <w:r w:rsidRPr="006D2BF3">
        <w:rPr>
          <w:rFonts w:ascii="Calibri" w:hAnsi="Calibri" w:cs="Times New Roman"/>
          <w:noProof/>
          <w:szCs w:val="24"/>
        </w:rPr>
        <w:tab/>
        <w:t xml:space="preserve">Fourches, D.; Muratov, E.; Tropsha, A. Trust, but Verify: On the Importance of Chemical Structure Curation in Cheminformatics and QSAR Modeling Research. </w:t>
      </w:r>
      <w:r w:rsidRPr="006D2BF3">
        <w:rPr>
          <w:rFonts w:ascii="Calibri" w:hAnsi="Calibri" w:cs="Times New Roman"/>
          <w:i/>
          <w:iCs/>
          <w:noProof/>
          <w:szCs w:val="24"/>
        </w:rPr>
        <w:t>J. Chem. Inf. Model.</w:t>
      </w:r>
      <w:r w:rsidRPr="006D2BF3">
        <w:rPr>
          <w:rFonts w:ascii="Calibri" w:hAnsi="Calibri" w:cs="Times New Roman"/>
          <w:noProof/>
          <w:szCs w:val="24"/>
        </w:rPr>
        <w:t xml:space="preserve"> </w:t>
      </w:r>
      <w:r w:rsidRPr="006D2BF3">
        <w:rPr>
          <w:rFonts w:ascii="Calibri" w:hAnsi="Calibri" w:cs="Times New Roman"/>
          <w:b/>
          <w:bCs/>
          <w:noProof/>
          <w:szCs w:val="24"/>
        </w:rPr>
        <w:t>2010</w:t>
      </w:r>
      <w:r w:rsidRPr="006D2BF3">
        <w:rPr>
          <w:rFonts w:ascii="Calibri" w:hAnsi="Calibri" w:cs="Times New Roman"/>
          <w:noProof/>
          <w:szCs w:val="24"/>
        </w:rPr>
        <w:t xml:space="preserve">, </w:t>
      </w:r>
      <w:r w:rsidRPr="006D2BF3">
        <w:rPr>
          <w:rFonts w:ascii="Calibri" w:hAnsi="Calibri" w:cs="Times New Roman"/>
          <w:i/>
          <w:iCs/>
          <w:noProof/>
          <w:szCs w:val="24"/>
        </w:rPr>
        <w:t>50</w:t>
      </w:r>
      <w:r w:rsidRPr="006D2BF3">
        <w:rPr>
          <w:rFonts w:ascii="Calibri" w:hAnsi="Calibri" w:cs="Times New Roman"/>
          <w:noProof/>
          <w:szCs w:val="24"/>
        </w:rPr>
        <w:t xml:space="preserve"> (7), 1189–1204.</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(19) </w:t>
      </w:r>
      <w:r w:rsidRPr="006D2BF3">
        <w:rPr>
          <w:rFonts w:ascii="Calibri" w:hAnsi="Calibri" w:cs="Times New Roman"/>
          <w:noProof/>
          <w:szCs w:val="24"/>
        </w:rPr>
        <w:tab/>
        <w:t xml:space="preserve">Fourches, D.; Muratov, E.; Tropsha, A. Trust, but Verify II: A Practical Guide to Chemogenomics Data Curation. </w:t>
      </w:r>
      <w:r w:rsidRPr="006D2BF3">
        <w:rPr>
          <w:rFonts w:ascii="Calibri" w:hAnsi="Calibri" w:cs="Times New Roman"/>
          <w:i/>
          <w:iCs/>
          <w:noProof/>
          <w:szCs w:val="24"/>
        </w:rPr>
        <w:t>J. Chem. Inf. Model.</w:t>
      </w:r>
      <w:r w:rsidRPr="006D2BF3">
        <w:rPr>
          <w:rFonts w:ascii="Calibri" w:hAnsi="Calibri" w:cs="Times New Roman"/>
          <w:noProof/>
          <w:szCs w:val="24"/>
        </w:rPr>
        <w:t xml:space="preserve"> </w:t>
      </w:r>
      <w:r w:rsidRPr="006D2BF3">
        <w:rPr>
          <w:rFonts w:ascii="Calibri" w:hAnsi="Calibri" w:cs="Times New Roman"/>
          <w:b/>
          <w:bCs/>
          <w:noProof/>
          <w:szCs w:val="24"/>
        </w:rPr>
        <w:t>2016</w:t>
      </w:r>
      <w:r w:rsidRPr="006D2BF3">
        <w:rPr>
          <w:rFonts w:ascii="Calibri" w:hAnsi="Calibri" w:cs="Times New Roman"/>
          <w:noProof/>
          <w:szCs w:val="24"/>
        </w:rPr>
        <w:t xml:space="preserve">, </w:t>
      </w:r>
      <w:r w:rsidRPr="006D2BF3">
        <w:rPr>
          <w:rFonts w:ascii="Calibri" w:hAnsi="Calibri" w:cs="Times New Roman"/>
          <w:i/>
          <w:iCs/>
          <w:noProof/>
          <w:szCs w:val="24"/>
        </w:rPr>
        <w:t>56</w:t>
      </w:r>
      <w:r w:rsidRPr="006D2BF3">
        <w:rPr>
          <w:rFonts w:ascii="Calibri" w:hAnsi="Calibri" w:cs="Times New Roman"/>
          <w:noProof/>
          <w:szCs w:val="24"/>
        </w:rPr>
        <w:t xml:space="preserve"> (7), 1243–1252.</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(20) </w:t>
      </w:r>
      <w:r w:rsidRPr="006D2BF3">
        <w:rPr>
          <w:rFonts w:ascii="Calibri" w:hAnsi="Calibri" w:cs="Times New Roman"/>
          <w:noProof/>
          <w:szCs w:val="24"/>
        </w:rPr>
        <w:tab/>
        <w:t xml:space="preserve">Cao, Y.; Charisi, A.; Cheng, L.-C.; Jiang, T.; Girke, T. ChemmineR: A Compound Mining Framework for R. </w:t>
      </w:r>
      <w:r w:rsidRPr="006D2BF3">
        <w:rPr>
          <w:rFonts w:ascii="Calibri" w:hAnsi="Calibri" w:cs="Times New Roman"/>
          <w:i/>
          <w:iCs/>
          <w:noProof/>
          <w:szCs w:val="24"/>
        </w:rPr>
        <w:t>Bioinformatics</w:t>
      </w:r>
      <w:r w:rsidRPr="006D2BF3">
        <w:rPr>
          <w:rFonts w:ascii="Calibri" w:hAnsi="Calibri" w:cs="Times New Roman"/>
          <w:noProof/>
          <w:szCs w:val="24"/>
        </w:rPr>
        <w:t xml:space="preserve"> </w:t>
      </w:r>
      <w:r w:rsidRPr="006D2BF3">
        <w:rPr>
          <w:rFonts w:ascii="Calibri" w:hAnsi="Calibri" w:cs="Times New Roman"/>
          <w:b/>
          <w:bCs/>
          <w:noProof/>
          <w:szCs w:val="24"/>
        </w:rPr>
        <w:t>2008</w:t>
      </w:r>
      <w:r w:rsidRPr="006D2BF3">
        <w:rPr>
          <w:rFonts w:ascii="Calibri" w:hAnsi="Calibri" w:cs="Times New Roman"/>
          <w:noProof/>
          <w:szCs w:val="24"/>
        </w:rPr>
        <w:t xml:space="preserve">, </w:t>
      </w:r>
      <w:r w:rsidRPr="006D2BF3">
        <w:rPr>
          <w:rFonts w:ascii="Calibri" w:hAnsi="Calibri" w:cs="Times New Roman"/>
          <w:i/>
          <w:iCs/>
          <w:noProof/>
          <w:szCs w:val="24"/>
        </w:rPr>
        <w:t>24</w:t>
      </w:r>
      <w:r w:rsidRPr="006D2BF3">
        <w:rPr>
          <w:rFonts w:ascii="Calibri" w:hAnsi="Calibri" w:cs="Times New Roman"/>
          <w:noProof/>
          <w:szCs w:val="24"/>
        </w:rPr>
        <w:t xml:space="preserve"> (15), 1733–1734.</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(21) </w:t>
      </w:r>
      <w:r w:rsidRPr="006D2BF3">
        <w:rPr>
          <w:rFonts w:ascii="Calibri" w:hAnsi="Calibri" w:cs="Times New Roman"/>
          <w:noProof/>
          <w:szCs w:val="24"/>
        </w:rPr>
        <w:tab/>
        <w:t xml:space="preserve">Awadallah, F. M.; Abou-Seri, S. M.; Abdulla, M. M.; Georgey, H. H. Design and Synthesis of Potent 1,2,4-Trisubstituted Imidazolinone Derivatives with Dual P38αMAPK and ERK1/2 Inhibitory Activity. </w:t>
      </w:r>
      <w:r w:rsidRPr="006D2BF3">
        <w:rPr>
          <w:rFonts w:ascii="Calibri" w:hAnsi="Calibri" w:cs="Times New Roman"/>
          <w:i/>
          <w:iCs/>
          <w:noProof/>
          <w:szCs w:val="24"/>
        </w:rPr>
        <w:t>Eur. J. Med. Chem.</w:t>
      </w:r>
      <w:r w:rsidRPr="006D2BF3">
        <w:rPr>
          <w:rFonts w:ascii="Calibri" w:hAnsi="Calibri" w:cs="Times New Roman"/>
          <w:noProof/>
          <w:szCs w:val="24"/>
        </w:rPr>
        <w:t xml:space="preserve"> </w:t>
      </w:r>
      <w:r w:rsidRPr="006D2BF3">
        <w:rPr>
          <w:rFonts w:ascii="Calibri" w:hAnsi="Calibri" w:cs="Times New Roman"/>
          <w:b/>
          <w:bCs/>
          <w:noProof/>
          <w:szCs w:val="24"/>
        </w:rPr>
        <w:t>2015</w:t>
      </w:r>
      <w:r w:rsidRPr="006D2BF3">
        <w:rPr>
          <w:rFonts w:ascii="Calibri" w:hAnsi="Calibri" w:cs="Times New Roman"/>
          <w:noProof/>
          <w:szCs w:val="24"/>
        </w:rPr>
        <w:t xml:space="preserve">, </w:t>
      </w:r>
      <w:r w:rsidRPr="006D2BF3">
        <w:rPr>
          <w:rFonts w:ascii="Calibri" w:hAnsi="Calibri" w:cs="Times New Roman"/>
          <w:i/>
          <w:iCs/>
          <w:noProof/>
          <w:szCs w:val="24"/>
        </w:rPr>
        <w:t>94</w:t>
      </w:r>
      <w:r w:rsidRPr="006D2BF3">
        <w:rPr>
          <w:rFonts w:ascii="Calibri" w:hAnsi="Calibri" w:cs="Times New Roman"/>
          <w:noProof/>
          <w:szCs w:val="24"/>
        </w:rPr>
        <w:t>, 397–404.</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(22) </w:t>
      </w:r>
      <w:r w:rsidRPr="006D2BF3">
        <w:rPr>
          <w:rFonts w:ascii="Calibri" w:hAnsi="Calibri" w:cs="Times New Roman"/>
          <w:noProof/>
          <w:szCs w:val="24"/>
        </w:rPr>
        <w:tab/>
        <w:t>Small-Molecule Drug Discovery Suite 2016-4, Schrödinger, LLC, New York, NY, 2016.</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(23) </w:t>
      </w:r>
      <w:r w:rsidRPr="006D2BF3">
        <w:rPr>
          <w:rFonts w:ascii="Calibri" w:hAnsi="Calibri" w:cs="Times New Roman"/>
          <w:noProof/>
          <w:szCs w:val="24"/>
        </w:rPr>
        <w:tab/>
        <w:t xml:space="preserve">Chaikuad, A.; C Tacconi, E. M.; Zimmer, J.; Liang, Y.; Gray, N. S.; Tarsounas, M.; Knapp, S. A </w:t>
      </w:r>
      <w:r w:rsidRPr="006D2BF3">
        <w:rPr>
          <w:rFonts w:ascii="Calibri" w:hAnsi="Calibri" w:cs="Times New Roman"/>
          <w:noProof/>
          <w:szCs w:val="24"/>
        </w:rPr>
        <w:lastRenderedPageBreak/>
        <w:t xml:space="preserve">Unique Inhibitor Binding Site in ERK1/2 Is Associated with Slow Binding Kinetics. </w:t>
      </w:r>
      <w:r w:rsidRPr="006D2BF3">
        <w:rPr>
          <w:rFonts w:ascii="Calibri" w:hAnsi="Calibri" w:cs="Times New Roman"/>
          <w:b/>
          <w:bCs/>
          <w:noProof/>
          <w:szCs w:val="24"/>
        </w:rPr>
        <w:t>2014</w:t>
      </w:r>
      <w:r w:rsidRPr="006D2BF3">
        <w:rPr>
          <w:rFonts w:ascii="Calibri" w:hAnsi="Calibri" w:cs="Times New Roman"/>
          <w:noProof/>
          <w:szCs w:val="24"/>
        </w:rPr>
        <w:t>.</w:t>
      </w:r>
    </w:p>
    <w:p w:rsidR="006D2BF3" w:rsidRPr="006D2BF3" w:rsidRDefault="006D2BF3" w:rsidP="006D2BF3">
      <w:pPr>
        <w:widowControl w:val="0"/>
        <w:autoSpaceDE w:val="0"/>
        <w:autoSpaceDN w:val="0"/>
        <w:adjustRightInd w:val="0"/>
        <w:spacing w:line="480" w:lineRule="auto"/>
        <w:ind w:left="640" w:hanging="640"/>
        <w:rPr>
          <w:rFonts w:ascii="Calibri" w:hAnsi="Calibri" w:cs="Times New Roman"/>
          <w:noProof/>
          <w:szCs w:val="24"/>
        </w:rPr>
      </w:pPr>
      <w:r w:rsidRPr="006D2BF3">
        <w:rPr>
          <w:rFonts w:ascii="Calibri" w:hAnsi="Calibri" w:cs="Times New Roman"/>
          <w:noProof/>
          <w:szCs w:val="24"/>
        </w:rPr>
        <w:t xml:space="preserve">(24) </w:t>
      </w:r>
      <w:r w:rsidRPr="006D2BF3">
        <w:rPr>
          <w:rFonts w:ascii="Calibri" w:hAnsi="Calibri" w:cs="Times New Roman"/>
          <w:noProof/>
          <w:szCs w:val="24"/>
        </w:rPr>
        <w:tab/>
        <w:t>Schrödinger Release 2018-1: Schrödinger Suite 2018-1 Induced Fit Docking Protocol; Glide, Schrödinger, LLC, New York, NY, 2018; Prime, Schrödinger, LLC, New York, NY, 2018.</w:t>
      </w:r>
    </w:p>
    <w:p w:rsidR="006D2BF3" w:rsidRPr="006D2BF3" w:rsidRDefault="006D2BF3" w:rsidP="006D2BF3">
      <w:pPr>
        <w:widowControl w:val="0"/>
        <w:autoSpaceDE w:val="0"/>
        <w:autoSpaceDN w:val="0"/>
        <w:adjustRightInd w:val="0"/>
        <w:spacing w:line="480" w:lineRule="auto"/>
        <w:ind w:left="640" w:hanging="640"/>
        <w:rPr>
          <w:rFonts w:ascii="Calibri" w:hAnsi="Calibri"/>
          <w:noProof/>
        </w:rPr>
      </w:pPr>
      <w:r w:rsidRPr="006D2BF3">
        <w:rPr>
          <w:rFonts w:ascii="Calibri" w:hAnsi="Calibri" w:cs="Times New Roman"/>
          <w:noProof/>
          <w:szCs w:val="24"/>
        </w:rPr>
        <w:t xml:space="preserve">(25) </w:t>
      </w:r>
      <w:r w:rsidRPr="006D2BF3">
        <w:rPr>
          <w:rFonts w:ascii="Calibri" w:hAnsi="Calibri" w:cs="Times New Roman"/>
          <w:noProof/>
          <w:szCs w:val="24"/>
        </w:rPr>
        <w:tab/>
        <w:t xml:space="preserve">Ring, A. Y.; Sours, K. M.; Lee, T.; Ahn, N. G. Distinct Patterns of Activation-Dependent Changes in Conformational Mobility between ERK1 and ERK2. </w:t>
      </w:r>
      <w:r w:rsidRPr="006D2BF3">
        <w:rPr>
          <w:rFonts w:ascii="Calibri" w:hAnsi="Calibri" w:cs="Times New Roman"/>
          <w:i/>
          <w:iCs/>
          <w:noProof/>
          <w:szCs w:val="24"/>
        </w:rPr>
        <w:t>Int. J. Mass Spectrom.</w:t>
      </w:r>
      <w:r w:rsidRPr="006D2BF3">
        <w:rPr>
          <w:rFonts w:ascii="Calibri" w:hAnsi="Calibri" w:cs="Times New Roman"/>
          <w:noProof/>
          <w:szCs w:val="24"/>
        </w:rPr>
        <w:t xml:space="preserve"> </w:t>
      </w:r>
      <w:r w:rsidRPr="006D2BF3">
        <w:rPr>
          <w:rFonts w:ascii="Calibri" w:hAnsi="Calibri" w:cs="Times New Roman"/>
          <w:b/>
          <w:bCs/>
          <w:noProof/>
          <w:szCs w:val="24"/>
        </w:rPr>
        <w:t>2011</w:t>
      </w:r>
      <w:r w:rsidRPr="006D2BF3">
        <w:rPr>
          <w:rFonts w:ascii="Calibri" w:hAnsi="Calibri" w:cs="Times New Roman"/>
          <w:noProof/>
          <w:szCs w:val="24"/>
        </w:rPr>
        <w:t xml:space="preserve">, </w:t>
      </w:r>
      <w:r w:rsidRPr="006D2BF3">
        <w:rPr>
          <w:rFonts w:ascii="Calibri" w:hAnsi="Calibri" w:cs="Times New Roman"/>
          <w:i/>
          <w:iCs/>
          <w:noProof/>
          <w:szCs w:val="24"/>
        </w:rPr>
        <w:t>302</w:t>
      </w:r>
      <w:r w:rsidRPr="006D2BF3">
        <w:rPr>
          <w:rFonts w:ascii="Calibri" w:hAnsi="Calibri" w:cs="Times New Roman"/>
          <w:noProof/>
          <w:szCs w:val="24"/>
        </w:rPr>
        <w:t xml:space="preserve"> (1–3), 101–109.</w:t>
      </w:r>
    </w:p>
    <w:p w:rsidR="00736A24" w:rsidRDefault="00736A24" w:rsidP="00511B1C">
      <w:pPr>
        <w:spacing w:line="480" w:lineRule="auto"/>
      </w:pPr>
      <w:r>
        <w:fldChar w:fldCharType="end"/>
      </w:r>
    </w:p>
    <w:sectPr w:rsidR="0073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20983"/>
    <w:multiLevelType w:val="hybridMultilevel"/>
    <w:tmpl w:val="2564D44C"/>
    <w:lvl w:ilvl="0" w:tplc="0C68631A">
      <w:start w:val="1"/>
      <w:numFmt w:val="bullet"/>
      <w:lvlText w:val="•"/>
      <w:lvlJc w:val="left"/>
      <w:pPr>
        <w:tabs>
          <w:tab w:val="num" w:pos="720"/>
        </w:tabs>
        <w:ind w:left="720" w:hanging="360"/>
      </w:pPr>
      <w:rPr>
        <w:rFonts w:ascii="Arial" w:hAnsi="Arial" w:hint="default"/>
      </w:rPr>
    </w:lvl>
    <w:lvl w:ilvl="1" w:tplc="61686C2C" w:tentative="1">
      <w:start w:val="1"/>
      <w:numFmt w:val="bullet"/>
      <w:lvlText w:val="•"/>
      <w:lvlJc w:val="left"/>
      <w:pPr>
        <w:tabs>
          <w:tab w:val="num" w:pos="1440"/>
        </w:tabs>
        <w:ind w:left="1440" w:hanging="360"/>
      </w:pPr>
      <w:rPr>
        <w:rFonts w:ascii="Arial" w:hAnsi="Arial" w:hint="default"/>
      </w:rPr>
    </w:lvl>
    <w:lvl w:ilvl="2" w:tplc="6E646FEC" w:tentative="1">
      <w:start w:val="1"/>
      <w:numFmt w:val="bullet"/>
      <w:lvlText w:val="•"/>
      <w:lvlJc w:val="left"/>
      <w:pPr>
        <w:tabs>
          <w:tab w:val="num" w:pos="2160"/>
        </w:tabs>
        <w:ind w:left="2160" w:hanging="360"/>
      </w:pPr>
      <w:rPr>
        <w:rFonts w:ascii="Arial" w:hAnsi="Arial" w:hint="default"/>
      </w:rPr>
    </w:lvl>
    <w:lvl w:ilvl="3" w:tplc="262E1734" w:tentative="1">
      <w:start w:val="1"/>
      <w:numFmt w:val="bullet"/>
      <w:lvlText w:val="•"/>
      <w:lvlJc w:val="left"/>
      <w:pPr>
        <w:tabs>
          <w:tab w:val="num" w:pos="2880"/>
        </w:tabs>
        <w:ind w:left="2880" w:hanging="360"/>
      </w:pPr>
      <w:rPr>
        <w:rFonts w:ascii="Arial" w:hAnsi="Arial" w:hint="default"/>
      </w:rPr>
    </w:lvl>
    <w:lvl w:ilvl="4" w:tplc="9B3834A6" w:tentative="1">
      <w:start w:val="1"/>
      <w:numFmt w:val="bullet"/>
      <w:lvlText w:val="•"/>
      <w:lvlJc w:val="left"/>
      <w:pPr>
        <w:tabs>
          <w:tab w:val="num" w:pos="3600"/>
        </w:tabs>
        <w:ind w:left="3600" w:hanging="360"/>
      </w:pPr>
      <w:rPr>
        <w:rFonts w:ascii="Arial" w:hAnsi="Arial" w:hint="default"/>
      </w:rPr>
    </w:lvl>
    <w:lvl w:ilvl="5" w:tplc="39024CD2" w:tentative="1">
      <w:start w:val="1"/>
      <w:numFmt w:val="bullet"/>
      <w:lvlText w:val="•"/>
      <w:lvlJc w:val="left"/>
      <w:pPr>
        <w:tabs>
          <w:tab w:val="num" w:pos="4320"/>
        </w:tabs>
        <w:ind w:left="4320" w:hanging="360"/>
      </w:pPr>
      <w:rPr>
        <w:rFonts w:ascii="Arial" w:hAnsi="Arial" w:hint="default"/>
      </w:rPr>
    </w:lvl>
    <w:lvl w:ilvl="6" w:tplc="8CC2542C" w:tentative="1">
      <w:start w:val="1"/>
      <w:numFmt w:val="bullet"/>
      <w:lvlText w:val="•"/>
      <w:lvlJc w:val="left"/>
      <w:pPr>
        <w:tabs>
          <w:tab w:val="num" w:pos="5040"/>
        </w:tabs>
        <w:ind w:left="5040" w:hanging="360"/>
      </w:pPr>
      <w:rPr>
        <w:rFonts w:ascii="Arial" w:hAnsi="Arial" w:hint="default"/>
      </w:rPr>
    </w:lvl>
    <w:lvl w:ilvl="7" w:tplc="A5786D62" w:tentative="1">
      <w:start w:val="1"/>
      <w:numFmt w:val="bullet"/>
      <w:lvlText w:val="•"/>
      <w:lvlJc w:val="left"/>
      <w:pPr>
        <w:tabs>
          <w:tab w:val="num" w:pos="5760"/>
        </w:tabs>
        <w:ind w:left="5760" w:hanging="360"/>
      </w:pPr>
      <w:rPr>
        <w:rFonts w:ascii="Arial" w:hAnsi="Arial" w:hint="default"/>
      </w:rPr>
    </w:lvl>
    <w:lvl w:ilvl="8" w:tplc="CC28A5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BF1640"/>
    <w:multiLevelType w:val="hybridMultilevel"/>
    <w:tmpl w:val="B64E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1C"/>
    <w:rsid w:val="000577C6"/>
    <w:rsid w:val="00060CBE"/>
    <w:rsid w:val="00091F56"/>
    <w:rsid w:val="00181AA4"/>
    <w:rsid w:val="001A4ED2"/>
    <w:rsid w:val="001B1061"/>
    <w:rsid w:val="001D2A45"/>
    <w:rsid w:val="002272BC"/>
    <w:rsid w:val="002B7D4D"/>
    <w:rsid w:val="00342141"/>
    <w:rsid w:val="003A5E85"/>
    <w:rsid w:val="00402B3F"/>
    <w:rsid w:val="00403260"/>
    <w:rsid w:val="00465C4F"/>
    <w:rsid w:val="0046789B"/>
    <w:rsid w:val="004C1041"/>
    <w:rsid w:val="00511B1C"/>
    <w:rsid w:val="005544C1"/>
    <w:rsid w:val="005874AD"/>
    <w:rsid w:val="005E379D"/>
    <w:rsid w:val="006212F5"/>
    <w:rsid w:val="006569E6"/>
    <w:rsid w:val="00672AD8"/>
    <w:rsid w:val="00682BEC"/>
    <w:rsid w:val="00685392"/>
    <w:rsid w:val="006C1FF0"/>
    <w:rsid w:val="006C5F6B"/>
    <w:rsid w:val="006D2BF3"/>
    <w:rsid w:val="00736A24"/>
    <w:rsid w:val="007408F0"/>
    <w:rsid w:val="008010A1"/>
    <w:rsid w:val="008519A0"/>
    <w:rsid w:val="008762BC"/>
    <w:rsid w:val="008B38B5"/>
    <w:rsid w:val="008D205D"/>
    <w:rsid w:val="00972B23"/>
    <w:rsid w:val="00984F8A"/>
    <w:rsid w:val="00A25FA6"/>
    <w:rsid w:val="00A72F00"/>
    <w:rsid w:val="00A96960"/>
    <w:rsid w:val="00AD4898"/>
    <w:rsid w:val="00B926A4"/>
    <w:rsid w:val="00C04723"/>
    <w:rsid w:val="00C44109"/>
    <w:rsid w:val="00C54746"/>
    <w:rsid w:val="00C7753D"/>
    <w:rsid w:val="00C95078"/>
    <w:rsid w:val="00D06F27"/>
    <w:rsid w:val="00D51FBD"/>
    <w:rsid w:val="00E3005E"/>
    <w:rsid w:val="00ED7D43"/>
    <w:rsid w:val="00F016BE"/>
    <w:rsid w:val="00F233A4"/>
    <w:rsid w:val="00F77584"/>
    <w:rsid w:val="00F9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3CE69-9D3B-42E4-9C11-BD5D2BAB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A6"/>
  </w:style>
  <w:style w:type="paragraph" w:styleId="Heading1">
    <w:name w:val="heading 1"/>
    <w:basedOn w:val="Normal"/>
    <w:next w:val="Normal"/>
    <w:link w:val="Heading1Char"/>
    <w:uiPriority w:val="9"/>
    <w:qFormat/>
    <w:rsid w:val="00A25FA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A25FA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25FA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25FA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25FA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25FA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25FA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25FA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25FA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1B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1B1C"/>
  </w:style>
  <w:style w:type="character" w:customStyle="1" w:styleId="Heading1Char">
    <w:name w:val="Heading 1 Char"/>
    <w:basedOn w:val="DefaultParagraphFont"/>
    <w:link w:val="Heading1"/>
    <w:uiPriority w:val="9"/>
    <w:rsid w:val="00A25FA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A25FA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25FA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25FA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25FA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25FA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25FA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25FA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25FA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25FA6"/>
    <w:pPr>
      <w:spacing w:line="240" w:lineRule="auto"/>
    </w:pPr>
    <w:rPr>
      <w:b/>
      <w:bCs/>
      <w:smallCaps/>
      <w:color w:val="595959" w:themeColor="text1" w:themeTint="A6"/>
    </w:rPr>
  </w:style>
  <w:style w:type="paragraph" w:styleId="Title">
    <w:name w:val="Title"/>
    <w:basedOn w:val="Normal"/>
    <w:next w:val="Normal"/>
    <w:link w:val="TitleChar"/>
    <w:uiPriority w:val="10"/>
    <w:qFormat/>
    <w:rsid w:val="00A25FA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25FA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25FA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25FA6"/>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25FA6"/>
    <w:rPr>
      <w:b/>
      <w:bCs/>
    </w:rPr>
  </w:style>
  <w:style w:type="character" w:styleId="Emphasis">
    <w:name w:val="Emphasis"/>
    <w:basedOn w:val="DefaultParagraphFont"/>
    <w:uiPriority w:val="20"/>
    <w:qFormat/>
    <w:rsid w:val="00A25FA6"/>
    <w:rPr>
      <w:i/>
      <w:iCs/>
    </w:rPr>
  </w:style>
  <w:style w:type="paragraph" w:styleId="NoSpacing">
    <w:name w:val="No Spacing"/>
    <w:uiPriority w:val="1"/>
    <w:qFormat/>
    <w:rsid w:val="00A25FA6"/>
    <w:pPr>
      <w:spacing w:after="0" w:line="240" w:lineRule="auto"/>
    </w:pPr>
  </w:style>
  <w:style w:type="paragraph" w:styleId="Quote">
    <w:name w:val="Quote"/>
    <w:basedOn w:val="Normal"/>
    <w:next w:val="Normal"/>
    <w:link w:val="QuoteChar"/>
    <w:uiPriority w:val="29"/>
    <w:qFormat/>
    <w:rsid w:val="00A25FA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25FA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25FA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25FA6"/>
    <w:rPr>
      <w:color w:val="404040" w:themeColor="text1" w:themeTint="BF"/>
      <w:sz w:val="32"/>
      <w:szCs w:val="32"/>
    </w:rPr>
  </w:style>
  <w:style w:type="character" w:styleId="SubtleEmphasis">
    <w:name w:val="Subtle Emphasis"/>
    <w:basedOn w:val="DefaultParagraphFont"/>
    <w:uiPriority w:val="19"/>
    <w:qFormat/>
    <w:rsid w:val="00A25FA6"/>
    <w:rPr>
      <w:i/>
      <w:iCs/>
      <w:color w:val="595959" w:themeColor="text1" w:themeTint="A6"/>
    </w:rPr>
  </w:style>
  <w:style w:type="character" w:styleId="IntenseEmphasis">
    <w:name w:val="Intense Emphasis"/>
    <w:basedOn w:val="DefaultParagraphFont"/>
    <w:uiPriority w:val="21"/>
    <w:qFormat/>
    <w:rsid w:val="00A25FA6"/>
    <w:rPr>
      <w:b/>
      <w:bCs/>
      <w:i/>
      <w:iCs/>
    </w:rPr>
  </w:style>
  <w:style w:type="character" w:styleId="SubtleReference">
    <w:name w:val="Subtle Reference"/>
    <w:basedOn w:val="DefaultParagraphFont"/>
    <w:uiPriority w:val="31"/>
    <w:qFormat/>
    <w:rsid w:val="00A25F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5FA6"/>
    <w:rPr>
      <w:b/>
      <w:bCs/>
      <w:caps w:val="0"/>
      <w:smallCaps/>
      <w:color w:val="auto"/>
      <w:spacing w:val="3"/>
      <w:u w:val="single"/>
    </w:rPr>
  </w:style>
  <w:style w:type="character" w:styleId="BookTitle">
    <w:name w:val="Book Title"/>
    <w:basedOn w:val="DefaultParagraphFont"/>
    <w:uiPriority w:val="33"/>
    <w:qFormat/>
    <w:rsid w:val="00A25FA6"/>
    <w:rPr>
      <w:b/>
      <w:bCs/>
      <w:smallCaps/>
      <w:spacing w:val="7"/>
    </w:rPr>
  </w:style>
  <w:style w:type="paragraph" w:styleId="TOCHeading">
    <w:name w:val="TOC Heading"/>
    <w:basedOn w:val="Heading1"/>
    <w:next w:val="Normal"/>
    <w:uiPriority w:val="39"/>
    <w:semiHidden/>
    <w:unhideWhenUsed/>
    <w:qFormat/>
    <w:rsid w:val="00A25FA6"/>
    <w:pPr>
      <w:outlineLvl w:val="9"/>
    </w:pPr>
  </w:style>
  <w:style w:type="paragraph" w:styleId="ListParagraph">
    <w:name w:val="List Paragraph"/>
    <w:basedOn w:val="Normal"/>
    <w:uiPriority w:val="34"/>
    <w:qFormat/>
    <w:rsid w:val="00F016BE"/>
    <w:pPr>
      <w:ind w:left="720"/>
      <w:contextualSpacing/>
    </w:pPr>
  </w:style>
  <w:style w:type="character" w:styleId="Hyperlink">
    <w:name w:val="Hyperlink"/>
    <w:basedOn w:val="DefaultParagraphFont"/>
    <w:uiPriority w:val="99"/>
    <w:unhideWhenUsed/>
    <w:rsid w:val="00181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65097">
      <w:bodyDiv w:val="1"/>
      <w:marLeft w:val="0"/>
      <w:marRight w:val="0"/>
      <w:marTop w:val="0"/>
      <w:marBottom w:val="0"/>
      <w:divBdr>
        <w:top w:val="none" w:sz="0" w:space="0" w:color="auto"/>
        <w:left w:val="none" w:sz="0" w:space="0" w:color="auto"/>
        <w:bottom w:val="none" w:sz="0" w:space="0" w:color="auto"/>
        <w:right w:val="none" w:sz="0" w:space="0" w:color="auto"/>
      </w:divBdr>
    </w:div>
    <w:div w:id="1413159015">
      <w:bodyDiv w:val="1"/>
      <w:marLeft w:val="0"/>
      <w:marRight w:val="0"/>
      <w:marTop w:val="0"/>
      <w:marBottom w:val="0"/>
      <w:divBdr>
        <w:top w:val="none" w:sz="0" w:space="0" w:color="auto"/>
        <w:left w:val="none" w:sz="0" w:space="0" w:color="auto"/>
        <w:bottom w:val="none" w:sz="0" w:space="0" w:color="auto"/>
        <w:right w:val="none" w:sz="0" w:space="0" w:color="auto"/>
      </w:divBdr>
    </w:div>
    <w:div w:id="1838155236">
      <w:bodyDiv w:val="1"/>
      <w:marLeft w:val="0"/>
      <w:marRight w:val="0"/>
      <w:marTop w:val="0"/>
      <w:marBottom w:val="0"/>
      <w:divBdr>
        <w:top w:val="none" w:sz="0" w:space="0" w:color="auto"/>
        <w:left w:val="none" w:sz="0" w:space="0" w:color="auto"/>
        <w:bottom w:val="none" w:sz="0" w:space="0" w:color="auto"/>
        <w:right w:val="none" w:sz="0" w:space="0" w:color="auto"/>
      </w:divBdr>
    </w:div>
    <w:div w:id="1866601270">
      <w:bodyDiv w:val="1"/>
      <w:marLeft w:val="0"/>
      <w:marRight w:val="0"/>
      <w:marTop w:val="0"/>
      <w:marBottom w:val="0"/>
      <w:divBdr>
        <w:top w:val="none" w:sz="0" w:space="0" w:color="auto"/>
        <w:left w:val="none" w:sz="0" w:space="0" w:color="auto"/>
        <w:bottom w:val="none" w:sz="0" w:space="0" w:color="auto"/>
        <w:right w:val="none" w:sz="0" w:space="0" w:color="auto"/>
      </w:divBdr>
      <w:divsChild>
        <w:div w:id="4687140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i.ac.uk/chemb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B8DBA-7D9F-4C2D-98F2-A76896CE5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17252</Words>
  <Characters>98342</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Ash</dc:creator>
  <cp:keywords/>
  <dc:description/>
  <cp:lastModifiedBy>Jeremy Ash</cp:lastModifiedBy>
  <cp:revision>3</cp:revision>
  <dcterms:created xsi:type="dcterms:W3CDTF">2018-05-21T01:20:00Z</dcterms:created>
  <dcterms:modified xsi:type="dcterms:W3CDTF">2018-05-21T02:21:00Z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http://www.zotero.org/styles/american-chemical-society-with-titles-no-et-al</vt:lpwstr>
  </property>
  <property fmtid="{D5CDD505-2E9C-101B-9397-08002B2CF9AE}" pid="3" name="Mendeley Recent Style Name 0_1">
    <vt:lpwstr>American Chemical Society (with titles, no "et al.")</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http://www.zotero.org/styles/bioinformatics</vt:lpwstr>
  </property>
  <property fmtid="{D5CDD505-2E9C-101B-9397-08002B2CF9AE}" pid="13" name="Mendeley Recent Style Name 5_1">
    <vt:lpwstr>Bioinformatics</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16th edition (author-date)</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(author-date)</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http://www.zotero.org/styles/science-without-titles</vt:lpwstr>
  </property>
  <property fmtid="{D5CDD505-2E9C-101B-9397-08002B2CF9AE}" pid="21" name="Mendeley Recent Style Name 9_1">
    <vt:lpwstr>Science (without titles)</vt:lpwstr>
  </property>
  <property fmtid="{D5CDD505-2E9C-101B-9397-08002B2CF9AE}" pid="22" name="Mendeley Document_1">
    <vt:lpwstr>True</vt:lpwstr>
  </property>
  <property fmtid="{D5CDD505-2E9C-101B-9397-08002B2CF9AE}" pid="23" name="Mendeley Unique User Id_1">
    <vt:lpwstr>01fc59ee-39eb-3b69-badc-ada978466d92</vt:lpwstr>
  </property>
  <property fmtid="{D5CDD505-2E9C-101B-9397-08002B2CF9AE}" pid="24" name="Mendeley Citation Style_1">
    <vt:lpwstr>http://www.zotero.org/styles/american-chemical-society-with-titles-no-et-al</vt:lpwstr>
  </property>
</Properties>
</file>