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Customer Success KPI Reference Guide</w:t>
      </w:r>
    </w:p>
    <w:p>
      <w:pPr>
        <w:pStyle w:val="Heading2"/>
      </w:pPr>
      <w:r>
        <w:t>🎯 Goal: Retention</w:t>
      </w:r>
    </w:p>
    <w:p>
      <w:r>
        <w:t>- Weekly Active Users (WAU): ≥ 75%</w:t>
      </w:r>
    </w:p>
    <w:p>
      <w:r>
        <w:t>- Drop-off rate: ≤ 10% in first 30 days</w:t>
      </w:r>
    </w:p>
    <w:p>
      <w:r>
        <w:t>- Survey NPS: ≥ +30</w:t>
      </w:r>
    </w:p>
    <w:p>
      <w:pPr>
        <w:pStyle w:val="Heading2"/>
      </w:pPr>
      <w:r>
        <w:t>🎯 Goal: Adoption</w:t>
      </w:r>
    </w:p>
    <w:p>
      <w:r>
        <w:t>- Feature adoption rate: ≥ 60% within 4 weeks</w:t>
      </w:r>
    </w:p>
    <w:p>
      <w:r>
        <w:t>- First login within 3 days: ≥ 85%</w:t>
      </w:r>
    </w:p>
    <w:p>
      <w:r>
        <w:t>- Training completion: ≥ 90%</w:t>
      </w:r>
    </w:p>
    <w:p>
      <w:pPr>
        <w:pStyle w:val="Heading2"/>
      </w:pPr>
      <w:r>
        <w:t>🎯 Goal: Support Automation</w:t>
      </w:r>
    </w:p>
    <w:p>
      <w:r>
        <w:t>- % of Tier 1 tickets deflected: ≥ 50%</w:t>
      </w:r>
    </w:p>
    <w:p>
      <w:r>
        <w:t>- Self-service usage rate: ≥ 65%</w:t>
      </w:r>
    </w:p>
    <w:p>
      <w:r>
        <w:t>- Avg. response time: &lt; 4 hrs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