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QBR Summary – FinTech Enterprise Client</w:t>
      </w:r>
    </w:p>
    <w:p>
      <w:r>
        <w:t>Client: FinBank Enterprise Solutions</w:t>
      </w:r>
    </w:p>
    <w:p>
      <w:r>
        <w:t>Date: Q2 Review</w:t>
      </w:r>
    </w:p>
    <w:p>
      <w:pPr>
        <w:pStyle w:val="Heading2"/>
      </w:pPr>
      <w:r>
        <w:t>Key Objectives</w:t>
      </w:r>
    </w:p>
    <w:p>
      <w:r>
        <w:t>- Increase adoption of transaction analytics dashboard</w:t>
      </w:r>
    </w:p>
    <w:p>
      <w:r>
        <w:t>- Reduce Tier 1 support ticket volume</w:t>
      </w:r>
    </w:p>
    <w:p>
      <w:pPr>
        <w:pStyle w:val="Heading2"/>
      </w:pPr>
      <w:r>
        <w:t>Engagement Highlights</w:t>
      </w:r>
    </w:p>
    <w:p>
      <w:r>
        <w:t>- Achieved 72% feature adoption among mid-tier users</w:t>
      </w:r>
    </w:p>
    <w:p>
      <w:r>
        <w:t>- Implemented new self-serve help center reducing tickets by 28%</w:t>
      </w:r>
    </w:p>
    <w:p>
      <w:pPr>
        <w:pStyle w:val="Heading2"/>
      </w:pPr>
      <w:r>
        <w:t>Risks &amp; Mitigation</w:t>
      </w:r>
    </w:p>
    <w:p>
      <w:r>
        <w:t>- Risk: Low product stickiness for branch-level users</w:t>
      </w:r>
    </w:p>
    <w:p>
      <w:r>
        <w:t xml:space="preserve">  Mitigation: Role-based training modules and personalized onboarding sequences</w:t>
      </w:r>
    </w:p>
    <w:p>
      <w:pPr>
        <w:pStyle w:val="Heading2"/>
      </w:pPr>
      <w:r>
        <w:t>Next Steps</w:t>
      </w:r>
    </w:p>
    <w:p>
      <w:r>
        <w:t>- Expand usage reporting to regional managers</w:t>
      </w:r>
    </w:p>
    <w:p>
      <w:r>
        <w:t>- Pilot automated onboarding flow for new admins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