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Success KPI Reference – FinTech Enterprise</w:t>
      </w:r>
    </w:p>
    <w:p>
      <w:pPr>
        <w:pStyle w:val="Heading2"/>
      </w:pPr>
      <w:r>
        <w:t>🎯 Goal: Adoption</w:t>
      </w:r>
    </w:p>
    <w:p>
      <w:r>
        <w:t>- Daily Active Users (DAU): ≥ 60%</w:t>
      </w:r>
    </w:p>
    <w:p>
      <w:r>
        <w:t>- Feature adoption rate: ≥ 70% within 6 weeks</w:t>
      </w:r>
    </w:p>
    <w:p>
      <w:r>
        <w:t>- Training session attendance: ≥ 85%</w:t>
      </w:r>
    </w:p>
    <w:p>
      <w:pPr>
        <w:pStyle w:val="Heading2"/>
      </w:pPr>
      <w:r>
        <w:t>🎯 Goal: Support Optimization</w:t>
      </w:r>
    </w:p>
    <w:p>
      <w:r>
        <w:t>- Tier 1 ticket reduction: ≥ 25%</w:t>
      </w:r>
    </w:p>
    <w:p>
      <w:r>
        <w:t>- Avg. resolution time: ≤ 2 business days</w:t>
      </w:r>
    </w:p>
    <w:p>
      <w:r>
        <w:t>- Self-service deflection rate: ≥ 50%</w:t>
      </w:r>
    </w:p>
    <w:p>
      <w:pPr>
        <w:pStyle w:val="Heading2"/>
      </w:pPr>
      <w:r>
        <w:t>🎯 Goal: Retention &amp; Expansion</w:t>
      </w:r>
    </w:p>
    <w:p>
      <w:r>
        <w:t>- Renewal rate: ≥ 90%</w:t>
      </w:r>
    </w:p>
    <w:p>
      <w:r>
        <w:t>- CSAT: ≥ 4.3/5</w:t>
      </w:r>
    </w:p>
    <w:p>
      <w:r>
        <w:t>- Upsell conversion rate: ≥ 15% in high-usage segments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