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E4A2" w14:textId="77777777" w:rsidR="002A2324" w:rsidRDefault="002A2324" w:rsidP="002A2324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2A2324">
        <w:rPr>
          <w:rFonts w:asciiTheme="majorHAnsi" w:hAnsiTheme="majorHAnsi" w:cstheme="majorHAnsi"/>
          <w:b/>
          <w:bCs/>
          <w:sz w:val="22"/>
          <w:szCs w:val="22"/>
        </w:rPr>
        <w:t>S</w:t>
      </w:r>
      <w:r>
        <w:rPr>
          <w:rFonts w:asciiTheme="majorHAnsi" w:hAnsiTheme="majorHAnsi" w:cstheme="majorHAnsi"/>
          <w:b/>
          <w:bCs/>
          <w:sz w:val="22"/>
          <w:szCs w:val="22"/>
        </w:rPr>
        <w:t>IMPLE AGREEMENT FOR FUTURE EQUITY</w:t>
      </w:r>
      <w:r w:rsidRPr="002A232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137481D0" w14:textId="51898735" w:rsidR="002A2324" w:rsidRPr="002A2324" w:rsidRDefault="002A2324" w:rsidP="002A2324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2A2324">
        <w:rPr>
          <w:rFonts w:asciiTheme="majorHAnsi" w:hAnsiTheme="majorHAnsi" w:cstheme="majorHAnsi"/>
          <w:b/>
          <w:bCs/>
          <w:sz w:val="22"/>
          <w:szCs w:val="22"/>
        </w:rPr>
        <w:t>INDICATIVE TERM SHEET</w:t>
      </w:r>
    </w:p>
    <w:p w14:paraId="78973DC1" w14:textId="41DFFDB9" w:rsidR="00752CC4" w:rsidRDefault="0046746C" w:rsidP="002A2324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September 29, 2024</w:t>
      </w:r>
    </w:p>
    <w:p w14:paraId="4D556CFE" w14:textId="77777777" w:rsidR="002A2324" w:rsidRPr="002A2324" w:rsidRDefault="002A2324" w:rsidP="002A2324">
      <w:pPr>
        <w:jc w:val="center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10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8722"/>
      </w:tblGrid>
      <w:tr w:rsidR="00767399" w:rsidRPr="002A2324" w14:paraId="2ABB1D7E" w14:textId="77777777" w:rsidTr="00E340FC">
        <w:trPr>
          <w:jc w:val="center"/>
        </w:trPr>
        <w:tc>
          <w:tcPr>
            <w:tcW w:w="1921" w:type="dxa"/>
          </w:tcPr>
          <w:p w14:paraId="361109F9" w14:textId="7C579BB7" w:rsidR="00152D0F" w:rsidRPr="002A2324" w:rsidRDefault="00EF0604" w:rsidP="00DF3E3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Investment</w:t>
            </w:r>
            <w:r w:rsidR="00152D0F"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8722" w:type="dxa"/>
          </w:tcPr>
          <w:p w14:paraId="46B86302" w14:textId="2090A54A" w:rsidR="00152D0F" w:rsidRPr="002A2324" w:rsidRDefault="00D47CE9" w:rsidP="00DF3E39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Rogue</w:t>
            </w:r>
            <w:r w:rsidR="00A5571D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140207">
              <w:rPr>
                <w:rFonts w:asciiTheme="majorHAnsi" w:hAnsiTheme="majorHAnsi" w:cstheme="majorHAnsi"/>
                <w:sz w:val="22"/>
                <w:szCs w:val="22"/>
              </w:rPr>
              <w:t>Ventures</w:t>
            </w:r>
            <w:r w:rsidR="00A5571D" w:rsidRPr="002A2324">
              <w:rPr>
                <w:rFonts w:asciiTheme="majorHAnsi" w:hAnsiTheme="majorHAnsi" w:cstheme="majorHAnsi"/>
                <w:sz w:val="22"/>
                <w:szCs w:val="22"/>
              </w:rPr>
              <w:t>, LP and related entities</w:t>
            </w:r>
            <w:r w:rsidR="001C1BBA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(“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140207">
              <w:rPr>
                <w:rFonts w:asciiTheme="majorHAnsi" w:hAnsiTheme="majorHAnsi" w:cstheme="majorHAnsi"/>
                <w:sz w:val="22"/>
                <w:szCs w:val="22"/>
              </w:rPr>
              <w:t>V</w:t>
            </w:r>
            <w:r w:rsidR="001C1BBA" w:rsidRPr="002A2324">
              <w:rPr>
                <w:rFonts w:asciiTheme="majorHAnsi" w:hAnsiTheme="majorHAnsi" w:cstheme="majorHAnsi"/>
                <w:sz w:val="22"/>
                <w:szCs w:val="22"/>
              </w:rPr>
              <w:t>”)</w:t>
            </w:r>
            <w:r w:rsidR="00510C72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shall invest 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$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million</w:t>
            </w:r>
            <w:proofErr w:type="spellEnd"/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="00510C72" w:rsidRPr="002A2324">
              <w:rPr>
                <w:rFonts w:asciiTheme="majorHAnsi" w:hAnsiTheme="majorHAnsi" w:cstheme="majorHAnsi"/>
                <w:sz w:val="22"/>
                <w:szCs w:val="22"/>
              </w:rPr>
              <w:t>$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510C72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million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>in a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ggregate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Simple Agreement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for Future Equity (“Safe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>”)</w:t>
            </w:r>
            <w:r w:rsidR="002A23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2A2324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in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New</w:t>
            </w:r>
            <w:r w:rsidR="0046746C" w:rsidRPr="0046746C">
              <w:rPr>
                <w:rFonts w:asciiTheme="majorHAnsi" w:hAnsiTheme="majorHAnsi" w:cstheme="majorHAnsi"/>
                <w:sz w:val="22"/>
                <w:szCs w:val="22"/>
              </w:rPr>
              <w:t xml:space="preserve"> Technologies, Inc.  </w:t>
            </w:r>
            <w:r w:rsidR="002A2324" w:rsidRPr="002A2324">
              <w:rPr>
                <w:rFonts w:asciiTheme="majorHAnsi" w:hAnsiTheme="majorHAnsi" w:cstheme="majorHAnsi"/>
                <w:sz w:val="22"/>
                <w:szCs w:val="22"/>
              </w:rPr>
              <w:t>(the “Company”)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, which shall convert upon the consummation of the Company’s </w:t>
            </w:r>
            <w:r w:rsidR="00140207">
              <w:rPr>
                <w:rFonts w:asciiTheme="majorHAnsi" w:hAnsiTheme="majorHAnsi" w:cstheme="majorHAnsi"/>
                <w:sz w:val="22"/>
                <w:szCs w:val="22"/>
              </w:rPr>
              <w:t>next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issuance and sale of preferred shares at a fixed valuation (the “Equity Financing”).</w:t>
            </w:r>
            <w:r w:rsidR="00D2625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</w:p>
        </w:tc>
      </w:tr>
      <w:tr w:rsidR="00CE4A3B" w:rsidRPr="002A2324" w14:paraId="51EAF026" w14:textId="77777777" w:rsidTr="00E340FC">
        <w:trPr>
          <w:jc w:val="center"/>
        </w:trPr>
        <w:tc>
          <w:tcPr>
            <w:tcW w:w="1921" w:type="dxa"/>
          </w:tcPr>
          <w:p w14:paraId="45A647E1" w14:textId="23FC1BEA" w:rsidR="00CE4A3B" w:rsidRPr="002A2324" w:rsidRDefault="00CE4A3B" w:rsidP="00DF3E3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Security:</w:t>
            </w:r>
          </w:p>
        </w:tc>
        <w:tc>
          <w:tcPr>
            <w:tcW w:w="8722" w:type="dxa"/>
          </w:tcPr>
          <w:p w14:paraId="17206C64" w14:textId="53F0DE9E" w:rsidR="00CE4A3B" w:rsidRPr="002A2324" w:rsidRDefault="00CE4A3B" w:rsidP="00DF3E39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Standard post-money valuation cap only Safe.</w:t>
            </w:r>
          </w:p>
        </w:tc>
      </w:tr>
      <w:tr w:rsidR="00767399" w:rsidRPr="002A2324" w14:paraId="16032D50" w14:textId="77777777" w:rsidTr="00E340FC">
        <w:trPr>
          <w:jc w:val="center"/>
        </w:trPr>
        <w:tc>
          <w:tcPr>
            <w:tcW w:w="1921" w:type="dxa"/>
          </w:tcPr>
          <w:p w14:paraId="578A2312" w14:textId="7EAE2BD0" w:rsidR="00767399" w:rsidRPr="002A2324" w:rsidRDefault="00767399" w:rsidP="00DF3E3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Valuation</w:t>
            </w:r>
            <w:r w:rsidR="00797088"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cap</w:t>
            </w: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8722" w:type="dxa"/>
          </w:tcPr>
          <w:p w14:paraId="69705895" w14:textId="77E3D53E" w:rsidR="00767399" w:rsidRPr="002A2324" w:rsidRDefault="00510C72" w:rsidP="00C570BF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$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>40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million </w:t>
            </w:r>
            <w:r w:rsidR="006354A8" w:rsidRPr="002A2324">
              <w:rPr>
                <w:rFonts w:asciiTheme="majorHAnsi" w:hAnsiTheme="majorHAnsi" w:cstheme="majorHAnsi"/>
                <w:sz w:val="22"/>
                <w:szCs w:val="22"/>
              </w:rPr>
              <w:t>post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-money </w:t>
            </w:r>
            <w:proofErr w:type="gramStart"/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fully-diluted</w:t>
            </w:r>
            <w:proofErr w:type="gramEnd"/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valuation 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cap 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(which includes </w:t>
            </w:r>
            <w:r w:rsidR="006354A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all new capital above, 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any outstanding convertible notes/</w:t>
            </w:r>
            <w:r w:rsidR="003F6B8C" w:rsidRPr="002A2324">
              <w:rPr>
                <w:rFonts w:asciiTheme="majorHAnsi" w:hAnsiTheme="majorHAnsi" w:cstheme="majorHAnsi"/>
                <w:sz w:val="22"/>
                <w:szCs w:val="22"/>
              </w:rPr>
              <w:t>Safes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</w:tc>
      </w:tr>
      <w:tr w:rsidR="006354A8" w:rsidRPr="002A2324" w14:paraId="0838830C" w14:textId="77777777" w:rsidTr="00E340FC">
        <w:trPr>
          <w:jc w:val="center"/>
        </w:trPr>
        <w:tc>
          <w:tcPr>
            <w:tcW w:w="1921" w:type="dxa"/>
          </w:tcPr>
          <w:p w14:paraId="6761A403" w14:textId="253B8896" w:rsidR="006354A8" w:rsidRPr="002A2324" w:rsidRDefault="006354A8" w:rsidP="006354A8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Other Rights:</w:t>
            </w:r>
          </w:p>
        </w:tc>
        <w:tc>
          <w:tcPr>
            <w:tcW w:w="8722" w:type="dxa"/>
          </w:tcPr>
          <w:p w14:paraId="27DDEF77" w14:textId="74978397" w:rsidR="006354A8" w:rsidRPr="002A2324" w:rsidRDefault="00CE4A3B" w:rsidP="006354A8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Standard and customary investor most favored nations clause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pro rata rights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 xml:space="preserve"> and major investor rounds upon the consummation of the Equity Financing</w:t>
            </w:r>
            <w:r w:rsidR="006354A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</w:p>
        </w:tc>
      </w:tr>
    </w:tbl>
    <w:p w14:paraId="4C8E92A1" w14:textId="499A8AB0" w:rsidR="00E340FC" w:rsidRDefault="00E340FC" w:rsidP="002A2324">
      <w:pPr>
        <w:pStyle w:val="BodyText"/>
        <w:spacing w:before="193"/>
        <w:ind w:right="72" w:firstLine="0"/>
        <w:jc w:val="both"/>
        <w:rPr>
          <w:rFonts w:asciiTheme="majorHAnsi" w:hAnsiTheme="majorHAnsi" w:cstheme="majorHAnsi"/>
          <w:sz w:val="22"/>
          <w:szCs w:val="22"/>
        </w:rPr>
      </w:pPr>
      <w:bookmarkStart w:id="0" w:name="_DV_M20"/>
      <w:bookmarkStart w:id="1" w:name="_DV_M23"/>
      <w:bookmarkEnd w:id="0"/>
      <w:bookmarkEnd w:id="1"/>
      <w:r w:rsidRPr="002A2324">
        <w:rPr>
          <w:rFonts w:asciiTheme="majorHAnsi" w:hAnsiTheme="majorHAnsi" w:cstheme="majorHAnsi"/>
          <w:sz w:val="22"/>
          <w:szCs w:val="22"/>
        </w:rPr>
        <w:t>This term sheet does not constitute either an offer to sell or to purchase securities, is non-binding and is intended solely as a summary</w:t>
      </w:r>
      <w:r w:rsidRPr="002A2324">
        <w:rPr>
          <w:rFonts w:asciiTheme="majorHAnsi" w:hAnsiTheme="majorHAnsi" w:cstheme="majorHAnsi"/>
          <w:spacing w:val="1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of</w:t>
      </w:r>
      <w:r w:rsidRPr="002A2324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the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terms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that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are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currently</w:t>
      </w:r>
      <w:r w:rsidRPr="002A2324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proposed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by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the</w:t>
      </w:r>
      <w:r w:rsidRPr="002A2324">
        <w:rPr>
          <w:rFonts w:asciiTheme="majorHAnsi" w:hAnsiTheme="majorHAnsi" w:cstheme="majorHAnsi"/>
          <w:spacing w:val="-6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parties,</w:t>
      </w:r>
      <w:r w:rsidRPr="002A2324">
        <w:rPr>
          <w:rFonts w:asciiTheme="majorHAnsi" w:hAnsiTheme="majorHAnsi" w:cstheme="majorHAnsi"/>
          <w:spacing w:val="-2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and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the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failure</w:t>
      </w:r>
      <w:r w:rsidRPr="002A2324">
        <w:rPr>
          <w:rFonts w:asciiTheme="majorHAnsi" w:hAnsiTheme="majorHAnsi" w:cstheme="majorHAnsi"/>
          <w:spacing w:val="-7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to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execute</w:t>
      </w:r>
      <w:r w:rsidRPr="002A2324">
        <w:rPr>
          <w:rFonts w:asciiTheme="majorHAnsi" w:hAnsiTheme="majorHAnsi" w:cstheme="majorHAnsi"/>
          <w:spacing w:val="-7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and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deliver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definitive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agreement shall impose</w:t>
      </w:r>
      <w:r w:rsidRPr="002A2324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no</w:t>
      </w:r>
      <w:r w:rsidRPr="002A2324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liability</w:t>
      </w:r>
      <w:r w:rsidRPr="002A2324">
        <w:rPr>
          <w:rFonts w:asciiTheme="majorHAnsi" w:hAnsiTheme="majorHAnsi" w:cstheme="majorHAnsi"/>
          <w:spacing w:val="1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on</w:t>
      </w:r>
      <w:r w:rsidRPr="002A2324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="00D47CE9">
        <w:rPr>
          <w:rFonts w:asciiTheme="majorHAnsi" w:hAnsiTheme="majorHAnsi" w:cstheme="majorHAnsi"/>
          <w:sz w:val="22"/>
          <w:szCs w:val="22"/>
        </w:rPr>
        <w:t>RV</w:t>
      </w:r>
      <w:r w:rsidRPr="002A2324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D34151D" w14:textId="77777777" w:rsidR="002A2324" w:rsidRPr="002A2324" w:rsidRDefault="002A2324" w:rsidP="00E340FC">
      <w:pPr>
        <w:pStyle w:val="BodyText"/>
        <w:spacing w:before="193"/>
        <w:ind w:right="72" w:firstLine="0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26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10"/>
      </w:tblGrid>
      <w:tr w:rsidR="00E340FC" w:rsidRPr="002A2324" w14:paraId="5A75B03B" w14:textId="77777777" w:rsidTr="00E340FC">
        <w:trPr>
          <w:trHeight w:val="274"/>
          <w:jc w:val="center"/>
        </w:trPr>
        <w:tc>
          <w:tcPr>
            <w:tcW w:w="4950" w:type="dxa"/>
          </w:tcPr>
          <w:p w14:paraId="11D49F82" w14:textId="3A14AA3F" w:rsidR="00E340FC" w:rsidRPr="0046746C" w:rsidRDefault="00D47CE9" w:rsidP="00C1394B">
            <w:pPr>
              <w:pStyle w:val="TableParagraph"/>
              <w:spacing w:line="225" w:lineRule="exac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New</w:t>
            </w:r>
            <w:r w:rsidR="0046746C" w:rsidRPr="0046746C">
              <w:rPr>
                <w:rFonts w:asciiTheme="majorHAnsi" w:hAnsiTheme="majorHAnsi" w:cstheme="majorHAnsi"/>
                <w:b/>
                <w:bCs/>
              </w:rPr>
              <w:t xml:space="preserve"> Technologies, Inc. </w:t>
            </w:r>
          </w:p>
        </w:tc>
        <w:tc>
          <w:tcPr>
            <w:tcW w:w="5310" w:type="dxa"/>
          </w:tcPr>
          <w:p w14:paraId="6414EEE2" w14:textId="1565784C" w:rsidR="00E340FC" w:rsidRDefault="00D47CE9" w:rsidP="00C1394B">
            <w:pPr>
              <w:pStyle w:val="TableParagraph"/>
              <w:spacing w:line="225" w:lineRule="exact"/>
              <w:ind w:left="1097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spacing w:val="-1"/>
              </w:rPr>
              <w:t>Rogue</w:t>
            </w:r>
            <w:r w:rsidR="00E340FC" w:rsidRPr="002A2324">
              <w:rPr>
                <w:rFonts w:asciiTheme="majorHAnsi" w:hAnsiTheme="majorHAnsi" w:cstheme="majorHAnsi"/>
                <w:b/>
                <w:bCs/>
                <w:spacing w:val="-10"/>
              </w:rPr>
              <w:t xml:space="preserve"> </w:t>
            </w:r>
            <w:r w:rsidR="00140207">
              <w:rPr>
                <w:rFonts w:asciiTheme="majorHAnsi" w:hAnsiTheme="majorHAnsi" w:cstheme="majorHAnsi"/>
                <w:b/>
                <w:bCs/>
              </w:rPr>
              <w:t>Ventures,</w:t>
            </w:r>
            <w:r w:rsidR="00E340FC" w:rsidRPr="002A2324">
              <w:rPr>
                <w:rFonts w:asciiTheme="majorHAnsi" w:hAnsiTheme="majorHAnsi" w:cstheme="majorHAnsi"/>
                <w:b/>
                <w:bCs/>
                <w:spacing w:val="-12"/>
              </w:rPr>
              <w:t xml:space="preserve"> </w:t>
            </w:r>
            <w:r w:rsidR="00E340FC" w:rsidRPr="002A2324">
              <w:rPr>
                <w:rFonts w:asciiTheme="majorHAnsi" w:hAnsiTheme="majorHAnsi" w:cstheme="majorHAnsi"/>
                <w:b/>
                <w:bCs/>
              </w:rPr>
              <w:t>LP</w:t>
            </w:r>
          </w:p>
          <w:p w14:paraId="09A28CBD" w14:textId="77777777" w:rsidR="0046746C" w:rsidRDefault="0046746C" w:rsidP="00C1394B">
            <w:pPr>
              <w:pStyle w:val="TableParagraph"/>
              <w:spacing w:line="225" w:lineRule="exact"/>
              <w:ind w:left="1097"/>
              <w:rPr>
                <w:rFonts w:asciiTheme="majorHAnsi" w:hAnsiTheme="majorHAnsi" w:cstheme="majorHAnsi"/>
                <w:b/>
                <w:bCs/>
              </w:rPr>
            </w:pPr>
          </w:p>
          <w:p w14:paraId="24F808C8" w14:textId="2EF98DB4" w:rsidR="0046746C" w:rsidRPr="002A2324" w:rsidRDefault="0046746C" w:rsidP="00C1394B">
            <w:pPr>
              <w:pStyle w:val="TableParagraph"/>
              <w:spacing w:line="225" w:lineRule="exact"/>
              <w:ind w:left="1097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E340FC" w:rsidRPr="002A2324" w14:paraId="7B032C4C" w14:textId="77777777" w:rsidTr="00E340FC">
        <w:trPr>
          <w:cantSplit/>
          <w:jc w:val="center"/>
        </w:trPr>
        <w:tc>
          <w:tcPr>
            <w:tcW w:w="4950" w:type="dxa"/>
          </w:tcPr>
          <w:p w14:paraId="6FF69D86" w14:textId="77777777" w:rsidR="00E340FC" w:rsidRPr="002A2324" w:rsidRDefault="00E340FC" w:rsidP="00C1394B">
            <w:pPr>
              <w:pStyle w:val="TableParagraph"/>
              <w:tabs>
                <w:tab w:val="left" w:pos="4490"/>
              </w:tabs>
              <w:spacing w:before="10"/>
              <w:ind w:right="-58"/>
              <w:rPr>
                <w:rFonts w:asciiTheme="majorHAnsi" w:hAnsiTheme="majorHAnsi" w:cstheme="majorHAnsi"/>
              </w:rPr>
            </w:pPr>
            <w:r w:rsidRPr="002A2324">
              <w:rPr>
                <w:rFonts w:asciiTheme="majorHAnsi" w:hAnsiTheme="majorHAnsi" w:cstheme="majorHAnsi"/>
              </w:rPr>
              <w:t xml:space="preserve">By:  </w:t>
            </w:r>
            <w:r w:rsidRPr="002A2324">
              <w:rPr>
                <w:rFonts w:asciiTheme="majorHAnsi" w:hAnsiTheme="majorHAnsi" w:cstheme="majorHAnsi"/>
                <w:spacing w:val="12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ab/>
            </w:r>
          </w:p>
        </w:tc>
        <w:tc>
          <w:tcPr>
            <w:tcW w:w="5310" w:type="dxa"/>
          </w:tcPr>
          <w:p w14:paraId="63061291" w14:textId="77777777" w:rsidR="00E340FC" w:rsidRPr="002A2324" w:rsidRDefault="00E340FC" w:rsidP="00C1394B">
            <w:pPr>
              <w:pStyle w:val="TableParagraph"/>
              <w:tabs>
                <w:tab w:val="left" w:pos="6166"/>
              </w:tabs>
              <w:spacing w:before="10"/>
              <w:ind w:left="1097" w:right="-2160"/>
              <w:rPr>
                <w:rFonts w:asciiTheme="majorHAnsi" w:hAnsiTheme="majorHAnsi" w:cstheme="majorHAnsi"/>
              </w:rPr>
            </w:pPr>
            <w:r w:rsidRPr="002A2324">
              <w:rPr>
                <w:rFonts w:asciiTheme="majorHAnsi" w:hAnsiTheme="majorHAnsi" w:cstheme="majorHAnsi"/>
              </w:rPr>
              <w:t xml:space="preserve">By:  </w:t>
            </w:r>
            <w:r w:rsidRPr="002A2324">
              <w:rPr>
                <w:rFonts w:asciiTheme="majorHAnsi" w:hAnsiTheme="majorHAnsi" w:cstheme="majorHAnsi"/>
                <w:spacing w:val="9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ab/>
            </w:r>
          </w:p>
        </w:tc>
      </w:tr>
      <w:tr w:rsidR="00E340FC" w:rsidRPr="002A2324" w14:paraId="5B78DC66" w14:textId="77777777" w:rsidTr="00E340FC">
        <w:trPr>
          <w:cantSplit/>
          <w:jc w:val="center"/>
        </w:trPr>
        <w:tc>
          <w:tcPr>
            <w:tcW w:w="4950" w:type="dxa"/>
          </w:tcPr>
          <w:p w14:paraId="53E7128C" w14:textId="667DFD87" w:rsidR="00E340FC" w:rsidRPr="002A2324" w:rsidRDefault="00D47CE9" w:rsidP="00E340FC">
            <w:pPr>
              <w:pStyle w:val="TableParagraph"/>
              <w:spacing w:before="8"/>
              <w:ind w:left="59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</w:rPr>
              <w:t>Joe Smith</w:t>
            </w:r>
            <w:r w:rsidR="00E340FC" w:rsidRPr="002A2324">
              <w:rPr>
                <w:rFonts w:asciiTheme="majorHAnsi" w:hAnsiTheme="majorHAnsi" w:cstheme="majorHAnsi"/>
              </w:rPr>
              <w:t xml:space="preserve">, </w:t>
            </w:r>
            <w:r w:rsidR="00E340FC" w:rsidRPr="002A2324">
              <w:rPr>
                <w:rFonts w:asciiTheme="majorHAnsi" w:hAnsiTheme="majorHAnsi" w:cstheme="majorHAnsi"/>
                <w:i/>
              </w:rPr>
              <w:t>Chief Executive</w:t>
            </w:r>
            <w:r w:rsidR="00E340FC" w:rsidRPr="002A2324">
              <w:rPr>
                <w:rFonts w:asciiTheme="majorHAnsi" w:hAnsiTheme="majorHAnsi" w:cstheme="majorHAnsi"/>
                <w:i/>
                <w:spacing w:val="-3"/>
              </w:rPr>
              <w:t xml:space="preserve"> </w:t>
            </w:r>
            <w:r w:rsidR="00E340FC" w:rsidRPr="002A2324">
              <w:rPr>
                <w:rFonts w:asciiTheme="majorHAnsi" w:hAnsiTheme="majorHAnsi" w:cstheme="majorHAnsi"/>
                <w:i/>
              </w:rPr>
              <w:t>Officer</w:t>
            </w:r>
          </w:p>
        </w:tc>
        <w:tc>
          <w:tcPr>
            <w:tcW w:w="5310" w:type="dxa"/>
          </w:tcPr>
          <w:p w14:paraId="61CEF423" w14:textId="63AD6673" w:rsidR="00E340FC" w:rsidRPr="002A2324" w:rsidRDefault="00E340FC" w:rsidP="00E340FC">
            <w:pPr>
              <w:pStyle w:val="TableParagraph"/>
              <w:spacing w:before="8"/>
              <w:rPr>
                <w:rFonts w:asciiTheme="majorHAnsi" w:hAnsiTheme="majorHAnsi" w:cstheme="majorHAnsi"/>
                <w:i/>
              </w:rPr>
            </w:pPr>
            <w:r w:rsidRPr="002A2324">
              <w:rPr>
                <w:rFonts w:asciiTheme="majorHAnsi" w:hAnsiTheme="majorHAnsi" w:cstheme="majorHAnsi"/>
              </w:rPr>
              <w:t xml:space="preserve">                            </w:t>
            </w:r>
            <w:r w:rsidR="00D47CE9">
              <w:rPr>
                <w:rFonts w:asciiTheme="majorHAnsi" w:hAnsiTheme="majorHAnsi" w:cstheme="majorHAnsi"/>
              </w:rPr>
              <w:t>Fred Perry</w:t>
            </w:r>
            <w:r w:rsidR="0046746C">
              <w:rPr>
                <w:rFonts w:asciiTheme="majorHAnsi" w:hAnsiTheme="majorHAnsi" w:cstheme="majorHAnsi"/>
              </w:rPr>
              <w:t>,</w:t>
            </w:r>
            <w:r w:rsidRPr="002A2324">
              <w:rPr>
                <w:rFonts w:asciiTheme="majorHAnsi" w:hAnsiTheme="majorHAnsi" w:cstheme="majorHAnsi"/>
              </w:rPr>
              <w:t xml:space="preserve"> </w:t>
            </w:r>
            <w:r w:rsidRPr="002A2324">
              <w:rPr>
                <w:rFonts w:asciiTheme="majorHAnsi" w:hAnsiTheme="majorHAnsi" w:cstheme="majorHAnsi"/>
                <w:i/>
              </w:rPr>
              <w:t>Partner</w:t>
            </w:r>
          </w:p>
        </w:tc>
      </w:tr>
    </w:tbl>
    <w:p w14:paraId="70E11EBF" w14:textId="0704571C" w:rsidR="00F25C3B" w:rsidRPr="002A2324" w:rsidRDefault="00F25C3B" w:rsidP="00E340FC">
      <w:pPr>
        <w:keepNext/>
        <w:keepLines/>
        <w:tabs>
          <w:tab w:val="left" w:pos="4320"/>
        </w:tabs>
        <w:jc w:val="both"/>
        <w:rPr>
          <w:rFonts w:asciiTheme="majorHAnsi" w:hAnsiTheme="majorHAnsi" w:cstheme="majorHAnsi"/>
          <w:sz w:val="22"/>
          <w:szCs w:val="22"/>
        </w:rPr>
      </w:pPr>
    </w:p>
    <w:sectPr w:rsidR="00F25C3B" w:rsidRPr="002A2324" w:rsidSect="00DF3E39">
      <w:headerReference w:type="default" r:id="rId7"/>
      <w:headerReference w:type="first" r:id="rId8"/>
      <w:pgSz w:w="12240" w:h="15840"/>
      <w:pgMar w:top="864" w:right="864" w:bottom="864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7F743" w14:textId="77777777" w:rsidR="00A7241E" w:rsidRDefault="00A7241E">
      <w:r>
        <w:separator/>
      </w:r>
    </w:p>
  </w:endnote>
  <w:endnote w:type="continuationSeparator" w:id="0">
    <w:p w14:paraId="29ADFD10" w14:textId="77777777" w:rsidR="00A7241E" w:rsidRDefault="00A7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571A0" w14:textId="77777777" w:rsidR="00A7241E" w:rsidRDefault="00A7241E">
      <w:r>
        <w:separator/>
      </w:r>
    </w:p>
  </w:footnote>
  <w:footnote w:type="continuationSeparator" w:id="0">
    <w:p w14:paraId="6D3F3787" w14:textId="77777777" w:rsidR="00A7241E" w:rsidRDefault="00A72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B144E" w14:textId="51536FD5" w:rsidR="00CE523D" w:rsidRDefault="00CE523D" w:rsidP="00DF3E39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F6293B" wp14:editId="7FF14A4F">
          <wp:simplePos x="0" y="0"/>
          <wp:positionH relativeFrom="column">
            <wp:posOffset>2409246</wp:posOffset>
          </wp:positionH>
          <wp:positionV relativeFrom="paragraph">
            <wp:posOffset>-118745</wp:posOffset>
          </wp:positionV>
          <wp:extent cx="2059388" cy="119228"/>
          <wp:effectExtent l="0" t="0" r="0" b="0"/>
          <wp:wrapNone/>
          <wp:docPr id="2" name="Picture 0" descr="AH_BLACK_HORIZ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H_BLACK_HORIZ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88" cy="1192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D5D5" w14:textId="31A5476B" w:rsidR="00752CC4" w:rsidRDefault="00752CC4">
    <w:pPr>
      <w:pStyle w:val="Header"/>
    </w:pPr>
  </w:p>
  <w:p w14:paraId="0B52B0F5" w14:textId="1C20C28C" w:rsidR="00752CC4" w:rsidRDefault="00752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42CC0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BAA281B6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A32C3BB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sz w:val="23"/>
        <w:szCs w:val="23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3"/>
        <w:szCs w:val="23"/>
        <w:u w:val="none"/>
      </w:rPr>
    </w:lvl>
  </w:abstractNum>
  <w:num w:numId="1" w16cid:durableId="156847493">
    <w:abstractNumId w:val="2"/>
  </w:num>
  <w:num w:numId="2" w16cid:durableId="954562028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85106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7"/>
    <w:rsid w:val="00003006"/>
    <w:rsid w:val="00005573"/>
    <w:rsid w:val="00005D5F"/>
    <w:rsid w:val="000144A6"/>
    <w:rsid w:val="00024049"/>
    <w:rsid w:val="00024325"/>
    <w:rsid w:val="000265A4"/>
    <w:rsid w:val="00031D32"/>
    <w:rsid w:val="00033132"/>
    <w:rsid w:val="0004240C"/>
    <w:rsid w:val="00042B72"/>
    <w:rsid w:val="000470C8"/>
    <w:rsid w:val="00047345"/>
    <w:rsid w:val="00050A02"/>
    <w:rsid w:val="00051F6D"/>
    <w:rsid w:val="00052E70"/>
    <w:rsid w:val="000564C2"/>
    <w:rsid w:val="00057BB9"/>
    <w:rsid w:val="00061883"/>
    <w:rsid w:val="00064C8A"/>
    <w:rsid w:val="00065EE6"/>
    <w:rsid w:val="000701C9"/>
    <w:rsid w:val="0007358C"/>
    <w:rsid w:val="00082E87"/>
    <w:rsid w:val="00082ED6"/>
    <w:rsid w:val="0008768F"/>
    <w:rsid w:val="00093070"/>
    <w:rsid w:val="000A304C"/>
    <w:rsid w:val="000A3E11"/>
    <w:rsid w:val="000A4F42"/>
    <w:rsid w:val="000A54A0"/>
    <w:rsid w:val="000B1E2E"/>
    <w:rsid w:val="000B7484"/>
    <w:rsid w:val="000C3E1B"/>
    <w:rsid w:val="000C6D49"/>
    <w:rsid w:val="000C7932"/>
    <w:rsid w:val="000D3864"/>
    <w:rsid w:val="000D53D6"/>
    <w:rsid w:val="000D5446"/>
    <w:rsid w:val="000D5AC2"/>
    <w:rsid w:val="000E3C5F"/>
    <w:rsid w:val="000E4450"/>
    <w:rsid w:val="000E6754"/>
    <w:rsid w:val="000F7CD0"/>
    <w:rsid w:val="00102AA4"/>
    <w:rsid w:val="001030C9"/>
    <w:rsid w:val="00105727"/>
    <w:rsid w:val="001070BD"/>
    <w:rsid w:val="00116CBF"/>
    <w:rsid w:val="00127882"/>
    <w:rsid w:val="001308EF"/>
    <w:rsid w:val="00131BF3"/>
    <w:rsid w:val="00137775"/>
    <w:rsid w:val="00137A7C"/>
    <w:rsid w:val="00140207"/>
    <w:rsid w:val="001467BC"/>
    <w:rsid w:val="001519D4"/>
    <w:rsid w:val="00152D0F"/>
    <w:rsid w:val="001534B7"/>
    <w:rsid w:val="00154C19"/>
    <w:rsid w:val="00156045"/>
    <w:rsid w:val="001568B2"/>
    <w:rsid w:val="00166FF7"/>
    <w:rsid w:val="00170F26"/>
    <w:rsid w:val="00174C26"/>
    <w:rsid w:val="00176613"/>
    <w:rsid w:val="00192638"/>
    <w:rsid w:val="001941CB"/>
    <w:rsid w:val="001A2652"/>
    <w:rsid w:val="001A2801"/>
    <w:rsid w:val="001A2ED2"/>
    <w:rsid w:val="001A3401"/>
    <w:rsid w:val="001B546C"/>
    <w:rsid w:val="001B580C"/>
    <w:rsid w:val="001B5A34"/>
    <w:rsid w:val="001B6382"/>
    <w:rsid w:val="001C1BBA"/>
    <w:rsid w:val="001C24D7"/>
    <w:rsid w:val="001C5002"/>
    <w:rsid w:val="001C6DCF"/>
    <w:rsid w:val="001D1DAE"/>
    <w:rsid w:val="001D5FAF"/>
    <w:rsid w:val="001D68DA"/>
    <w:rsid w:val="001E1141"/>
    <w:rsid w:val="001E7ECB"/>
    <w:rsid w:val="001F0A88"/>
    <w:rsid w:val="001F0C79"/>
    <w:rsid w:val="001F0F75"/>
    <w:rsid w:val="001F1DAA"/>
    <w:rsid w:val="001F7408"/>
    <w:rsid w:val="00203577"/>
    <w:rsid w:val="00204224"/>
    <w:rsid w:val="00204D80"/>
    <w:rsid w:val="002126B9"/>
    <w:rsid w:val="00213132"/>
    <w:rsid w:val="00213EEC"/>
    <w:rsid w:val="00215EF5"/>
    <w:rsid w:val="00216537"/>
    <w:rsid w:val="0022083F"/>
    <w:rsid w:val="00224171"/>
    <w:rsid w:val="0022619C"/>
    <w:rsid w:val="00231F04"/>
    <w:rsid w:val="0023299B"/>
    <w:rsid w:val="00232A20"/>
    <w:rsid w:val="00233D3A"/>
    <w:rsid w:val="0023546C"/>
    <w:rsid w:val="00235B04"/>
    <w:rsid w:val="0023780A"/>
    <w:rsid w:val="00241F61"/>
    <w:rsid w:val="00245E27"/>
    <w:rsid w:val="00245E6F"/>
    <w:rsid w:val="00251A6E"/>
    <w:rsid w:val="00252FA0"/>
    <w:rsid w:val="00254947"/>
    <w:rsid w:val="002646AB"/>
    <w:rsid w:val="00264B04"/>
    <w:rsid w:val="00264F3C"/>
    <w:rsid w:val="00265525"/>
    <w:rsid w:val="00271436"/>
    <w:rsid w:val="0027698F"/>
    <w:rsid w:val="002778EE"/>
    <w:rsid w:val="00277B37"/>
    <w:rsid w:val="00280785"/>
    <w:rsid w:val="00283F93"/>
    <w:rsid w:val="00284069"/>
    <w:rsid w:val="00285CA8"/>
    <w:rsid w:val="0028638F"/>
    <w:rsid w:val="00290F86"/>
    <w:rsid w:val="00292DE8"/>
    <w:rsid w:val="00292E54"/>
    <w:rsid w:val="00294459"/>
    <w:rsid w:val="002947B6"/>
    <w:rsid w:val="002A0C1B"/>
    <w:rsid w:val="002A2324"/>
    <w:rsid w:val="002A3320"/>
    <w:rsid w:val="002A37F4"/>
    <w:rsid w:val="002A4316"/>
    <w:rsid w:val="002A655A"/>
    <w:rsid w:val="002A6664"/>
    <w:rsid w:val="002A7046"/>
    <w:rsid w:val="002B18B7"/>
    <w:rsid w:val="002C5CF1"/>
    <w:rsid w:val="002D2FC7"/>
    <w:rsid w:val="002E232D"/>
    <w:rsid w:val="002E3DAA"/>
    <w:rsid w:val="002F12EA"/>
    <w:rsid w:val="002F268F"/>
    <w:rsid w:val="00302FDD"/>
    <w:rsid w:val="00306403"/>
    <w:rsid w:val="0030741B"/>
    <w:rsid w:val="00310DDA"/>
    <w:rsid w:val="003129E3"/>
    <w:rsid w:val="003139D3"/>
    <w:rsid w:val="00314A8C"/>
    <w:rsid w:val="00315BFC"/>
    <w:rsid w:val="00316ED5"/>
    <w:rsid w:val="003176B4"/>
    <w:rsid w:val="00321F9B"/>
    <w:rsid w:val="00322753"/>
    <w:rsid w:val="00324E42"/>
    <w:rsid w:val="00325522"/>
    <w:rsid w:val="00332981"/>
    <w:rsid w:val="00340A6F"/>
    <w:rsid w:val="00341FC0"/>
    <w:rsid w:val="00342458"/>
    <w:rsid w:val="00343A00"/>
    <w:rsid w:val="003440D7"/>
    <w:rsid w:val="00344EE3"/>
    <w:rsid w:val="00345CC9"/>
    <w:rsid w:val="00352A81"/>
    <w:rsid w:val="00361FF1"/>
    <w:rsid w:val="00362C6F"/>
    <w:rsid w:val="00363966"/>
    <w:rsid w:val="0036472F"/>
    <w:rsid w:val="00365E9D"/>
    <w:rsid w:val="003769F9"/>
    <w:rsid w:val="00377285"/>
    <w:rsid w:val="0037750E"/>
    <w:rsid w:val="00383A46"/>
    <w:rsid w:val="003846A1"/>
    <w:rsid w:val="003851F9"/>
    <w:rsid w:val="00385549"/>
    <w:rsid w:val="00385555"/>
    <w:rsid w:val="0038617F"/>
    <w:rsid w:val="0038729F"/>
    <w:rsid w:val="00387430"/>
    <w:rsid w:val="00387ABC"/>
    <w:rsid w:val="003911FA"/>
    <w:rsid w:val="00394AF4"/>
    <w:rsid w:val="00395469"/>
    <w:rsid w:val="00397B9C"/>
    <w:rsid w:val="003A1062"/>
    <w:rsid w:val="003A21E1"/>
    <w:rsid w:val="003A5CA5"/>
    <w:rsid w:val="003A6C83"/>
    <w:rsid w:val="003B1B2B"/>
    <w:rsid w:val="003B2204"/>
    <w:rsid w:val="003B4409"/>
    <w:rsid w:val="003C0314"/>
    <w:rsid w:val="003C4201"/>
    <w:rsid w:val="003C4B23"/>
    <w:rsid w:val="003C5B80"/>
    <w:rsid w:val="003C735A"/>
    <w:rsid w:val="003D1F6A"/>
    <w:rsid w:val="003D2D43"/>
    <w:rsid w:val="003D39A5"/>
    <w:rsid w:val="003D4313"/>
    <w:rsid w:val="003D4DE7"/>
    <w:rsid w:val="003D75F0"/>
    <w:rsid w:val="003E049E"/>
    <w:rsid w:val="003E34DD"/>
    <w:rsid w:val="003E35E4"/>
    <w:rsid w:val="003E3DDC"/>
    <w:rsid w:val="003E6061"/>
    <w:rsid w:val="003E63FF"/>
    <w:rsid w:val="003F16C0"/>
    <w:rsid w:val="003F46B1"/>
    <w:rsid w:val="003F6B8C"/>
    <w:rsid w:val="0040323B"/>
    <w:rsid w:val="004039E7"/>
    <w:rsid w:val="00412E38"/>
    <w:rsid w:val="004149C5"/>
    <w:rsid w:val="00417D01"/>
    <w:rsid w:val="004201FB"/>
    <w:rsid w:val="0042021B"/>
    <w:rsid w:val="00423045"/>
    <w:rsid w:val="004230B4"/>
    <w:rsid w:val="0042754A"/>
    <w:rsid w:val="00427D68"/>
    <w:rsid w:val="00430040"/>
    <w:rsid w:val="004306AD"/>
    <w:rsid w:val="00431E35"/>
    <w:rsid w:val="00432A9E"/>
    <w:rsid w:val="00433CE1"/>
    <w:rsid w:val="004348CF"/>
    <w:rsid w:val="00440921"/>
    <w:rsid w:val="00442735"/>
    <w:rsid w:val="004437BB"/>
    <w:rsid w:val="0044481C"/>
    <w:rsid w:val="00444B91"/>
    <w:rsid w:val="004464DE"/>
    <w:rsid w:val="0044702C"/>
    <w:rsid w:val="00450452"/>
    <w:rsid w:val="004534BA"/>
    <w:rsid w:val="0045441D"/>
    <w:rsid w:val="00455EF9"/>
    <w:rsid w:val="00462B00"/>
    <w:rsid w:val="004632DA"/>
    <w:rsid w:val="00466F0A"/>
    <w:rsid w:val="0046746C"/>
    <w:rsid w:val="00472355"/>
    <w:rsid w:val="00473533"/>
    <w:rsid w:val="0047770E"/>
    <w:rsid w:val="0048094E"/>
    <w:rsid w:val="004809E2"/>
    <w:rsid w:val="00481ACE"/>
    <w:rsid w:val="0048294D"/>
    <w:rsid w:val="00494431"/>
    <w:rsid w:val="0049464E"/>
    <w:rsid w:val="00496C60"/>
    <w:rsid w:val="004A1171"/>
    <w:rsid w:val="004A69DF"/>
    <w:rsid w:val="004B1129"/>
    <w:rsid w:val="004B11A9"/>
    <w:rsid w:val="004B73BD"/>
    <w:rsid w:val="004C5706"/>
    <w:rsid w:val="004D00A1"/>
    <w:rsid w:val="004D3163"/>
    <w:rsid w:val="004E2BA5"/>
    <w:rsid w:val="004E3A54"/>
    <w:rsid w:val="004E5CB6"/>
    <w:rsid w:val="004E6739"/>
    <w:rsid w:val="004F20A4"/>
    <w:rsid w:val="004F36CE"/>
    <w:rsid w:val="004F7D93"/>
    <w:rsid w:val="00501E4B"/>
    <w:rsid w:val="00502DDC"/>
    <w:rsid w:val="00503BC8"/>
    <w:rsid w:val="00510C72"/>
    <w:rsid w:val="00510D11"/>
    <w:rsid w:val="0051609F"/>
    <w:rsid w:val="005174E7"/>
    <w:rsid w:val="0052133E"/>
    <w:rsid w:val="00525CB6"/>
    <w:rsid w:val="005267E4"/>
    <w:rsid w:val="0053144E"/>
    <w:rsid w:val="00536343"/>
    <w:rsid w:val="005371DD"/>
    <w:rsid w:val="005429B1"/>
    <w:rsid w:val="0054317E"/>
    <w:rsid w:val="0054578C"/>
    <w:rsid w:val="00546632"/>
    <w:rsid w:val="00552021"/>
    <w:rsid w:val="005571D3"/>
    <w:rsid w:val="0056342E"/>
    <w:rsid w:val="00563F77"/>
    <w:rsid w:val="00571E06"/>
    <w:rsid w:val="00574845"/>
    <w:rsid w:val="005766A5"/>
    <w:rsid w:val="005814AC"/>
    <w:rsid w:val="00581DAE"/>
    <w:rsid w:val="00582069"/>
    <w:rsid w:val="0058326B"/>
    <w:rsid w:val="005900C6"/>
    <w:rsid w:val="005902BE"/>
    <w:rsid w:val="00595B5F"/>
    <w:rsid w:val="005A0FAF"/>
    <w:rsid w:val="005A62C6"/>
    <w:rsid w:val="005A6334"/>
    <w:rsid w:val="005B0BC4"/>
    <w:rsid w:val="005B3B84"/>
    <w:rsid w:val="005B53A8"/>
    <w:rsid w:val="005B722A"/>
    <w:rsid w:val="005B7448"/>
    <w:rsid w:val="005C0E6A"/>
    <w:rsid w:val="005C2446"/>
    <w:rsid w:val="005C4B6B"/>
    <w:rsid w:val="005C6C1D"/>
    <w:rsid w:val="005D07D6"/>
    <w:rsid w:val="005D0CFB"/>
    <w:rsid w:val="005D0E96"/>
    <w:rsid w:val="005D2BBD"/>
    <w:rsid w:val="005D3779"/>
    <w:rsid w:val="005E057D"/>
    <w:rsid w:val="005E342E"/>
    <w:rsid w:val="005E4386"/>
    <w:rsid w:val="005E5EFA"/>
    <w:rsid w:val="005E6FB4"/>
    <w:rsid w:val="005E7136"/>
    <w:rsid w:val="005F3270"/>
    <w:rsid w:val="005F4ED8"/>
    <w:rsid w:val="005F55D4"/>
    <w:rsid w:val="005F596F"/>
    <w:rsid w:val="00601918"/>
    <w:rsid w:val="00603801"/>
    <w:rsid w:val="006061DD"/>
    <w:rsid w:val="00607637"/>
    <w:rsid w:val="00607E40"/>
    <w:rsid w:val="00615F5C"/>
    <w:rsid w:val="006173E7"/>
    <w:rsid w:val="00617482"/>
    <w:rsid w:val="006227F5"/>
    <w:rsid w:val="0062288C"/>
    <w:rsid w:val="00624025"/>
    <w:rsid w:val="006316D6"/>
    <w:rsid w:val="006354A8"/>
    <w:rsid w:val="00635CAD"/>
    <w:rsid w:val="00640A32"/>
    <w:rsid w:val="0064235D"/>
    <w:rsid w:val="00642C96"/>
    <w:rsid w:val="00642CDA"/>
    <w:rsid w:val="0064497A"/>
    <w:rsid w:val="00647A06"/>
    <w:rsid w:val="006523CF"/>
    <w:rsid w:val="00653912"/>
    <w:rsid w:val="00655767"/>
    <w:rsid w:val="00656D3F"/>
    <w:rsid w:val="00657043"/>
    <w:rsid w:val="006614D5"/>
    <w:rsid w:val="00661987"/>
    <w:rsid w:val="0066450D"/>
    <w:rsid w:val="00665771"/>
    <w:rsid w:val="006673EF"/>
    <w:rsid w:val="00667D62"/>
    <w:rsid w:val="00670396"/>
    <w:rsid w:val="00671198"/>
    <w:rsid w:val="00680C4B"/>
    <w:rsid w:val="00681845"/>
    <w:rsid w:val="00682013"/>
    <w:rsid w:val="00683A37"/>
    <w:rsid w:val="00690111"/>
    <w:rsid w:val="006939FD"/>
    <w:rsid w:val="006979D0"/>
    <w:rsid w:val="006A1346"/>
    <w:rsid w:val="006A2AE2"/>
    <w:rsid w:val="006A2C27"/>
    <w:rsid w:val="006A4D6F"/>
    <w:rsid w:val="006B1437"/>
    <w:rsid w:val="006B1962"/>
    <w:rsid w:val="006B2687"/>
    <w:rsid w:val="006B6BCD"/>
    <w:rsid w:val="006C37B3"/>
    <w:rsid w:val="006C383D"/>
    <w:rsid w:val="006C49FC"/>
    <w:rsid w:val="006C5952"/>
    <w:rsid w:val="006D4DE4"/>
    <w:rsid w:val="006D5020"/>
    <w:rsid w:val="006D57C1"/>
    <w:rsid w:val="006D59A8"/>
    <w:rsid w:val="006D71C9"/>
    <w:rsid w:val="006D7F58"/>
    <w:rsid w:val="006E02A7"/>
    <w:rsid w:val="006E1420"/>
    <w:rsid w:val="006E1A31"/>
    <w:rsid w:val="006E4308"/>
    <w:rsid w:val="006E4F24"/>
    <w:rsid w:val="006E6103"/>
    <w:rsid w:val="006E7B59"/>
    <w:rsid w:val="006F0EAA"/>
    <w:rsid w:val="006F4786"/>
    <w:rsid w:val="006F7DB2"/>
    <w:rsid w:val="00705243"/>
    <w:rsid w:val="00706D0F"/>
    <w:rsid w:val="00707BAB"/>
    <w:rsid w:val="007150A6"/>
    <w:rsid w:val="00721758"/>
    <w:rsid w:val="0072556E"/>
    <w:rsid w:val="00726F5C"/>
    <w:rsid w:val="00727911"/>
    <w:rsid w:val="007303D9"/>
    <w:rsid w:val="00731684"/>
    <w:rsid w:val="007335A3"/>
    <w:rsid w:val="00735747"/>
    <w:rsid w:val="00735B33"/>
    <w:rsid w:val="00736E39"/>
    <w:rsid w:val="00742864"/>
    <w:rsid w:val="00742F9D"/>
    <w:rsid w:val="0075136B"/>
    <w:rsid w:val="007515C0"/>
    <w:rsid w:val="007518F6"/>
    <w:rsid w:val="007522E3"/>
    <w:rsid w:val="00752CC4"/>
    <w:rsid w:val="00752DB6"/>
    <w:rsid w:val="00752EAD"/>
    <w:rsid w:val="007531A5"/>
    <w:rsid w:val="007551D0"/>
    <w:rsid w:val="007629DA"/>
    <w:rsid w:val="007664C7"/>
    <w:rsid w:val="00767399"/>
    <w:rsid w:val="00767929"/>
    <w:rsid w:val="007753B8"/>
    <w:rsid w:val="007757EE"/>
    <w:rsid w:val="00776365"/>
    <w:rsid w:val="0077787F"/>
    <w:rsid w:val="00783901"/>
    <w:rsid w:val="0078393E"/>
    <w:rsid w:val="007908EA"/>
    <w:rsid w:val="00795745"/>
    <w:rsid w:val="007960DD"/>
    <w:rsid w:val="00797088"/>
    <w:rsid w:val="007A0A77"/>
    <w:rsid w:val="007A0E26"/>
    <w:rsid w:val="007A1B35"/>
    <w:rsid w:val="007A3A67"/>
    <w:rsid w:val="007A5860"/>
    <w:rsid w:val="007A6119"/>
    <w:rsid w:val="007A7774"/>
    <w:rsid w:val="007B21E6"/>
    <w:rsid w:val="007B3A1C"/>
    <w:rsid w:val="007B42DA"/>
    <w:rsid w:val="007B5EB8"/>
    <w:rsid w:val="007C16F3"/>
    <w:rsid w:val="007C355A"/>
    <w:rsid w:val="007C61AD"/>
    <w:rsid w:val="007C7EEF"/>
    <w:rsid w:val="007D211E"/>
    <w:rsid w:val="007D595D"/>
    <w:rsid w:val="007D7940"/>
    <w:rsid w:val="007E15F2"/>
    <w:rsid w:val="007E4145"/>
    <w:rsid w:val="007E6D2D"/>
    <w:rsid w:val="007E7714"/>
    <w:rsid w:val="007F1C47"/>
    <w:rsid w:val="007F4987"/>
    <w:rsid w:val="007F5CF5"/>
    <w:rsid w:val="008029CB"/>
    <w:rsid w:val="008032D1"/>
    <w:rsid w:val="00810C60"/>
    <w:rsid w:val="008115F0"/>
    <w:rsid w:val="00811BCB"/>
    <w:rsid w:val="00813A1F"/>
    <w:rsid w:val="00817E6F"/>
    <w:rsid w:val="008224E0"/>
    <w:rsid w:val="00826FDC"/>
    <w:rsid w:val="00831CC5"/>
    <w:rsid w:val="00832FF5"/>
    <w:rsid w:val="008337DD"/>
    <w:rsid w:val="00835680"/>
    <w:rsid w:val="00836DF9"/>
    <w:rsid w:val="008400AB"/>
    <w:rsid w:val="00841D02"/>
    <w:rsid w:val="00842E08"/>
    <w:rsid w:val="00843368"/>
    <w:rsid w:val="00843F90"/>
    <w:rsid w:val="0084701F"/>
    <w:rsid w:val="008506F3"/>
    <w:rsid w:val="00852319"/>
    <w:rsid w:val="008524DE"/>
    <w:rsid w:val="00853906"/>
    <w:rsid w:val="00855C6F"/>
    <w:rsid w:val="00864038"/>
    <w:rsid w:val="00866FA6"/>
    <w:rsid w:val="00872DEC"/>
    <w:rsid w:val="00872E0D"/>
    <w:rsid w:val="008759E2"/>
    <w:rsid w:val="0088301E"/>
    <w:rsid w:val="00883637"/>
    <w:rsid w:val="00883B61"/>
    <w:rsid w:val="0088643A"/>
    <w:rsid w:val="00886DD8"/>
    <w:rsid w:val="00891B8B"/>
    <w:rsid w:val="00893D37"/>
    <w:rsid w:val="00897116"/>
    <w:rsid w:val="008A2A7B"/>
    <w:rsid w:val="008A4099"/>
    <w:rsid w:val="008A43B2"/>
    <w:rsid w:val="008A5042"/>
    <w:rsid w:val="008A6F31"/>
    <w:rsid w:val="008A7D6F"/>
    <w:rsid w:val="008B0831"/>
    <w:rsid w:val="008B2724"/>
    <w:rsid w:val="008B2B4A"/>
    <w:rsid w:val="008B51C2"/>
    <w:rsid w:val="008B7F36"/>
    <w:rsid w:val="008C0580"/>
    <w:rsid w:val="008C2B22"/>
    <w:rsid w:val="008D57F6"/>
    <w:rsid w:val="008D6444"/>
    <w:rsid w:val="008D6BC1"/>
    <w:rsid w:val="008D76F5"/>
    <w:rsid w:val="008D77D3"/>
    <w:rsid w:val="008E019B"/>
    <w:rsid w:val="008E112C"/>
    <w:rsid w:val="008E1256"/>
    <w:rsid w:val="008E1BFE"/>
    <w:rsid w:val="008E283F"/>
    <w:rsid w:val="008E4BC6"/>
    <w:rsid w:val="008E7448"/>
    <w:rsid w:val="008F61BF"/>
    <w:rsid w:val="0090162D"/>
    <w:rsid w:val="00902CAC"/>
    <w:rsid w:val="00902F50"/>
    <w:rsid w:val="00904C83"/>
    <w:rsid w:val="0090565A"/>
    <w:rsid w:val="009073D5"/>
    <w:rsid w:val="009077AE"/>
    <w:rsid w:val="00912152"/>
    <w:rsid w:val="00914208"/>
    <w:rsid w:val="00920C6A"/>
    <w:rsid w:val="009238E3"/>
    <w:rsid w:val="00926071"/>
    <w:rsid w:val="009339C2"/>
    <w:rsid w:val="0093548D"/>
    <w:rsid w:val="00936078"/>
    <w:rsid w:val="0093645B"/>
    <w:rsid w:val="0093681D"/>
    <w:rsid w:val="00937EFF"/>
    <w:rsid w:val="00952945"/>
    <w:rsid w:val="00956186"/>
    <w:rsid w:val="00956229"/>
    <w:rsid w:val="00960861"/>
    <w:rsid w:val="00960D42"/>
    <w:rsid w:val="009637FC"/>
    <w:rsid w:val="009642C2"/>
    <w:rsid w:val="009654D3"/>
    <w:rsid w:val="00966C7C"/>
    <w:rsid w:val="009727E8"/>
    <w:rsid w:val="009734E3"/>
    <w:rsid w:val="00973BBA"/>
    <w:rsid w:val="00973D43"/>
    <w:rsid w:val="00976695"/>
    <w:rsid w:val="0098572B"/>
    <w:rsid w:val="00990A62"/>
    <w:rsid w:val="009911CF"/>
    <w:rsid w:val="00991226"/>
    <w:rsid w:val="00996551"/>
    <w:rsid w:val="009A1DAC"/>
    <w:rsid w:val="009A6280"/>
    <w:rsid w:val="009B01BF"/>
    <w:rsid w:val="009B0816"/>
    <w:rsid w:val="009B1968"/>
    <w:rsid w:val="009B1AF4"/>
    <w:rsid w:val="009B304A"/>
    <w:rsid w:val="009C187B"/>
    <w:rsid w:val="009C3A17"/>
    <w:rsid w:val="009C4C52"/>
    <w:rsid w:val="009C542A"/>
    <w:rsid w:val="009C57C7"/>
    <w:rsid w:val="009C62DB"/>
    <w:rsid w:val="009C6D5F"/>
    <w:rsid w:val="009C7E02"/>
    <w:rsid w:val="009D0F17"/>
    <w:rsid w:val="009D26E6"/>
    <w:rsid w:val="009D2F97"/>
    <w:rsid w:val="009D7B9A"/>
    <w:rsid w:val="009E3346"/>
    <w:rsid w:val="009E6128"/>
    <w:rsid w:val="009E7129"/>
    <w:rsid w:val="009F4E71"/>
    <w:rsid w:val="009F55E7"/>
    <w:rsid w:val="009F6965"/>
    <w:rsid w:val="00A012B8"/>
    <w:rsid w:val="00A04AB3"/>
    <w:rsid w:val="00A0538B"/>
    <w:rsid w:val="00A061DD"/>
    <w:rsid w:val="00A06384"/>
    <w:rsid w:val="00A06A71"/>
    <w:rsid w:val="00A1654E"/>
    <w:rsid w:val="00A1679F"/>
    <w:rsid w:val="00A21D14"/>
    <w:rsid w:val="00A234C2"/>
    <w:rsid w:val="00A23EEC"/>
    <w:rsid w:val="00A24CE7"/>
    <w:rsid w:val="00A26162"/>
    <w:rsid w:val="00A269E9"/>
    <w:rsid w:val="00A3099A"/>
    <w:rsid w:val="00A36947"/>
    <w:rsid w:val="00A407D9"/>
    <w:rsid w:val="00A41210"/>
    <w:rsid w:val="00A443F3"/>
    <w:rsid w:val="00A4497F"/>
    <w:rsid w:val="00A50AF5"/>
    <w:rsid w:val="00A5426B"/>
    <w:rsid w:val="00A5571D"/>
    <w:rsid w:val="00A566C9"/>
    <w:rsid w:val="00A651C1"/>
    <w:rsid w:val="00A70F2A"/>
    <w:rsid w:val="00A7241E"/>
    <w:rsid w:val="00A733C2"/>
    <w:rsid w:val="00A80828"/>
    <w:rsid w:val="00A82C17"/>
    <w:rsid w:val="00A85797"/>
    <w:rsid w:val="00A95B23"/>
    <w:rsid w:val="00A95DB5"/>
    <w:rsid w:val="00AA25A9"/>
    <w:rsid w:val="00AA2C92"/>
    <w:rsid w:val="00AA314E"/>
    <w:rsid w:val="00AA3FB7"/>
    <w:rsid w:val="00AA415B"/>
    <w:rsid w:val="00AA4C29"/>
    <w:rsid w:val="00AA519A"/>
    <w:rsid w:val="00AA5D60"/>
    <w:rsid w:val="00AB2289"/>
    <w:rsid w:val="00AB25E5"/>
    <w:rsid w:val="00AB5C42"/>
    <w:rsid w:val="00AC0157"/>
    <w:rsid w:val="00AC06DA"/>
    <w:rsid w:val="00AC16AF"/>
    <w:rsid w:val="00AC251A"/>
    <w:rsid w:val="00AC2B81"/>
    <w:rsid w:val="00AC4CD6"/>
    <w:rsid w:val="00AC6257"/>
    <w:rsid w:val="00AC6C5C"/>
    <w:rsid w:val="00AC6C91"/>
    <w:rsid w:val="00AC6F41"/>
    <w:rsid w:val="00AD2B48"/>
    <w:rsid w:val="00AD34DB"/>
    <w:rsid w:val="00AD556D"/>
    <w:rsid w:val="00AD613B"/>
    <w:rsid w:val="00AD6E10"/>
    <w:rsid w:val="00AE1CF0"/>
    <w:rsid w:val="00AE2299"/>
    <w:rsid w:val="00AE3A23"/>
    <w:rsid w:val="00AF0619"/>
    <w:rsid w:val="00AF259C"/>
    <w:rsid w:val="00AF2911"/>
    <w:rsid w:val="00AF3903"/>
    <w:rsid w:val="00AF3DB1"/>
    <w:rsid w:val="00B032AC"/>
    <w:rsid w:val="00B03302"/>
    <w:rsid w:val="00B064A7"/>
    <w:rsid w:val="00B07DC4"/>
    <w:rsid w:val="00B120A5"/>
    <w:rsid w:val="00B1235A"/>
    <w:rsid w:val="00B143A9"/>
    <w:rsid w:val="00B2033C"/>
    <w:rsid w:val="00B24A19"/>
    <w:rsid w:val="00B25666"/>
    <w:rsid w:val="00B30C41"/>
    <w:rsid w:val="00B3125C"/>
    <w:rsid w:val="00B31B68"/>
    <w:rsid w:val="00B406D0"/>
    <w:rsid w:val="00B40834"/>
    <w:rsid w:val="00B431D1"/>
    <w:rsid w:val="00B4444E"/>
    <w:rsid w:val="00B46686"/>
    <w:rsid w:val="00B5071F"/>
    <w:rsid w:val="00B54D73"/>
    <w:rsid w:val="00B573BB"/>
    <w:rsid w:val="00B605AF"/>
    <w:rsid w:val="00B71216"/>
    <w:rsid w:val="00B75BFA"/>
    <w:rsid w:val="00B768E1"/>
    <w:rsid w:val="00B90237"/>
    <w:rsid w:val="00B907E9"/>
    <w:rsid w:val="00B918B8"/>
    <w:rsid w:val="00B92F40"/>
    <w:rsid w:val="00B939F6"/>
    <w:rsid w:val="00B9507E"/>
    <w:rsid w:val="00B95E18"/>
    <w:rsid w:val="00B96806"/>
    <w:rsid w:val="00B96EB7"/>
    <w:rsid w:val="00B971E6"/>
    <w:rsid w:val="00B9722D"/>
    <w:rsid w:val="00B97920"/>
    <w:rsid w:val="00BA0444"/>
    <w:rsid w:val="00BA091F"/>
    <w:rsid w:val="00BA1FF8"/>
    <w:rsid w:val="00BA31E3"/>
    <w:rsid w:val="00BA75F8"/>
    <w:rsid w:val="00BB2780"/>
    <w:rsid w:val="00BB630E"/>
    <w:rsid w:val="00BB6410"/>
    <w:rsid w:val="00BB7C0B"/>
    <w:rsid w:val="00BC076C"/>
    <w:rsid w:val="00BC4EB2"/>
    <w:rsid w:val="00BC5637"/>
    <w:rsid w:val="00BC6D45"/>
    <w:rsid w:val="00BC751B"/>
    <w:rsid w:val="00BD0622"/>
    <w:rsid w:val="00BD1574"/>
    <w:rsid w:val="00BD167D"/>
    <w:rsid w:val="00BD2DC1"/>
    <w:rsid w:val="00BD429A"/>
    <w:rsid w:val="00BD5F69"/>
    <w:rsid w:val="00BD74CC"/>
    <w:rsid w:val="00BE0B26"/>
    <w:rsid w:val="00BE1228"/>
    <w:rsid w:val="00BE1F50"/>
    <w:rsid w:val="00BE64C1"/>
    <w:rsid w:val="00BE6C43"/>
    <w:rsid w:val="00BF09C5"/>
    <w:rsid w:val="00BF2519"/>
    <w:rsid w:val="00BF46F2"/>
    <w:rsid w:val="00BF773B"/>
    <w:rsid w:val="00C000AB"/>
    <w:rsid w:val="00C05F4C"/>
    <w:rsid w:val="00C112F4"/>
    <w:rsid w:val="00C12C40"/>
    <w:rsid w:val="00C150D9"/>
    <w:rsid w:val="00C168D7"/>
    <w:rsid w:val="00C2048B"/>
    <w:rsid w:val="00C23F83"/>
    <w:rsid w:val="00C2400B"/>
    <w:rsid w:val="00C26EFC"/>
    <w:rsid w:val="00C30651"/>
    <w:rsid w:val="00C33DBE"/>
    <w:rsid w:val="00C3528B"/>
    <w:rsid w:val="00C3706B"/>
    <w:rsid w:val="00C44762"/>
    <w:rsid w:val="00C451C0"/>
    <w:rsid w:val="00C452C9"/>
    <w:rsid w:val="00C46FDF"/>
    <w:rsid w:val="00C478C8"/>
    <w:rsid w:val="00C50D53"/>
    <w:rsid w:val="00C51D26"/>
    <w:rsid w:val="00C53711"/>
    <w:rsid w:val="00C570BF"/>
    <w:rsid w:val="00C61567"/>
    <w:rsid w:val="00C61FC2"/>
    <w:rsid w:val="00C62FD4"/>
    <w:rsid w:val="00C654FB"/>
    <w:rsid w:val="00C658CE"/>
    <w:rsid w:val="00C66AA2"/>
    <w:rsid w:val="00C66B18"/>
    <w:rsid w:val="00C714FB"/>
    <w:rsid w:val="00C73350"/>
    <w:rsid w:val="00C74963"/>
    <w:rsid w:val="00C764D5"/>
    <w:rsid w:val="00C77C26"/>
    <w:rsid w:val="00C77D31"/>
    <w:rsid w:val="00C82441"/>
    <w:rsid w:val="00C843DA"/>
    <w:rsid w:val="00C854CD"/>
    <w:rsid w:val="00C869AE"/>
    <w:rsid w:val="00C87E3A"/>
    <w:rsid w:val="00C9054B"/>
    <w:rsid w:val="00C90820"/>
    <w:rsid w:val="00C96286"/>
    <w:rsid w:val="00C976AE"/>
    <w:rsid w:val="00C97A18"/>
    <w:rsid w:val="00CA0E78"/>
    <w:rsid w:val="00CA163D"/>
    <w:rsid w:val="00CA42BA"/>
    <w:rsid w:val="00CB0CAB"/>
    <w:rsid w:val="00CB4713"/>
    <w:rsid w:val="00CB69CF"/>
    <w:rsid w:val="00CC17F0"/>
    <w:rsid w:val="00CC5537"/>
    <w:rsid w:val="00CC58B5"/>
    <w:rsid w:val="00CC5FAE"/>
    <w:rsid w:val="00CC7EE9"/>
    <w:rsid w:val="00CD034B"/>
    <w:rsid w:val="00CD2ADB"/>
    <w:rsid w:val="00CD367E"/>
    <w:rsid w:val="00CD3BE3"/>
    <w:rsid w:val="00CD45A0"/>
    <w:rsid w:val="00CD505F"/>
    <w:rsid w:val="00CD6FCD"/>
    <w:rsid w:val="00CE2277"/>
    <w:rsid w:val="00CE3822"/>
    <w:rsid w:val="00CE4A3B"/>
    <w:rsid w:val="00CE523D"/>
    <w:rsid w:val="00CF15FE"/>
    <w:rsid w:val="00CF3086"/>
    <w:rsid w:val="00CF3140"/>
    <w:rsid w:val="00D028F2"/>
    <w:rsid w:val="00D170D2"/>
    <w:rsid w:val="00D24121"/>
    <w:rsid w:val="00D254A8"/>
    <w:rsid w:val="00D26258"/>
    <w:rsid w:val="00D32708"/>
    <w:rsid w:val="00D33F72"/>
    <w:rsid w:val="00D342D5"/>
    <w:rsid w:val="00D34C5F"/>
    <w:rsid w:val="00D428FC"/>
    <w:rsid w:val="00D42A64"/>
    <w:rsid w:val="00D45912"/>
    <w:rsid w:val="00D47CE9"/>
    <w:rsid w:val="00D50354"/>
    <w:rsid w:val="00D55F24"/>
    <w:rsid w:val="00D57389"/>
    <w:rsid w:val="00D65067"/>
    <w:rsid w:val="00D65599"/>
    <w:rsid w:val="00D65A38"/>
    <w:rsid w:val="00D665EC"/>
    <w:rsid w:val="00D70BEE"/>
    <w:rsid w:val="00D73B6F"/>
    <w:rsid w:val="00D8233E"/>
    <w:rsid w:val="00D83F3E"/>
    <w:rsid w:val="00D8428E"/>
    <w:rsid w:val="00D84C2B"/>
    <w:rsid w:val="00D87CC6"/>
    <w:rsid w:val="00D927C3"/>
    <w:rsid w:val="00D960EE"/>
    <w:rsid w:val="00DA06EE"/>
    <w:rsid w:val="00DA0E4B"/>
    <w:rsid w:val="00DA7A05"/>
    <w:rsid w:val="00DB3C58"/>
    <w:rsid w:val="00DC1342"/>
    <w:rsid w:val="00DC14B3"/>
    <w:rsid w:val="00DC2540"/>
    <w:rsid w:val="00DC391E"/>
    <w:rsid w:val="00DC4EA0"/>
    <w:rsid w:val="00DC7B75"/>
    <w:rsid w:val="00DC7BEF"/>
    <w:rsid w:val="00DD0B40"/>
    <w:rsid w:val="00DD2847"/>
    <w:rsid w:val="00DD35C8"/>
    <w:rsid w:val="00DD3B77"/>
    <w:rsid w:val="00DD52E1"/>
    <w:rsid w:val="00DD5FCD"/>
    <w:rsid w:val="00DE4A73"/>
    <w:rsid w:val="00DE4D0F"/>
    <w:rsid w:val="00DE57CF"/>
    <w:rsid w:val="00DE715C"/>
    <w:rsid w:val="00DE722A"/>
    <w:rsid w:val="00DF1296"/>
    <w:rsid w:val="00DF3E39"/>
    <w:rsid w:val="00DF62CF"/>
    <w:rsid w:val="00DF657E"/>
    <w:rsid w:val="00DF6B9B"/>
    <w:rsid w:val="00E062F6"/>
    <w:rsid w:val="00E10BFA"/>
    <w:rsid w:val="00E145AC"/>
    <w:rsid w:val="00E15137"/>
    <w:rsid w:val="00E15749"/>
    <w:rsid w:val="00E15CF8"/>
    <w:rsid w:val="00E20D51"/>
    <w:rsid w:val="00E219D2"/>
    <w:rsid w:val="00E24E16"/>
    <w:rsid w:val="00E263E8"/>
    <w:rsid w:val="00E26C38"/>
    <w:rsid w:val="00E26C45"/>
    <w:rsid w:val="00E26D16"/>
    <w:rsid w:val="00E27A12"/>
    <w:rsid w:val="00E31AF7"/>
    <w:rsid w:val="00E340FC"/>
    <w:rsid w:val="00E34811"/>
    <w:rsid w:val="00E34C44"/>
    <w:rsid w:val="00E3676D"/>
    <w:rsid w:val="00E36A5E"/>
    <w:rsid w:val="00E401E1"/>
    <w:rsid w:val="00E4615F"/>
    <w:rsid w:val="00E469BD"/>
    <w:rsid w:val="00E5002A"/>
    <w:rsid w:val="00E50BA1"/>
    <w:rsid w:val="00E53B64"/>
    <w:rsid w:val="00E53B65"/>
    <w:rsid w:val="00E54A46"/>
    <w:rsid w:val="00E613BD"/>
    <w:rsid w:val="00E61869"/>
    <w:rsid w:val="00E6289B"/>
    <w:rsid w:val="00E64B80"/>
    <w:rsid w:val="00E750F1"/>
    <w:rsid w:val="00E84ED5"/>
    <w:rsid w:val="00E874A8"/>
    <w:rsid w:val="00E9188D"/>
    <w:rsid w:val="00E91EA1"/>
    <w:rsid w:val="00E92A08"/>
    <w:rsid w:val="00E93C64"/>
    <w:rsid w:val="00E96517"/>
    <w:rsid w:val="00EA3AEE"/>
    <w:rsid w:val="00EA586C"/>
    <w:rsid w:val="00EA6D5E"/>
    <w:rsid w:val="00EB28D4"/>
    <w:rsid w:val="00EB426F"/>
    <w:rsid w:val="00EB5F76"/>
    <w:rsid w:val="00EB70D2"/>
    <w:rsid w:val="00EB7DCB"/>
    <w:rsid w:val="00EC00E7"/>
    <w:rsid w:val="00EC1329"/>
    <w:rsid w:val="00EC1C89"/>
    <w:rsid w:val="00EC2080"/>
    <w:rsid w:val="00ED3B35"/>
    <w:rsid w:val="00ED5599"/>
    <w:rsid w:val="00ED570B"/>
    <w:rsid w:val="00EE249B"/>
    <w:rsid w:val="00EE5DD9"/>
    <w:rsid w:val="00EF0604"/>
    <w:rsid w:val="00EF1A5F"/>
    <w:rsid w:val="00EF2B96"/>
    <w:rsid w:val="00EF4436"/>
    <w:rsid w:val="00EF76C7"/>
    <w:rsid w:val="00F01A1D"/>
    <w:rsid w:val="00F028CF"/>
    <w:rsid w:val="00F02A68"/>
    <w:rsid w:val="00F03D5F"/>
    <w:rsid w:val="00F0448F"/>
    <w:rsid w:val="00F05038"/>
    <w:rsid w:val="00F10D14"/>
    <w:rsid w:val="00F16237"/>
    <w:rsid w:val="00F169B1"/>
    <w:rsid w:val="00F20EC8"/>
    <w:rsid w:val="00F2139D"/>
    <w:rsid w:val="00F22236"/>
    <w:rsid w:val="00F25262"/>
    <w:rsid w:val="00F2596B"/>
    <w:rsid w:val="00F25C3B"/>
    <w:rsid w:val="00F304C8"/>
    <w:rsid w:val="00F3345F"/>
    <w:rsid w:val="00F35A6F"/>
    <w:rsid w:val="00F40CCF"/>
    <w:rsid w:val="00F42323"/>
    <w:rsid w:val="00F43867"/>
    <w:rsid w:val="00F46DCB"/>
    <w:rsid w:val="00F50649"/>
    <w:rsid w:val="00F5118B"/>
    <w:rsid w:val="00F53423"/>
    <w:rsid w:val="00F54A49"/>
    <w:rsid w:val="00F54B68"/>
    <w:rsid w:val="00F55C21"/>
    <w:rsid w:val="00F614D1"/>
    <w:rsid w:val="00F62105"/>
    <w:rsid w:val="00F6658E"/>
    <w:rsid w:val="00F73487"/>
    <w:rsid w:val="00F76E3E"/>
    <w:rsid w:val="00F846D0"/>
    <w:rsid w:val="00F863FD"/>
    <w:rsid w:val="00F92A27"/>
    <w:rsid w:val="00F9311F"/>
    <w:rsid w:val="00F9367F"/>
    <w:rsid w:val="00F953B9"/>
    <w:rsid w:val="00FA1A6D"/>
    <w:rsid w:val="00FA35A7"/>
    <w:rsid w:val="00FA3828"/>
    <w:rsid w:val="00FA64A3"/>
    <w:rsid w:val="00FB4241"/>
    <w:rsid w:val="00FB6918"/>
    <w:rsid w:val="00FB7871"/>
    <w:rsid w:val="00FC4D27"/>
    <w:rsid w:val="00FC73AB"/>
    <w:rsid w:val="00FD15A7"/>
    <w:rsid w:val="00FD2437"/>
    <w:rsid w:val="00FD2489"/>
    <w:rsid w:val="00FD6250"/>
    <w:rsid w:val="00FE480E"/>
    <w:rsid w:val="00FE48BB"/>
    <w:rsid w:val="00FE48BE"/>
    <w:rsid w:val="00FE4D09"/>
    <w:rsid w:val="00FE4D98"/>
    <w:rsid w:val="00FE6FAB"/>
    <w:rsid w:val="00FE7F98"/>
    <w:rsid w:val="00FF15AD"/>
    <w:rsid w:val="00FF3C88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3A0589"/>
  <w15:docId w15:val="{58CD5832-6B42-7542-A9C6-451924D1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A38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240"/>
      <w:outlineLvl w:val="0"/>
    </w:pPr>
    <w:rPr>
      <w:b/>
      <w:bCs/>
      <w:caps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  <w:ind w:firstLine="1440"/>
    </w:pPr>
  </w:style>
  <w:style w:type="paragraph" w:customStyle="1" w:styleId="LetterClosing">
    <w:name w:val="LetterClosing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  <w:szCs w:val="20"/>
    </w:rPr>
  </w:style>
  <w:style w:type="paragraph" w:customStyle="1" w:styleId="CommentText1">
    <w:name w:val="Comment Text1"/>
    <w:basedOn w:val="Normal"/>
    <w:rPr>
      <w:sz w:val="20"/>
      <w:szCs w:val="20"/>
    </w:rPr>
  </w:style>
  <w:style w:type="paragraph" w:styleId="BodyTextIndent">
    <w:name w:val="Body Text Indent"/>
    <w:basedOn w:val="Normal"/>
    <w:next w:val="BodyText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pPr>
      <w:spacing w:after="24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Quote">
    <w:name w:val="Quote"/>
    <w:basedOn w:val="Normal"/>
    <w:next w:val="BodyTextContinued"/>
    <w:qFormat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pPr>
      <w:spacing w:after="240"/>
      <w:jc w:val="center"/>
    </w:pPr>
    <w:rPr>
      <w:b/>
      <w:bCs/>
      <w:smallCaps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2"/>
      <w:szCs w:val="22"/>
    </w:rPr>
  </w:style>
  <w:style w:type="character" w:styleId="FootnoteReference">
    <w:name w:val="footnote reference"/>
    <w:semiHidden/>
    <w:rPr>
      <w:spacing w:val="0"/>
      <w:vertAlign w:val="superscript"/>
      <w:lang w:val="en-US"/>
    </w:rPr>
  </w:style>
  <w:style w:type="paragraph" w:styleId="FootnoteText">
    <w:name w:val="footnote text"/>
    <w:basedOn w:val="Normal"/>
    <w:semiHidden/>
    <w:pPr>
      <w:spacing w:before="120"/>
      <w:ind w:left="360" w:hanging="360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pPr>
      <w:ind w:left="720" w:right="720"/>
    </w:pPr>
  </w:style>
  <w:style w:type="paragraph" w:customStyle="1" w:styleId="PleadingSignature">
    <w:name w:val="Pleading Signature"/>
    <w:basedOn w:val="Normal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pPr>
      <w:spacing w:after="240"/>
      <w:ind w:left="2160" w:hanging="720"/>
    </w:pPr>
  </w:style>
  <w:style w:type="paragraph" w:customStyle="1" w:styleId="SDP">
    <w:name w:val="SDP"/>
    <w:basedOn w:val="Normal"/>
    <w:next w:val="Normal"/>
    <w:pPr>
      <w:spacing w:after="240"/>
    </w:pPr>
    <w:rPr>
      <w:b/>
      <w:bCs/>
      <w:u w:val="single"/>
    </w:rPr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pPr>
      <w:spacing w:after="240"/>
    </w:pPr>
    <w:rPr>
      <w:b/>
      <w:bCs/>
      <w:caps/>
    </w:rPr>
  </w:style>
  <w:style w:type="character" w:styleId="PageNumber">
    <w:name w:val="page number"/>
    <w:rPr>
      <w:spacing w:val="0"/>
      <w:lang w:val="en-US"/>
    </w:rPr>
  </w:style>
  <w:style w:type="paragraph" w:styleId="TOC1">
    <w:name w:val="toc 1"/>
    <w:basedOn w:val="Normal"/>
    <w:autoRedefine/>
    <w:semiHidden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autoRedefine/>
    <w:semiHidden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autoRedefine/>
    <w:semiHidden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autoRedefine/>
    <w:semiHidden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autoRedefine/>
    <w:semiHidden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autoRedefine/>
    <w:semiHidden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autoRedefine/>
    <w:semiHidden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autoRedefine/>
    <w:semiHidden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autoRedefine/>
    <w:semiHidden/>
    <w:pPr>
      <w:keepLines/>
      <w:widowControl w:val="0"/>
      <w:tabs>
        <w:tab w:val="right" w:leader="dot" w:pos="9360"/>
      </w:tabs>
      <w:ind w:left="6480" w:right="720" w:hanging="720"/>
    </w:pPr>
  </w:style>
  <w:style w:type="paragraph" w:customStyle="1" w:styleId="BodyTextLeft">
    <w:name w:val="Body Text Left"/>
    <w:basedOn w:val="BodyText"/>
    <w:pPr>
      <w:ind w:firstLine="0"/>
    </w:pPr>
  </w:style>
  <w:style w:type="paragraph" w:customStyle="1" w:styleId="Style1">
    <w:name w:val="Style 1"/>
    <w:basedOn w:val="Normal"/>
    <w:pPr>
      <w:widowControl w:val="0"/>
      <w:jc w:val="both"/>
    </w:pPr>
  </w:style>
  <w:style w:type="paragraph" w:styleId="BodyText2">
    <w:name w:val="Body Text 2"/>
    <w:basedOn w:val="Normal"/>
    <w:rPr>
      <w:i/>
      <w:iCs/>
      <w:smallCaps/>
    </w:rPr>
  </w:style>
  <w:style w:type="paragraph" w:styleId="BodyTextIndent2">
    <w:name w:val="Body Text Indent 2"/>
    <w:basedOn w:val="Normal"/>
    <w:pPr>
      <w:widowControl w:val="0"/>
      <w:tabs>
        <w:tab w:val="left" w:pos="5004"/>
      </w:tabs>
      <w:ind w:left="4968" w:hanging="4968"/>
    </w:pPr>
    <w:rPr>
      <w:sz w:val="22"/>
      <w:szCs w:val="22"/>
    </w:rPr>
  </w:style>
  <w:style w:type="character" w:customStyle="1" w:styleId="DeltaViewInsertion">
    <w:name w:val="DeltaView Insertion"/>
    <w:rPr>
      <w:b/>
      <w:bCs/>
      <w:color w:val="0000FF"/>
      <w:spacing w:val="0"/>
      <w:u w:val="double"/>
    </w:rPr>
  </w:style>
  <w:style w:type="paragraph" w:customStyle="1" w:styleId="DeltaViewTableBody">
    <w:name w:val="DeltaView Table Body"/>
    <w:basedOn w:val="Normal"/>
    <w:rPr>
      <w:rFonts w:ascii="Arial" w:hAnsi="Arial" w:cs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240"/>
      <w:jc w:val="both"/>
    </w:pPr>
    <w:rPr>
      <w:color w:val="000000"/>
      <w:sz w:val="22"/>
      <w:szCs w:val="22"/>
    </w:rPr>
  </w:style>
  <w:style w:type="character" w:styleId="CommentReference">
    <w:name w:val="annotation reference"/>
    <w:semiHidden/>
    <w:rPr>
      <w:spacing w:val="0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rsid w:val="00C05F4C"/>
    <w:rPr>
      <w:sz w:val="22"/>
      <w:szCs w:val="22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Objetducommentaire">
    <w:name w:val="Objet du commentaire"/>
    <w:basedOn w:val="CommentText"/>
    <w:next w:val="CommentText"/>
    <w:rPr>
      <w:b/>
      <w:bCs/>
    </w:rPr>
  </w:style>
  <w:style w:type="paragraph" w:customStyle="1" w:styleId="Textedebulles">
    <w:name w:val="Texte de bulles"/>
    <w:basedOn w:val="Normal"/>
    <w:rPr>
      <w:rFonts w:ascii="Tahoma" w:hAnsi="Tahoma" w:cs="Tahoma"/>
      <w:sz w:val="16"/>
      <w:szCs w:val="16"/>
    </w:rPr>
  </w:style>
  <w:style w:type="paragraph" w:customStyle="1" w:styleId="DeltaViewTableHeading">
    <w:name w:val="DeltaView Table Heading"/>
    <w:basedOn w:val="Normal"/>
    <w:pPr>
      <w:spacing w:after="120"/>
    </w:pPr>
    <w:rPr>
      <w:rFonts w:ascii="Arial" w:hAnsi="Arial" w:cs="Arial"/>
      <w:b/>
      <w:bCs/>
    </w:rPr>
  </w:style>
  <w:style w:type="paragraph" w:customStyle="1" w:styleId="DeltaViewAnnounce">
    <w:name w:val="DeltaView Announce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val="en-GB"/>
    </w:rPr>
  </w:style>
  <w:style w:type="character" w:customStyle="1" w:styleId="DeltaViewDeletion">
    <w:name w:val="DeltaView Deletion"/>
    <w:rPr>
      <w:strike/>
      <w:color w:val="FF0000"/>
      <w:spacing w:val="0"/>
    </w:rPr>
  </w:style>
  <w:style w:type="character" w:customStyle="1" w:styleId="DeltaViewMoveSource">
    <w:name w:val="DeltaView Move Source"/>
    <w:rPr>
      <w:strike/>
      <w:color w:val="00C000"/>
      <w:spacing w:val="0"/>
    </w:rPr>
  </w:style>
  <w:style w:type="character" w:customStyle="1" w:styleId="DeltaViewMoveDestination">
    <w:name w:val="DeltaView Move Destination"/>
    <w:rPr>
      <w:b/>
      <w:bCs/>
      <w:color w:val="00C000"/>
      <w:spacing w:val="0"/>
      <w:u w:val="double"/>
    </w:rPr>
  </w:style>
  <w:style w:type="character" w:customStyle="1" w:styleId="DeltaViewChangeNumber">
    <w:name w:val="DeltaView Change Number"/>
    <w:rPr>
      <w:color w:val="000000"/>
      <w:spacing w:val="0"/>
      <w:vertAlign w:val="superscript"/>
    </w:rPr>
  </w:style>
  <w:style w:type="character" w:customStyle="1" w:styleId="DeltaViewDelimiter">
    <w:name w:val="DeltaView Delimiter"/>
    <w:rPr>
      <w:spacing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DeltaViewFormatChange">
    <w:name w:val="DeltaView Format Change"/>
    <w:rPr>
      <w:color w:val="000000"/>
      <w:spacing w:val="0"/>
    </w:rPr>
  </w:style>
  <w:style w:type="character" w:customStyle="1" w:styleId="DeltaViewMovedDeletion">
    <w:name w:val="DeltaView Moved Deletion"/>
    <w:rPr>
      <w:strike/>
      <w:color w:val="C08080"/>
      <w:spacing w:val="0"/>
    </w:rPr>
  </w:style>
  <w:style w:type="character" w:customStyle="1" w:styleId="DeltaViewEditorComment">
    <w:name w:val="DeltaView Editor Comment"/>
    <w:rPr>
      <w:color w:val="0000FF"/>
      <w:spacing w:val="0"/>
      <w:u w:val="double"/>
    </w:rPr>
  </w:style>
  <w:style w:type="character" w:customStyle="1" w:styleId="DeltaViewStyleChangeText">
    <w:name w:val="DeltaView Style Change Text"/>
    <w:rPr>
      <w:color w:val="000000"/>
      <w:spacing w:val="0"/>
      <w:u w:val="double"/>
    </w:rPr>
  </w:style>
  <w:style w:type="character" w:customStyle="1" w:styleId="DeltaViewStyleChangeLabel">
    <w:name w:val="DeltaView Style Change Label"/>
    <w:rPr>
      <w:color w:val="000000"/>
      <w:spacing w:val="0"/>
    </w:rPr>
  </w:style>
  <w:style w:type="paragraph" w:styleId="NormalWeb">
    <w:name w:val="Normal (Web)"/>
    <w:basedOn w:val="Normal"/>
    <w:uiPriority w:val="99"/>
    <w:unhideWhenUsed/>
    <w:rsid w:val="00690111"/>
    <w:pPr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uiPriority w:val="20"/>
    <w:qFormat/>
    <w:rsid w:val="00690111"/>
    <w:rPr>
      <w:i/>
      <w:iCs/>
    </w:rPr>
  </w:style>
  <w:style w:type="paragraph" w:styleId="Revision">
    <w:name w:val="Revision"/>
    <w:hidden/>
    <w:uiPriority w:val="71"/>
    <w:semiHidden/>
    <w:rsid w:val="00F10D14"/>
    <w:rPr>
      <w:sz w:val="24"/>
      <w:szCs w:val="24"/>
    </w:rPr>
  </w:style>
  <w:style w:type="table" w:styleId="TableGrid">
    <w:name w:val="Table Grid"/>
    <w:basedOn w:val="TableNormal"/>
    <w:rsid w:val="00152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CC4"/>
    <w:rPr>
      <w:b/>
      <w:bCs/>
      <w:caps/>
      <w:sz w:val="24"/>
      <w:szCs w:val="24"/>
    </w:rPr>
  </w:style>
  <w:style w:type="paragraph" w:customStyle="1" w:styleId="MacPacTrailer">
    <w:name w:val="MacPac Trailer"/>
    <w:rsid w:val="0090565A"/>
    <w:pPr>
      <w:widowControl w:val="0"/>
      <w:spacing w:line="200" w:lineRule="exact"/>
    </w:pPr>
    <w:rPr>
      <w:rFonts w:ascii="Arial" w:hAnsi="Arial"/>
      <w:sz w:val="14"/>
      <w:szCs w:val="22"/>
    </w:rPr>
  </w:style>
  <w:style w:type="character" w:styleId="PlaceholderText">
    <w:name w:val="Placeholder Text"/>
    <w:basedOn w:val="DefaultParagraphFont"/>
    <w:uiPriority w:val="67"/>
    <w:semiHidden/>
    <w:rsid w:val="00C05F4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E340FC"/>
    <w:pPr>
      <w:widowControl w:val="0"/>
      <w:adjustRightInd/>
      <w:ind w:left="50"/>
    </w:pPr>
    <w:rPr>
      <w:rFonts w:ascii="Calibri Light" w:eastAsia="Calibri Light" w:hAnsi="Calibri Light" w:cs="Calibri Ligh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Rattigan, Justin</dc:creator>
  <cp:lastModifiedBy>Justin Rattigan</cp:lastModifiedBy>
  <cp:revision>2</cp:revision>
  <cp:lastPrinted>1900-01-01T08:00:00Z</cp:lastPrinted>
  <dcterms:created xsi:type="dcterms:W3CDTF">2025-03-27T15:33:00Z</dcterms:created>
  <dcterms:modified xsi:type="dcterms:W3CDTF">2025-03-27T15:33:00Z</dcterms:modified>
</cp:coreProperties>
</file>