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nclusiones-del-análisis"/>
    <w:p>
      <w:pPr>
        <w:pStyle w:val="Heading1"/>
      </w:pPr>
      <w:r>
        <w:t xml:space="preserve">Tabla de contenido</w:t>
      </w:r>
    </w:p>
    <w:p>
      <w:pPr>
        <w:pStyle w:val="TOC2"/>
        <w:ind w:left="0"/>
      </w:pPr>
      <w:hyperlink w:anchor="resumen-ejecutivo" w:history="1">
        <w:r>
          <w:rPr>
            <w:rStyle w:val="Hyperlink"/>
          </w:rPr>
          <w:t xml:space="preserve">1. Resumen ejecutivo</w:t>
        </w:r>
      </w:hyperlink>
    </w:p>
    <w:p>
      <w:pPr>
        <w:pStyle w:val="TOC2"/>
        <w:ind w:left="0"/>
      </w:pPr>
      <w:hyperlink w:anchor="caracterización-de-la-muestra" w:history="1">
        <w:r>
          <w:rPr>
            <w:rStyle w:val="Hyperlink"/>
          </w:rPr>
          <w:t xml:space="preserve">2. Caracterización de la muestra</w:t>
        </w:r>
      </w:hyperlink>
    </w:p>
    <w:p>
      <w:pPr>
        <w:pStyle w:val="TOC3"/>
        <w:ind w:left="360"/>
      </w:pPr>
      <w:hyperlink w:anchor="tabla-1" w:history="1">
        <w:r>
          <w:rPr>
            <w:rStyle w:val="Hyperlink"/>
          </w:rPr>
          <w:t xml:space="preserve">Tabla 1</w:t>
        </w:r>
      </w:hyperlink>
    </w:p>
    <w:p>
      <w:pPr>
        <w:pStyle w:val="TOC2"/>
        <w:ind w:left="0"/>
      </w:pPr>
      <w:hyperlink w:anchor="consistencia-interna-alfa-de-cronbach" w:history="1">
        <w:r>
          <w:rPr>
            <w:rStyle w:val="Hyperlink"/>
          </w:rPr>
          <w:t xml:space="preserve">3. Consistencia interna — Alfa de Cronbach</w:t>
        </w:r>
      </w:hyperlink>
    </w:p>
    <w:p>
      <w:pPr>
        <w:pStyle w:val="TOC3"/>
        <w:ind w:left="360"/>
      </w:pPr>
      <w:hyperlink w:anchor="tabla-2" w:history="1">
        <w:r>
          <w:rPr>
            <w:rStyle w:val="Hyperlink"/>
          </w:rPr>
          <w:t xml:space="preserve">Tabla 2</w:t>
        </w:r>
      </w:hyperlink>
    </w:p>
    <w:p>
      <w:pPr>
        <w:pStyle w:val="TOC2"/>
        <w:ind w:left="0"/>
      </w:pPr>
      <w:hyperlink w:anchor="X468c0d4eaaa49e1e0e41bd3e8ab7d1181c18be3" w:history="1">
        <w:r>
          <w:rPr>
            <w:rStyle w:val="Hyperlink"/>
          </w:rPr>
          <w:t xml:space="preserve">4. Concordancia de patrones — Test de Friedman por nivel educativo</w:t>
        </w:r>
      </w:hyperlink>
    </w:p>
    <w:p>
      <w:pPr>
        <w:pStyle w:val="TOC3"/>
        <w:ind w:left="360"/>
      </w:pPr>
      <w:hyperlink w:anchor="tabla-3" w:history="1">
        <w:r>
          <w:rPr>
            <w:rStyle w:val="Hyperlink"/>
          </w:rPr>
          <w:t xml:space="preserve">Tabla 3</w:t>
        </w:r>
      </w:hyperlink>
    </w:p>
    <w:p>
      <w:pPr>
        <w:pStyle w:val="TOC2"/>
        <w:ind w:left="0"/>
      </w:pPr>
      <w:hyperlink w:anchor="X43c4189f650163b535bf3a4d0a23cf9764ae995" w:history="1">
        <w:r>
          <w:rPr>
            <w:rStyle w:val="Hyperlink"/>
          </w:rPr>
          <w:t xml:space="preserve">5. Comparación entre niveles — Prueba U de Mann-Whitney</w:t>
        </w:r>
      </w:hyperlink>
    </w:p>
    <w:p>
      <w:pPr>
        <w:pStyle w:val="TOC3"/>
        <w:ind w:left="360"/>
      </w:pPr>
      <w:hyperlink w:anchor="tabla-4a" w:history="1">
        <w:r>
          <w:rPr>
            <w:rStyle w:val="Hyperlink"/>
          </w:rPr>
          <w:t xml:space="preserve">Tabla 4a</w:t>
        </w:r>
      </w:hyperlink>
    </w:p>
    <w:p>
      <w:pPr>
        <w:pStyle w:val="TOC3"/>
        <w:ind w:left="360"/>
      </w:pPr>
      <w:hyperlink w:anchor="tabla-4" w:history="1">
        <w:r>
          <w:rPr>
            <w:rStyle w:val="Hyperlink"/>
          </w:rPr>
          <w:t xml:space="preserve">Tabla 4</w:t>
        </w:r>
      </w:hyperlink>
    </w:p>
    <w:p>
      <w:pPr>
        <w:pStyle w:val="TOC2"/>
        <w:ind w:left="0"/>
      </w:pPr>
      <w:hyperlink w:anchor="X3c217ecc626d57a15287142a327902f9dcc785d" w:history="1">
        <w:r>
          <w:rPr>
            <w:rStyle w:val="Hyperlink"/>
          </w:rPr>
          <w:t xml:space="preserve">6. Perfil sociodemográfico — Análisis de chi-cuadrado</w:t>
        </w:r>
      </w:hyperlink>
    </w:p>
    <w:p>
      <w:pPr>
        <w:pStyle w:val="TOC3"/>
        <w:ind w:left="360"/>
      </w:pPr>
      <w:hyperlink w:anchor="tabla-5" w:history="1">
        <w:r>
          <w:rPr>
            <w:rStyle w:val="Hyperlink"/>
          </w:rPr>
          <w:t xml:space="preserve">Tabla 5</w:t>
        </w:r>
      </w:hyperlink>
    </w:p>
    <w:p>
      <w:pPr>
        <w:pStyle w:val="TOC3"/>
        <w:ind w:left="360"/>
      </w:pPr>
      <w:hyperlink w:anchor="tabla-6" w:history="1">
        <w:r>
          <w:rPr>
            <w:rStyle w:val="Hyperlink"/>
          </w:rPr>
          <w:t xml:space="preserve">Tabla 6</w:t>
        </w:r>
      </w:hyperlink>
    </w:p>
    <w:p>
      <w:pPr>
        <w:pStyle w:val="TOC3"/>
        <w:ind w:left="360"/>
      </w:pPr>
      <w:hyperlink w:anchor="interpretación-integrada" w:history="1">
        <w:r>
          <w:rPr>
            <w:rStyle w:val="Hyperlink"/>
          </w:rPr>
          <w:t xml:space="preserve">Interpretación integrada</w:t>
        </w:r>
      </w:hyperlink>
    </w:p>
    <w:p>
      <w:pPr>
        <w:pStyle w:val="TOC2"/>
        <w:ind w:left="0"/>
      </w:pPr>
      <w:hyperlink w:anchor="preferencias-formativas-pregunta-p18" w:history="1">
        <w:r>
          <w:rPr>
            <w:rStyle w:val="Hyperlink"/>
          </w:rPr>
          <w:t xml:space="preserve">7. Preferencias formativas — Pregunta P18</w:t>
        </w:r>
      </w:hyperlink>
    </w:p>
    <w:p>
      <w:pPr>
        <w:pStyle w:val="TOC3"/>
        <w:ind w:left="360"/>
      </w:pPr>
      <w:hyperlink w:anchor="tabla-7" w:history="1">
        <w:r>
          <w:rPr>
            <w:rStyle w:val="Hyperlink"/>
          </w:rPr>
          <w:t xml:space="preserve">Tabla 7</w:t>
        </w:r>
      </w:hyperlink>
    </w:p>
    <w:p>
      <w:pPr>
        <w:pStyle w:val="TOC3"/>
        <w:ind w:left="360"/>
      </w:pPr>
      <w:hyperlink w:anchor="X7122106805c08d09c3e59d0772964962b57a7b0" w:history="1">
        <w:r>
          <w:rPr>
            <w:rStyle w:val="Hyperlink"/>
          </w:rPr>
          <w:t xml:space="preserve">Visualización de variables clave por nivel educativo</w:t>
        </w:r>
      </w:hyperlink>
    </w:p>
    <w:p>
      <w:pPr>
        <w:pStyle w:val="TOC2"/>
        <w:ind w:left="0"/>
      </w:pPr>
      <w:hyperlink w:anchor="conclusiones-por-dimensión-ocdeinfe" w:history="1">
        <w:r>
          <w:rPr>
            <w:rStyle w:val="Hyperlink"/>
          </w:rPr>
          <w:t xml:space="preserve">8. Conclusiones por dimensión OCDE/INFE</w:t>
        </w:r>
      </w:hyperlink>
    </w:p>
    <w:p>
      <w:pPr>
        <w:pStyle w:val="TOC3"/>
        <w:ind w:left="360"/>
      </w:pPr>
      <w:hyperlink w:anchor="Xcd37b71ab12c2c03a2d92b7313e9a02d8d09d6d" w:history="1">
        <w:r>
          <w:rPr>
            <w:rStyle w:val="Hyperlink"/>
          </w:rPr>
          <w:t xml:space="preserve">8.1 Conocimiento financiero (8 ítems Likert: p01, p02, p06, p10, p11, p12, p13, p14, p15, p16)</w:t>
        </w:r>
      </w:hyperlink>
    </w:p>
    <w:p>
      <w:pPr>
        <w:pStyle w:val="TOC3"/>
        <w:ind w:left="360"/>
      </w:pPr>
      <w:hyperlink w:anchor="Xc13e029c89de87a9c618d9e66deadf95f17c4e4" w:history="1">
        <w:r>
          <w:rPr>
            <w:rStyle w:val="Hyperlink"/>
          </w:rPr>
          <w:t xml:space="preserve">8.2 Actitud hacia la educación financiera (4 ítems Likert: p03, p04, p05, p08)</w:t>
        </w:r>
      </w:hyperlink>
    </w:p>
    <w:p>
      <w:pPr>
        <w:pStyle w:val="TOC3"/>
        <w:ind w:left="360"/>
      </w:pPr>
      <w:hyperlink w:anchor="X4959db946ea49e1dd4fda267f3b360f5d76ec3c" w:history="1">
        <w:r>
          <w:rPr>
            <w:rStyle w:val="Hyperlink"/>
          </w:rPr>
          <w:t xml:space="preserve">8.3 Comportamiento financiero (3 ítems dicotómicos: p07_rec, p17_rec, y un ítem adicional)</w:t>
        </w:r>
      </w:hyperlink>
    </w:p>
    <w:p>
      <w:pPr>
        <w:pStyle w:val="TOC3"/>
        <w:ind w:left="360"/>
      </w:pPr>
      <w:hyperlink w:anchor="síntesis-de-la-hipótesis-de-trabajo" w:history="1">
        <w:r>
          <w:rPr>
            <w:rStyle w:val="Hyperlink"/>
          </w:rPr>
          <w:t xml:space="preserve">8.4 Síntesis de la hipótesis de trabajo</w:t>
        </w:r>
      </w:hyperlink>
    </w:p>
    <w:p>
      <w:pPr>
        <w:pStyle w:val="TOC2"/>
        <w:ind w:left="0"/>
      </w:pPr>
      <w:hyperlink w:anchor="X2903858fe52dca662ed7472ba106d1de2c08891" w:history="1">
        <w:r>
          <w:rPr>
            <w:rStyle w:val="Hyperlink"/>
          </w:rPr>
          <w:t xml:space="preserve">9. Implicaciones para el diseño de cursos de educación financiera</w:t>
        </w:r>
      </w:hyperlink>
    </w:p>
    <w:p>
      <w:pPr>
        <w:pStyle w:val="TOC2"/>
        <w:ind w:left="0"/>
      </w:pPr>
      <w:hyperlink w:anchor="limitaciones" w:history="1">
        <w:r>
          <w:rPr>
            <w:rStyle w:val="Hyperlink"/>
          </w:rPr>
          <w:t xml:space="preserve">10. Limitaciones</w:t>
        </w:r>
      </w:hyperlink>
    </w:p>
    <w:p>
      <w:pPr>
        <w:pStyle w:val="TOC2"/>
        <w:ind w:left="0"/>
      </w:pPr>
      <w:hyperlink w:anchor="referencias" w:history="1">
        <w:r>
          <w:rPr>
            <w:rStyle w:val="Hyperlink"/>
          </w:rPr>
          <w:t xml:space="preserve">11. Referencias</w:t>
        </w:r>
      </w:hyperlink>
    </w:p>
    <w:p>
      <w:pPr>
        <w:pStyle w:val="Heading1"/>
      </w:pPr>
      <w:r>
        <w:t xml:space="preserve">Conclusiones del análisis</w:t>
      </w:r>
    </w:p>
    <w:p>
      <w:pPr>
        <w:pStyle w:val="FirstParagraph"/>
      </w:pPr>
      <w:r>
        <w:rPr>
          <w:b/>
          <w:bCs/>
        </w:rPr>
        <w:t xml:space="preserve">Estudio</w:t>
      </w:r>
      <w:r>
        <w:t xml:space="preserve">: Nivel de educación financiera en estudiantes de secundaria y bachillerato del municipio de Autlán de Navarro, Jalisco.</w:t>
      </w:r>
    </w:p>
    <w:p>
      <w:pPr>
        <w:pStyle w:val="BodyText"/>
      </w:pPr>
      <w:r>
        <w:rPr>
          <w:b/>
          <w:bCs/>
        </w:rPr>
        <w:t xml:space="preserve">Dataset analizado</w:t>
      </w:r>
      <w:r>
        <w:t xml:space="preserve">:</w:t>
      </w:r>
      <w:r>
        <w:t xml:space="preserve"> </w:t>
      </w:r>
      <w:r>
        <w:rPr>
          <w:rStyle w:val="VerbatimChar"/>
        </w:rPr>
        <w:t xml:space="preserve">data/processed/data_analisis.csv</w:t>
      </w:r>
      <w:r>
        <w:t xml:space="preserve"> </w:t>
      </w:r>
      <w:r>
        <w:t xml:space="preserve">— 656 casos válidos, 30 variables.</w:t>
      </w:r>
    </w:p>
    <w:p>
      <w:pPr>
        <w:pStyle w:val="BodyText"/>
      </w:pPr>
      <w:r>
        <w:rPr>
          <w:b/>
          <w:bCs/>
        </w:rPr>
        <w:t xml:space="preserve">Software</w:t>
      </w:r>
      <w:r>
        <w:t xml:space="preserve">: IBM SPSS Statistics v.26.0.0.0 (sintaxis en</w:t>
      </w:r>
      <w:r>
        <w:t xml:space="preserve"> </w:t>
      </w:r>
      <w:r>
        <w:rPr>
          <w:rStyle w:val="VerbatimChar"/>
        </w:rPr>
        <w:t xml:space="preserve">spss/analisis.sps</w:t>
      </w:r>
      <w:r>
        <w:t xml:space="preserve">, v2.6).</w:t>
      </w:r>
    </w:p>
    <w:p>
      <w:pPr>
        <w:pStyle w:val="BodyText"/>
      </w:pPr>
      <w:r>
        <w:rPr>
          <w:b/>
          <w:bCs/>
        </w:rPr>
        <w:t xml:space="preserve">Fecha de ejecución</w:t>
      </w:r>
      <w:r>
        <w:t xml:space="preserve">: 6 de junio de 2026.</w:t>
      </w:r>
    </w:p>
    <w:p>
      <w:r>
        <w:pict>
          <v:rect style="width:0;height:1.5pt" o:hralign="center" o:hrstd="t" o:hr="t"/>
        </w:pict>
      </w:r>
    </w:p>
    <w:bookmarkStart w:id="9" w:name="resumen-ejecutivo"/>
    <w:p>
      <w:pPr>
        <w:pStyle w:val="Heading2"/>
      </w:pPr>
      <w:r>
        <w:t xml:space="preserve">1. Resumen ejecutivo</w:t>
      </w:r>
    </w:p>
    <w:p>
      <w:pPr>
        <w:pStyle w:val="FirstParagraph"/>
      </w:pPr>
      <w:r>
        <w:t xml:space="preserve">El estudio describe el nivel de educación financiera de 656 estudiantes (319 de secundaria y 337 de bachillerato) de Autlán de Navarro, Jalisco, evaluado mediante un cuestionario de 18 ítems con tres dimensiones (conocimiento, actitud y comportamiento) alineadas con el marco de la OCDE/INFE Toolkit (2022). Los instrumentos demostraron alta consistencia interna (α de Cronbach global = 0,849; subescala de conocimiento = 0,835; subescala de actitud = 0,747). El test de Friedman, ejecutado por separado para cada nivel educativo, rechazó la hipótesis nula de distribuciones homogéneas en los 14 ítems Likert tanto en secundaria (χ²(13) = 1056,65, p &lt; ,001) como en bachillerato (χ²(13) = 1066,56, p &lt; ,001). La prueba U de Mann-Whitney detectó diferencias significativas entre niveles en conocimiento (Z = -4,54, p &lt; ,001, r = 0,18) y actitud (Z = -2,89, p = ,004, r = 0,11), con bachillerato mostrando puntajes superiores; comportamiento no difirió entre niveles (Z = -0,48, p = ,632). El 45,1 % de los estudiantes prefiere</w:t>
      </w:r>
      <w:r>
        <w:t xml:space="preserve"> </w:t>
      </w:r>
      <w:r>
        <w:t xml:space="preserve">“explicaciones claras”</w:t>
      </w:r>
      <w:r>
        <w:t xml:space="preserve"> </w:t>
      </w:r>
      <w:r>
        <w:t xml:space="preserve">como formato pedagógico, seguido de</w:t>
      </w:r>
      <w:r>
        <w:t xml:space="preserve"> </w:t>
      </w:r>
      <w:r>
        <w:t xml:space="preserve">“interactivas”</w:t>
      </w:r>
      <w:r>
        <w:t xml:space="preserve"> </w:t>
      </w:r>
      <w:r>
        <w:t xml:space="preserve">(18,0 %) y</w:t>
      </w:r>
      <w:r>
        <w:t xml:space="preserve"> </w:t>
      </w:r>
      <w:r>
        <w:t xml:space="preserve">“con expertos”</w:t>
      </w:r>
      <w:r>
        <w:t xml:space="preserve"> </w:t>
      </w:r>
      <w:r>
        <w:t xml:space="preserve">(13,3 %). El perfil sociodemográfico revela efectos significativos del nivel educativo sobre ocho variables: tipo de escuela, y los ítems p01, p02, p05, p08, p09, p10 y p17.</w:t>
      </w:r>
    </w:p>
    <w:p>
      <w:r>
        <w:pict>
          <v:rect style="width:0;height:1.5pt" o:hralign="center" o:hrstd="t" o:hr="t"/>
        </w:pict>
      </w:r>
    </w:p>
    <w:bookmarkEnd w:id="9"/>
    <w:bookmarkStart w:id="11" w:name="caracterización-de-la-muestra"/>
    <w:p>
      <w:pPr>
        <w:pStyle w:val="Heading2"/>
      </w:pPr>
      <w:r>
        <w:t xml:space="preserve">2. Caracterización de la muestra</w:t>
      </w:r>
    </w:p>
    <w:p>
      <w:pPr>
        <w:pStyle w:val="FirstParagraph"/>
      </w:pPr>
      <w:r>
        <w:t xml:space="preserve">La muestra final consistió en 656 estudiantes tras la limpieza y preprocesamiento del dataset original (1036 casos brutos; 380 eliminados por vacío, 4 outliers Likert recodificados a</w:t>
      </w:r>
      <w:r>
        <w:t xml:space="preserve"> </w:t>
      </w:r>
      <w:r>
        <w:rPr>
          <w:rStyle w:val="VerbatimChar"/>
        </w:rPr>
        <w:t xml:space="preserve">SYSMIS</w:t>
      </w:r>
      <w:r>
        <w:t xml:space="preserve">; ver</w:t>
      </w:r>
      <w:r>
        <w:t xml:space="preserve"> </w:t>
      </w:r>
      <w:r>
        <w:rPr>
          <w:rStyle w:val="VerbatimChar"/>
        </w:rPr>
        <w:t xml:space="preserve">docs/transformaciones_log.csv</w:t>
      </w:r>
      <w:r>
        <w:t xml:space="preserve">). La distribución por nivel educativo fue balanceada, con ligero predominio de bachillerato (51,4 %) sobre secundaria (48,6 %).</w:t>
      </w:r>
    </w:p>
    <w:bookmarkStart w:id="10" w:name="tabla-1"/>
    <w:p>
      <w:pPr>
        <w:pStyle w:val="Heading3"/>
      </w:pPr>
      <w:r>
        <w:t xml:space="preserve">Tabla 1</w:t>
      </w:r>
    </w:p>
    <w:p>
      <w:pPr>
        <w:pStyle w:val="FirstParagraph"/>
      </w:pPr>
      <w:r>
        <w:rPr>
          <w:b/>
          <w:bCs/>
        </w:rPr>
        <w:t xml:space="preserve">Características sociodemográficas de la muestra por nivel educativo (N = 656)</w:t>
      </w:r>
    </w:p>
    <w:tbl>
      <w:tblPr>
        <w:tblStyle w:val="Table"/>
        <w:tblW w:type="pct" w:w="5000"/>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pPr>
            <w:r>
              <w:t xml:space="preserve">Variable</w:t>
            </w:r>
          </w:p>
        </w:tc>
        <w:tc>
          <w:tcPr/>
          <w:p>
            <w:pPr>
              <w:pStyle w:val="Compact"/>
            </w:pPr>
            <w:r>
              <w:t xml:space="preserve">Categoría</w:t>
            </w:r>
          </w:p>
        </w:tc>
        <w:tc>
          <w:tcPr/>
          <w:p>
            <w:pPr>
              <w:pStyle w:val="Compact"/>
              <w:jc w:val="right"/>
            </w:pPr>
            <w:r>
              <w:t xml:space="preserve">Secundaria (n = 319)</w:t>
            </w:r>
          </w:p>
        </w:tc>
        <w:tc>
          <w:tcPr/>
          <w:p>
            <w:pPr>
              <w:pStyle w:val="Compact"/>
            </w:pPr>
          </w:p>
        </w:tc>
        <w:tc>
          <w:tcPr/>
          <w:p>
            <w:pPr>
              <w:pStyle w:val="Compact"/>
              <w:jc w:val="right"/>
            </w:pPr>
            <w:r>
              <w:t xml:space="preserve">Bachillerato (n = 337)</w:t>
            </w:r>
          </w:p>
        </w:tc>
        <w:tc>
          <w:tcPr/>
          <w:p>
            <w:pPr>
              <w:pStyle w:val="Compact"/>
            </w:pPr>
          </w:p>
        </w:tc>
        <w:tc>
          <w:tcPr/>
          <w:p>
            <w:pPr>
              <w:pStyle w:val="Compact"/>
              <w:jc w:val="right"/>
            </w:pPr>
            <w:r>
              <w:t xml:space="preserve">Total (N = 656)</w:t>
            </w:r>
          </w:p>
        </w:tc>
        <w:tc>
          <w:tcPr/>
          <w:p>
            <w:pPr>
              <w:pStyle w:val="Compact"/>
            </w:pPr>
          </w:p>
        </w:tc>
      </w:tr>
      <w:tr>
        <w:tc>
          <w:tcPr/>
          <w:p>
            <w:pPr>
              <w:pStyle w:val="Compact"/>
            </w:pPr>
          </w:p>
        </w:tc>
        <w:tc>
          <w:tcPr/>
          <w:p>
            <w:pPr>
              <w:pStyle w:val="Compact"/>
            </w:pPr>
          </w:p>
        </w:tc>
        <w:tc>
          <w:tcPr/>
          <w:p>
            <w:pPr>
              <w:pStyle w:val="Compact"/>
              <w:jc w:val="right"/>
            </w:pPr>
            <w:r>
              <w:rPr>
                <w:i/>
                <w:iCs/>
              </w:rPr>
              <w:t xml:space="preserve">n</w:t>
            </w:r>
          </w:p>
        </w:tc>
        <w:tc>
          <w:tcPr/>
          <w:p>
            <w:pPr>
              <w:pStyle w:val="Compact"/>
              <w:jc w:val="right"/>
            </w:pPr>
            <w:r>
              <w:t xml:space="preserve">%</w:t>
            </w:r>
          </w:p>
        </w:tc>
        <w:tc>
          <w:tcPr/>
          <w:p>
            <w:pPr>
              <w:pStyle w:val="Compact"/>
              <w:jc w:val="right"/>
            </w:pPr>
            <w:r>
              <w:rPr>
                <w:i/>
                <w:iCs/>
              </w:rPr>
              <w:t xml:space="preserve">n</w:t>
            </w:r>
          </w:p>
        </w:tc>
        <w:tc>
          <w:tcPr/>
          <w:p>
            <w:pPr>
              <w:pStyle w:val="Compact"/>
              <w:jc w:val="right"/>
            </w:pPr>
            <w:r>
              <w:t xml:space="preserve">%</w:t>
            </w:r>
          </w:p>
        </w:tc>
        <w:tc>
          <w:tcPr/>
          <w:p>
            <w:pPr>
              <w:pStyle w:val="Compact"/>
              <w:jc w:val="right"/>
            </w:pPr>
            <w:r>
              <w:rPr>
                <w:i/>
                <w:iCs/>
              </w:rPr>
              <w:t xml:space="preserve">n</w:t>
            </w:r>
          </w:p>
        </w:tc>
        <w:tc>
          <w:tcPr/>
          <w:p>
            <w:pPr>
              <w:pStyle w:val="Compact"/>
              <w:jc w:val="right"/>
            </w:pPr>
            <w:r>
              <w:t xml:space="preserve">%</w:t>
            </w:r>
          </w:p>
        </w:tc>
      </w:tr>
      <w:tr>
        <w:tc>
          <w:tcPr/>
          <w:p>
            <w:pPr>
              <w:pStyle w:val="Compact"/>
            </w:pPr>
            <w:r>
              <w:t xml:space="preserve">Sexo</w:t>
            </w:r>
          </w:p>
        </w:tc>
        <w:tc>
          <w:tcPr/>
          <w:p>
            <w:pPr>
              <w:pStyle w:val="Compact"/>
            </w:pPr>
            <w:r>
              <w:t xml:space="preserve">Hombre</w:t>
            </w:r>
          </w:p>
        </w:tc>
        <w:tc>
          <w:tcPr/>
          <w:p>
            <w:pPr>
              <w:pStyle w:val="Compact"/>
              <w:jc w:val="right"/>
            </w:pPr>
            <w:r>
              <w:t xml:space="preserve">160</w:t>
            </w:r>
          </w:p>
        </w:tc>
        <w:tc>
          <w:tcPr/>
          <w:p>
            <w:pPr>
              <w:pStyle w:val="Compact"/>
              <w:jc w:val="right"/>
            </w:pPr>
            <w:r>
              <w:t xml:space="preserve">50,2</w:t>
            </w:r>
          </w:p>
        </w:tc>
        <w:tc>
          <w:tcPr/>
          <w:p>
            <w:pPr>
              <w:pStyle w:val="Compact"/>
              <w:jc w:val="right"/>
            </w:pPr>
            <w:r>
              <w:t xml:space="preserve">163</w:t>
            </w:r>
          </w:p>
        </w:tc>
        <w:tc>
          <w:tcPr/>
          <w:p>
            <w:pPr>
              <w:pStyle w:val="Compact"/>
              <w:jc w:val="right"/>
            </w:pPr>
            <w:r>
              <w:t xml:space="preserve">48,4</w:t>
            </w:r>
          </w:p>
        </w:tc>
        <w:tc>
          <w:tcPr/>
          <w:p>
            <w:pPr>
              <w:pStyle w:val="Compact"/>
              <w:jc w:val="right"/>
            </w:pPr>
            <w:r>
              <w:t xml:space="preserve">323</w:t>
            </w:r>
          </w:p>
        </w:tc>
        <w:tc>
          <w:tcPr/>
          <w:p>
            <w:pPr>
              <w:pStyle w:val="Compact"/>
              <w:jc w:val="right"/>
            </w:pPr>
            <w:r>
              <w:t xml:space="preserve">49,2</w:t>
            </w:r>
          </w:p>
        </w:tc>
      </w:tr>
      <w:tr>
        <w:tc>
          <w:tcPr/>
          <w:p>
            <w:pPr>
              <w:pStyle w:val="Compact"/>
            </w:pPr>
          </w:p>
        </w:tc>
        <w:tc>
          <w:tcPr/>
          <w:p>
            <w:pPr>
              <w:pStyle w:val="Compact"/>
            </w:pPr>
            <w:r>
              <w:t xml:space="preserve">Mujer</w:t>
            </w:r>
          </w:p>
        </w:tc>
        <w:tc>
          <w:tcPr/>
          <w:p>
            <w:pPr>
              <w:pStyle w:val="Compact"/>
              <w:jc w:val="right"/>
            </w:pPr>
            <w:r>
              <w:t xml:space="preserve">159</w:t>
            </w:r>
          </w:p>
        </w:tc>
        <w:tc>
          <w:tcPr/>
          <w:p>
            <w:pPr>
              <w:pStyle w:val="Compact"/>
              <w:jc w:val="right"/>
            </w:pPr>
            <w:r>
              <w:t xml:space="preserve">49,8</w:t>
            </w:r>
          </w:p>
        </w:tc>
        <w:tc>
          <w:tcPr/>
          <w:p>
            <w:pPr>
              <w:pStyle w:val="Compact"/>
              <w:jc w:val="right"/>
            </w:pPr>
            <w:r>
              <w:t xml:space="preserve">173</w:t>
            </w:r>
          </w:p>
        </w:tc>
        <w:tc>
          <w:tcPr/>
          <w:p>
            <w:pPr>
              <w:pStyle w:val="Compact"/>
              <w:jc w:val="right"/>
            </w:pPr>
            <w:r>
              <w:t xml:space="preserve">51,3</w:t>
            </w:r>
          </w:p>
        </w:tc>
        <w:tc>
          <w:tcPr/>
          <w:p>
            <w:pPr>
              <w:pStyle w:val="Compact"/>
              <w:jc w:val="right"/>
            </w:pPr>
            <w:r>
              <w:t xml:space="preserve">332</w:t>
            </w:r>
          </w:p>
        </w:tc>
        <w:tc>
          <w:tcPr/>
          <w:p>
            <w:pPr>
              <w:pStyle w:val="Compact"/>
              <w:jc w:val="right"/>
            </w:pPr>
            <w:r>
              <w:t xml:space="preserve">50,6</w:t>
            </w:r>
          </w:p>
        </w:tc>
      </w:tr>
      <w:tr>
        <w:tc>
          <w:tcPr/>
          <w:p>
            <w:pPr>
              <w:pStyle w:val="Compact"/>
            </w:pPr>
          </w:p>
        </w:tc>
        <w:tc>
          <w:tcPr/>
          <w:p>
            <w:pPr>
              <w:pStyle w:val="Compact"/>
            </w:pPr>
            <w:r>
              <w:t xml:space="preserve">Perdidos</w:t>
            </w:r>
          </w:p>
        </w:tc>
        <w:tc>
          <w:tcPr/>
          <w:p>
            <w:pPr>
              <w:pStyle w:val="Compact"/>
              <w:jc w:val="right"/>
            </w:pPr>
            <w:r>
              <w:t xml:space="preserve">0</w:t>
            </w:r>
          </w:p>
        </w:tc>
        <w:tc>
          <w:tcPr/>
          <w:p>
            <w:pPr>
              <w:pStyle w:val="Compact"/>
              <w:jc w:val="right"/>
            </w:pPr>
            <w:r>
              <w:t xml:space="preserve">0,0</w:t>
            </w:r>
          </w:p>
        </w:tc>
        <w:tc>
          <w:tcPr/>
          <w:p>
            <w:pPr>
              <w:pStyle w:val="Compact"/>
              <w:jc w:val="right"/>
            </w:pPr>
            <w:r>
              <w:t xml:space="preserve">1</w:t>
            </w:r>
          </w:p>
        </w:tc>
        <w:tc>
          <w:tcPr/>
          <w:p>
            <w:pPr>
              <w:pStyle w:val="Compact"/>
              <w:jc w:val="right"/>
            </w:pPr>
            <w:r>
              <w:t xml:space="preserve">0,3</w:t>
            </w:r>
          </w:p>
        </w:tc>
        <w:tc>
          <w:tcPr/>
          <w:p>
            <w:pPr>
              <w:pStyle w:val="Compact"/>
              <w:jc w:val="right"/>
            </w:pPr>
            <w:r>
              <w:t xml:space="preserve">1</w:t>
            </w:r>
          </w:p>
        </w:tc>
        <w:tc>
          <w:tcPr/>
          <w:p>
            <w:pPr>
              <w:pStyle w:val="Compact"/>
              <w:jc w:val="right"/>
            </w:pPr>
            <w:r>
              <w:t xml:space="preserve">0,2</w:t>
            </w:r>
          </w:p>
        </w:tc>
      </w:tr>
      <w:tr>
        <w:tc>
          <w:tcPr/>
          <w:p>
            <w:pPr>
              <w:pStyle w:val="Compact"/>
            </w:pPr>
            <w:r>
              <w:t xml:space="preserve">Tipo de escuela</w:t>
            </w:r>
          </w:p>
        </w:tc>
        <w:tc>
          <w:tcPr/>
          <w:p>
            <w:pPr>
              <w:pStyle w:val="Compact"/>
            </w:pPr>
            <w:r>
              <w:t xml:space="preserve">Pública</w:t>
            </w:r>
          </w:p>
        </w:tc>
        <w:tc>
          <w:tcPr/>
          <w:p>
            <w:pPr>
              <w:pStyle w:val="Compact"/>
              <w:jc w:val="right"/>
            </w:pPr>
            <w:r>
              <w:t xml:space="preserve">309</w:t>
            </w:r>
          </w:p>
        </w:tc>
        <w:tc>
          <w:tcPr/>
          <w:p>
            <w:pPr>
              <w:pStyle w:val="Compact"/>
              <w:jc w:val="right"/>
            </w:pPr>
            <w:r>
              <w:t xml:space="preserve">96,9</w:t>
            </w:r>
          </w:p>
        </w:tc>
        <w:tc>
          <w:tcPr/>
          <w:p>
            <w:pPr>
              <w:pStyle w:val="Compact"/>
              <w:jc w:val="right"/>
            </w:pPr>
            <w:r>
              <w:t xml:space="preserve">324</w:t>
            </w:r>
          </w:p>
        </w:tc>
        <w:tc>
          <w:tcPr/>
          <w:p>
            <w:pPr>
              <w:pStyle w:val="Compact"/>
              <w:jc w:val="right"/>
            </w:pPr>
            <w:r>
              <w:t xml:space="preserve">96,1</w:t>
            </w:r>
          </w:p>
        </w:tc>
        <w:tc>
          <w:tcPr/>
          <w:p>
            <w:pPr>
              <w:pStyle w:val="Compact"/>
              <w:jc w:val="right"/>
            </w:pPr>
            <w:r>
              <w:t xml:space="preserve">633</w:t>
            </w:r>
          </w:p>
        </w:tc>
        <w:tc>
          <w:tcPr/>
          <w:p>
            <w:pPr>
              <w:pStyle w:val="Compact"/>
              <w:jc w:val="right"/>
            </w:pPr>
            <w:r>
              <w:t xml:space="preserve">96,5</w:t>
            </w:r>
          </w:p>
        </w:tc>
      </w:tr>
      <w:tr>
        <w:tc>
          <w:tcPr/>
          <w:p>
            <w:pPr>
              <w:pStyle w:val="Compact"/>
            </w:pPr>
          </w:p>
        </w:tc>
        <w:tc>
          <w:tcPr/>
          <w:p>
            <w:pPr>
              <w:pStyle w:val="Compact"/>
            </w:pPr>
            <w:r>
              <w:t xml:space="preserve">Privada</w:t>
            </w:r>
          </w:p>
        </w:tc>
        <w:tc>
          <w:tcPr/>
          <w:p>
            <w:pPr>
              <w:pStyle w:val="Compact"/>
              <w:jc w:val="right"/>
            </w:pPr>
            <w:r>
              <w:t xml:space="preserve">10</w:t>
            </w:r>
          </w:p>
        </w:tc>
        <w:tc>
          <w:tcPr/>
          <w:p>
            <w:pPr>
              <w:pStyle w:val="Compact"/>
              <w:jc w:val="right"/>
            </w:pPr>
            <w:r>
              <w:t xml:space="preserve">3,1</w:t>
            </w:r>
          </w:p>
        </w:tc>
        <w:tc>
          <w:tcPr/>
          <w:p>
            <w:pPr>
              <w:pStyle w:val="Compact"/>
              <w:jc w:val="right"/>
            </w:pPr>
            <w:r>
              <w:t xml:space="preserve">13</w:t>
            </w:r>
          </w:p>
        </w:tc>
        <w:tc>
          <w:tcPr/>
          <w:p>
            <w:pPr>
              <w:pStyle w:val="Compact"/>
              <w:jc w:val="right"/>
            </w:pPr>
            <w:r>
              <w:t xml:space="preserve">3,9</w:t>
            </w:r>
          </w:p>
        </w:tc>
        <w:tc>
          <w:tcPr/>
          <w:p>
            <w:pPr>
              <w:pStyle w:val="Compact"/>
              <w:jc w:val="right"/>
            </w:pPr>
            <w:r>
              <w:t xml:space="preserve">23</w:t>
            </w:r>
          </w:p>
        </w:tc>
        <w:tc>
          <w:tcPr/>
          <w:p>
            <w:pPr>
              <w:pStyle w:val="Compact"/>
              <w:jc w:val="right"/>
            </w:pPr>
            <w:r>
              <w:t xml:space="preserve">3,5</w:t>
            </w:r>
          </w:p>
        </w:tc>
      </w:tr>
      <w:tr>
        <w:tc>
          <w:tcPr/>
          <w:p>
            <w:pPr>
              <w:pStyle w:val="Compact"/>
            </w:pPr>
            <w:r>
              <w:t xml:space="preserve">Convivencia</w:t>
            </w:r>
          </w:p>
        </w:tc>
        <w:tc>
          <w:tcPr/>
          <w:p>
            <w:pPr>
              <w:pStyle w:val="Compact"/>
            </w:pPr>
            <w:r>
              <w:t xml:space="preserve">Padres</w:t>
            </w:r>
          </w:p>
        </w:tc>
        <w:tc>
          <w:tcPr/>
          <w:p>
            <w:pPr>
              <w:pStyle w:val="Compact"/>
              <w:jc w:val="right"/>
            </w:pPr>
            <w:r>
              <w:t xml:space="preserve">240</w:t>
            </w:r>
          </w:p>
        </w:tc>
        <w:tc>
          <w:tcPr/>
          <w:p>
            <w:pPr>
              <w:pStyle w:val="Compact"/>
              <w:jc w:val="right"/>
            </w:pPr>
            <w:r>
              <w:t xml:space="preserve">75,2</w:t>
            </w:r>
          </w:p>
        </w:tc>
        <w:tc>
          <w:tcPr/>
          <w:p>
            <w:pPr>
              <w:pStyle w:val="Compact"/>
              <w:jc w:val="right"/>
            </w:pPr>
            <w:r>
              <w:t xml:space="preserve">252</w:t>
            </w:r>
          </w:p>
        </w:tc>
        <w:tc>
          <w:tcPr/>
          <w:p>
            <w:pPr>
              <w:pStyle w:val="Compact"/>
              <w:jc w:val="right"/>
            </w:pPr>
            <w:r>
              <w:t xml:space="preserve">74,8</w:t>
            </w:r>
          </w:p>
        </w:tc>
        <w:tc>
          <w:tcPr/>
          <w:p>
            <w:pPr>
              <w:pStyle w:val="Compact"/>
              <w:jc w:val="right"/>
            </w:pPr>
            <w:r>
              <w:t xml:space="preserve">492</w:t>
            </w:r>
          </w:p>
        </w:tc>
        <w:tc>
          <w:tcPr/>
          <w:p>
            <w:pPr>
              <w:pStyle w:val="Compact"/>
              <w:jc w:val="right"/>
            </w:pPr>
            <w:r>
              <w:t xml:space="preserve">75,0</w:t>
            </w:r>
          </w:p>
        </w:tc>
      </w:tr>
      <w:tr>
        <w:tc>
          <w:tcPr/>
          <w:p>
            <w:pPr>
              <w:pStyle w:val="Compact"/>
            </w:pPr>
          </w:p>
        </w:tc>
        <w:tc>
          <w:tcPr/>
          <w:p>
            <w:pPr>
              <w:pStyle w:val="Compact"/>
            </w:pPr>
            <w:r>
              <w:t xml:space="preserve">Uno de ellos</w:t>
            </w:r>
          </w:p>
        </w:tc>
        <w:tc>
          <w:tcPr/>
          <w:p>
            <w:pPr>
              <w:pStyle w:val="Compact"/>
              <w:jc w:val="right"/>
            </w:pPr>
            <w:r>
              <w:t xml:space="preserve">63</w:t>
            </w:r>
          </w:p>
        </w:tc>
        <w:tc>
          <w:tcPr/>
          <w:p>
            <w:pPr>
              <w:pStyle w:val="Compact"/>
              <w:jc w:val="right"/>
            </w:pPr>
            <w:r>
              <w:t xml:space="preserve">19,7</w:t>
            </w:r>
          </w:p>
        </w:tc>
        <w:tc>
          <w:tcPr/>
          <w:p>
            <w:pPr>
              <w:pStyle w:val="Compact"/>
              <w:jc w:val="right"/>
            </w:pPr>
            <w:r>
              <w:t xml:space="preserve">67</w:t>
            </w:r>
          </w:p>
        </w:tc>
        <w:tc>
          <w:tcPr/>
          <w:p>
            <w:pPr>
              <w:pStyle w:val="Compact"/>
              <w:jc w:val="right"/>
            </w:pPr>
            <w:r>
              <w:t xml:space="preserve">19,9</w:t>
            </w:r>
          </w:p>
        </w:tc>
        <w:tc>
          <w:tcPr/>
          <w:p>
            <w:pPr>
              <w:pStyle w:val="Compact"/>
              <w:jc w:val="right"/>
            </w:pPr>
            <w:r>
              <w:t xml:space="preserve">130</w:t>
            </w:r>
          </w:p>
        </w:tc>
        <w:tc>
          <w:tcPr/>
          <w:p>
            <w:pPr>
              <w:pStyle w:val="Compact"/>
              <w:jc w:val="right"/>
            </w:pPr>
            <w:r>
              <w:t xml:space="preserve">19,8</w:t>
            </w:r>
          </w:p>
        </w:tc>
      </w:tr>
      <w:tr>
        <w:tc>
          <w:tcPr/>
          <w:p>
            <w:pPr>
              <w:pStyle w:val="Compact"/>
            </w:pPr>
          </w:p>
        </w:tc>
        <w:tc>
          <w:tcPr/>
          <w:p>
            <w:pPr>
              <w:pStyle w:val="Compact"/>
            </w:pPr>
            <w:r>
              <w:t xml:space="preserve">Otro familiar</w:t>
            </w:r>
          </w:p>
        </w:tc>
        <w:tc>
          <w:tcPr/>
          <w:p>
            <w:pPr>
              <w:pStyle w:val="Compact"/>
              <w:jc w:val="right"/>
            </w:pPr>
            <w:r>
              <w:t xml:space="preserve">16</w:t>
            </w:r>
          </w:p>
        </w:tc>
        <w:tc>
          <w:tcPr/>
          <w:p>
            <w:pPr>
              <w:pStyle w:val="Compact"/>
              <w:jc w:val="right"/>
            </w:pPr>
            <w:r>
              <w:t xml:space="preserve">5,0</w:t>
            </w:r>
          </w:p>
        </w:tc>
        <w:tc>
          <w:tcPr/>
          <w:p>
            <w:pPr>
              <w:pStyle w:val="Compact"/>
              <w:jc w:val="right"/>
            </w:pPr>
            <w:r>
              <w:t xml:space="preserve">17</w:t>
            </w:r>
          </w:p>
        </w:tc>
        <w:tc>
          <w:tcPr/>
          <w:p>
            <w:pPr>
              <w:pStyle w:val="Compact"/>
              <w:jc w:val="right"/>
            </w:pPr>
            <w:r>
              <w:t xml:space="preserve">5,0</w:t>
            </w:r>
          </w:p>
        </w:tc>
        <w:tc>
          <w:tcPr/>
          <w:p>
            <w:pPr>
              <w:pStyle w:val="Compact"/>
              <w:jc w:val="right"/>
            </w:pPr>
            <w:r>
              <w:t xml:space="preserve">33</w:t>
            </w:r>
          </w:p>
        </w:tc>
        <w:tc>
          <w:tcPr/>
          <w:p>
            <w:pPr>
              <w:pStyle w:val="Compact"/>
              <w:jc w:val="right"/>
            </w:pPr>
            <w:r>
              <w:t xml:space="preserve">5,0</w:t>
            </w:r>
          </w:p>
        </w:tc>
      </w:tr>
      <w:tr>
        <w:tc>
          <w:tcPr/>
          <w:p>
            <w:pPr>
              <w:pStyle w:val="Compact"/>
            </w:pPr>
          </w:p>
        </w:tc>
        <w:tc>
          <w:tcPr/>
          <w:p>
            <w:pPr>
              <w:pStyle w:val="Compact"/>
            </w:pPr>
            <w:r>
              <w:t xml:space="preserve">Perdidos</w:t>
            </w:r>
          </w:p>
        </w:tc>
        <w:tc>
          <w:tcPr/>
          <w:p>
            <w:pPr>
              <w:pStyle w:val="Compact"/>
              <w:jc w:val="right"/>
            </w:pPr>
            <w:r>
              <w:t xml:space="preserve">0</w:t>
            </w:r>
          </w:p>
        </w:tc>
        <w:tc>
          <w:tcPr/>
          <w:p>
            <w:pPr>
              <w:pStyle w:val="Compact"/>
              <w:jc w:val="right"/>
            </w:pPr>
            <w:r>
              <w:t xml:space="preserve">0,0</w:t>
            </w:r>
          </w:p>
        </w:tc>
        <w:tc>
          <w:tcPr/>
          <w:p>
            <w:pPr>
              <w:pStyle w:val="Compact"/>
              <w:jc w:val="right"/>
            </w:pPr>
            <w:r>
              <w:t xml:space="preserve">1</w:t>
            </w:r>
          </w:p>
        </w:tc>
        <w:tc>
          <w:tcPr/>
          <w:p>
            <w:pPr>
              <w:pStyle w:val="Compact"/>
              <w:jc w:val="right"/>
            </w:pPr>
            <w:r>
              <w:t xml:space="preserve">0,3</w:t>
            </w:r>
          </w:p>
        </w:tc>
        <w:tc>
          <w:tcPr/>
          <w:p>
            <w:pPr>
              <w:pStyle w:val="Compact"/>
              <w:jc w:val="right"/>
            </w:pPr>
            <w:r>
              <w:t xml:space="preserve">1</w:t>
            </w:r>
          </w:p>
        </w:tc>
        <w:tc>
          <w:tcPr/>
          <w:p>
            <w:pPr>
              <w:pStyle w:val="Compact"/>
              <w:jc w:val="right"/>
            </w:pPr>
            <w:r>
              <w:t xml:space="preserve">0,2</w:t>
            </w:r>
          </w:p>
        </w:tc>
      </w:tr>
      <w:tr>
        <w:tc>
          <w:tcPr/>
          <w:p>
            <w:pPr>
              <w:pStyle w:val="Compact"/>
            </w:pPr>
            <w:r>
              <w:t xml:space="preserve">Vivienda</w:t>
            </w:r>
          </w:p>
        </w:tc>
        <w:tc>
          <w:tcPr/>
          <w:p>
            <w:pPr>
              <w:pStyle w:val="Compact"/>
            </w:pPr>
            <w:r>
              <w:t xml:space="preserve">Propia</w:t>
            </w:r>
          </w:p>
        </w:tc>
        <w:tc>
          <w:tcPr/>
          <w:p>
            <w:pPr>
              <w:pStyle w:val="Compact"/>
              <w:jc w:val="right"/>
            </w:pPr>
            <w:r>
              <w:t xml:space="preserve">248</w:t>
            </w:r>
          </w:p>
        </w:tc>
        <w:tc>
          <w:tcPr/>
          <w:p>
            <w:pPr>
              <w:pStyle w:val="Compact"/>
              <w:jc w:val="right"/>
            </w:pPr>
            <w:r>
              <w:t xml:space="preserve">77,7</w:t>
            </w:r>
          </w:p>
        </w:tc>
        <w:tc>
          <w:tcPr/>
          <w:p>
            <w:pPr>
              <w:pStyle w:val="Compact"/>
              <w:jc w:val="right"/>
            </w:pPr>
            <w:r>
              <w:t xml:space="preserve">260</w:t>
            </w:r>
          </w:p>
        </w:tc>
        <w:tc>
          <w:tcPr/>
          <w:p>
            <w:pPr>
              <w:pStyle w:val="Compact"/>
              <w:jc w:val="right"/>
            </w:pPr>
            <w:r>
              <w:t xml:space="preserve">77,2</w:t>
            </w:r>
          </w:p>
        </w:tc>
        <w:tc>
          <w:tcPr/>
          <w:p>
            <w:pPr>
              <w:pStyle w:val="Compact"/>
              <w:jc w:val="right"/>
            </w:pPr>
            <w:r>
              <w:t xml:space="preserve">508</w:t>
            </w:r>
          </w:p>
        </w:tc>
        <w:tc>
          <w:tcPr/>
          <w:p>
            <w:pPr>
              <w:pStyle w:val="Compact"/>
              <w:jc w:val="right"/>
            </w:pPr>
            <w:r>
              <w:t xml:space="preserve">77,4</w:t>
            </w:r>
          </w:p>
        </w:tc>
      </w:tr>
      <w:tr>
        <w:tc>
          <w:tcPr/>
          <w:p>
            <w:pPr>
              <w:pStyle w:val="Compact"/>
            </w:pPr>
          </w:p>
        </w:tc>
        <w:tc>
          <w:tcPr/>
          <w:p>
            <w:pPr>
              <w:pStyle w:val="Compact"/>
            </w:pPr>
            <w:r>
              <w:t xml:space="preserve">Rentada</w:t>
            </w:r>
          </w:p>
        </w:tc>
        <w:tc>
          <w:tcPr/>
          <w:p>
            <w:pPr>
              <w:pStyle w:val="Compact"/>
              <w:jc w:val="right"/>
            </w:pPr>
            <w:r>
              <w:t xml:space="preserve">61</w:t>
            </w:r>
          </w:p>
        </w:tc>
        <w:tc>
          <w:tcPr/>
          <w:p>
            <w:pPr>
              <w:pStyle w:val="Compact"/>
              <w:jc w:val="right"/>
            </w:pPr>
            <w:r>
              <w:t xml:space="preserve">19,1</w:t>
            </w:r>
          </w:p>
        </w:tc>
        <w:tc>
          <w:tcPr/>
          <w:p>
            <w:pPr>
              <w:pStyle w:val="Compact"/>
              <w:jc w:val="right"/>
            </w:pPr>
            <w:r>
              <w:t xml:space="preserve">67</w:t>
            </w:r>
          </w:p>
        </w:tc>
        <w:tc>
          <w:tcPr/>
          <w:p>
            <w:pPr>
              <w:pStyle w:val="Compact"/>
              <w:jc w:val="right"/>
            </w:pPr>
            <w:r>
              <w:t xml:space="preserve">19,9</w:t>
            </w:r>
          </w:p>
        </w:tc>
        <w:tc>
          <w:tcPr/>
          <w:p>
            <w:pPr>
              <w:pStyle w:val="Compact"/>
              <w:jc w:val="right"/>
            </w:pPr>
            <w:r>
              <w:t xml:space="preserve">128</w:t>
            </w:r>
          </w:p>
        </w:tc>
        <w:tc>
          <w:tcPr/>
          <w:p>
            <w:pPr>
              <w:pStyle w:val="Compact"/>
              <w:jc w:val="right"/>
            </w:pPr>
            <w:r>
              <w:t xml:space="preserve">19,5</w:t>
            </w:r>
          </w:p>
        </w:tc>
      </w:tr>
      <w:tr>
        <w:tc>
          <w:tcPr/>
          <w:p>
            <w:pPr>
              <w:pStyle w:val="Compact"/>
            </w:pPr>
          </w:p>
        </w:tc>
        <w:tc>
          <w:tcPr/>
          <w:p>
            <w:pPr>
              <w:pStyle w:val="Compact"/>
            </w:pPr>
            <w:r>
              <w:t xml:space="preserve">Prestada</w:t>
            </w:r>
          </w:p>
        </w:tc>
        <w:tc>
          <w:tcPr/>
          <w:p>
            <w:pPr>
              <w:pStyle w:val="Compact"/>
              <w:jc w:val="right"/>
            </w:pPr>
            <w:r>
              <w:t xml:space="preserve">10</w:t>
            </w:r>
          </w:p>
        </w:tc>
        <w:tc>
          <w:tcPr/>
          <w:p>
            <w:pPr>
              <w:pStyle w:val="Compact"/>
              <w:jc w:val="right"/>
            </w:pPr>
            <w:r>
              <w:t xml:space="preserve">3,1</w:t>
            </w:r>
          </w:p>
        </w:tc>
        <w:tc>
          <w:tcPr/>
          <w:p>
            <w:pPr>
              <w:pStyle w:val="Compact"/>
              <w:jc w:val="right"/>
            </w:pPr>
            <w:r>
              <w:t xml:space="preserve">10</w:t>
            </w:r>
          </w:p>
        </w:tc>
        <w:tc>
          <w:tcPr/>
          <w:p>
            <w:pPr>
              <w:pStyle w:val="Compact"/>
              <w:jc w:val="right"/>
            </w:pPr>
            <w:r>
              <w:t xml:space="preserve">3,0</w:t>
            </w:r>
          </w:p>
        </w:tc>
        <w:tc>
          <w:tcPr/>
          <w:p>
            <w:pPr>
              <w:pStyle w:val="Compact"/>
              <w:jc w:val="right"/>
            </w:pPr>
            <w:r>
              <w:t xml:space="preserve">20</w:t>
            </w:r>
          </w:p>
        </w:tc>
        <w:tc>
          <w:tcPr/>
          <w:p>
            <w:pPr>
              <w:pStyle w:val="Compact"/>
              <w:jc w:val="right"/>
            </w:pPr>
            <w:r>
              <w:t xml:space="preserve">3,0</w:t>
            </w:r>
          </w:p>
        </w:tc>
      </w:tr>
      <w:tr>
        <w:tc>
          <w:tcPr/>
          <w:p>
            <w:pPr>
              <w:pStyle w:val="Compact"/>
            </w:pPr>
            <w:r>
              <w:t xml:space="preserve">Negocio familiar</w:t>
            </w:r>
          </w:p>
        </w:tc>
        <w:tc>
          <w:tcPr/>
          <w:p>
            <w:pPr>
              <w:pStyle w:val="Compact"/>
            </w:pPr>
            <w:r>
              <w:t xml:space="preserve">No</w:t>
            </w:r>
          </w:p>
        </w:tc>
        <w:tc>
          <w:tcPr/>
          <w:p>
            <w:pPr>
              <w:pStyle w:val="Compact"/>
              <w:jc w:val="right"/>
            </w:pPr>
            <w:r>
              <w:t xml:space="preserve">168</w:t>
            </w:r>
          </w:p>
        </w:tc>
        <w:tc>
          <w:tcPr/>
          <w:p>
            <w:pPr>
              <w:pStyle w:val="Compact"/>
              <w:jc w:val="right"/>
            </w:pPr>
            <w:r>
              <w:t xml:space="preserve">52,7</w:t>
            </w:r>
          </w:p>
        </w:tc>
        <w:tc>
          <w:tcPr/>
          <w:p>
            <w:pPr>
              <w:pStyle w:val="Compact"/>
              <w:jc w:val="right"/>
            </w:pPr>
            <w:r>
              <w:t xml:space="preserve">175</w:t>
            </w:r>
          </w:p>
        </w:tc>
        <w:tc>
          <w:tcPr/>
          <w:p>
            <w:pPr>
              <w:pStyle w:val="Compact"/>
              <w:jc w:val="right"/>
            </w:pPr>
            <w:r>
              <w:t xml:space="preserve">51,9</w:t>
            </w:r>
          </w:p>
        </w:tc>
        <w:tc>
          <w:tcPr/>
          <w:p>
            <w:pPr>
              <w:pStyle w:val="Compact"/>
              <w:jc w:val="right"/>
            </w:pPr>
            <w:r>
              <w:t xml:space="preserve">343</w:t>
            </w:r>
          </w:p>
        </w:tc>
        <w:tc>
          <w:tcPr/>
          <w:p>
            <w:pPr>
              <w:pStyle w:val="Compact"/>
              <w:jc w:val="right"/>
            </w:pPr>
            <w:r>
              <w:t xml:space="preserve">52,3</w:t>
            </w:r>
          </w:p>
        </w:tc>
      </w:tr>
      <w:tr>
        <w:tc>
          <w:tcPr/>
          <w:p>
            <w:pPr>
              <w:pStyle w:val="Compact"/>
            </w:pPr>
          </w:p>
        </w:tc>
        <w:tc>
          <w:tcPr/>
          <w:p>
            <w:pPr>
              <w:pStyle w:val="Compact"/>
            </w:pPr>
            <w:r>
              <w:t xml:space="preserve">Sí</w:t>
            </w:r>
          </w:p>
        </w:tc>
        <w:tc>
          <w:tcPr/>
          <w:p>
            <w:pPr>
              <w:pStyle w:val="Compact"/>
              <w:jc w:val="right"/>
            </w:pPr>
            <w:r>
              <w:t xml:space="preserve">151</w:t>
            </w:r>
          </w:p>
        </w:tc>
        <w:tc>
          <w:tcPr/>
          <w:p>
            <w:pPr>
              <w:pStyle w:val="Compact"/>
              <w:jc w:val="right"/>
            </w:pPr>
            <w:r>
              <w:t xml:space="preserve">47,3</w:t>
            </w:r>
          </w:p>
        </w:tc>
        <w:tc>
          <w:tcPr/>
          <w:p>
            <w:pPr>
              <w:pStyle w:val="Compact"/>
              <w:jc w:val="right"/>
            </w:pPr>
            <w:r>
              <w:t xml:space="preserve">162</w:t>
            </w:r>
          </w:p>
        </w:tc>
        <w:tc>
          <w:tcPr/>
          <w:p>
            <w:pPr>
              <w:pStyle w:val="Compact"/>
              <w:jc w:val="right"/>
            </w:pPr>
            <w:r>
              <w:t xml:space="preserve">48,1</w:t>
            </w:r>
          </w:p>
        </w:tc>
        <w:tc>
          <w:tcPr/>
          <w:p>
            <w:pPr>
              <w:pStyle w:val="Compact"/>
              <w:jc w:val="right"/>
            </w:pPr>
            <w:r>
              <w:t xml:space="preserve">313</w:t>
            </w:r>
          </w:p>
        </w:tc>
        <w:tc>
          <w:tcPr/>
          <w:p>
            <w:pPr>
              <w:pStyle w:val="Compact"/>
              <w:jc w:val="right"/>
            </w:pPr>
            <w:r>
              <w:t xml:space="preserve">47,7</w:t>
            </w:r>
          </w:p>
        </w:tc>
      </w:tr>
      <w:tr>
        <w:tc>
          <w:tcPr/>
          <w:p>
            <w:pPr>
              <w:pStyle w:val="Compact"/>
            </w:pPr>
            <w:r>
              <w:t xml:space="preserve">Edad (años)</w:t>
            </w:r>
          </w:p>
        </w:tc>
        <w:tc>
          <w:tcPr/>
          <w:p>
            <w:pPr>
              <w:pStyle w:val="Compact"/>
            </w:pPr>
            <w:r>
              <w:t xml:space="preserve">M (DE)</w:t>
            </w:r>
          </w:p>
        </w:tc>
        <w:tc>
          <w:tcPr/>
          <w:p>
            <w:pPr>
              <w:pStyle w:val="Compact"/>
              <w:jc w:val="right"/>
            </w:pPr>
            <w:r>
              <w:t xml:space="preserve">14,28 (2,21)</w:t>
            </w:r>
          </w:p>
        </w:tc>
        <w:tc>
          <w:tcPr/>
          <w:p>
            <w:pPr>
              <w:pStyle w:val="Compact"/>
            </w:pPr>
          </w:p>
        </w:tc>
        <w:tc>
          <w:tcPr/>
          <w:p>
            <w:pPr>
              <w:pStyle w:val="Compact"/>
              <w:jc w:val="right"/>
            </w:pPr>
            <w:r>
              <w:t xml:space="preserve">16,98 (0,98)</w:t>
            </w:r>
          </w:p>
        </w:tc>
        <w:tc>
          <w:tcPr/>
          <w:p>
            <w:pPr>
              <w:pStyle w:val="Compact"/>
            </w:pPr>
          </w:p>
        </w:tc>
        <w:tc>
          <w:tcPr/>
          <w:p>
            <w:pPr>
              <w:pStyle w:val="Compact"/>
              <w:jc w:val="right"/>
            </w:pPr>
            <w:r>
              <w:t xml:space="preserve">15,67 (2,19)</w:t>
            </w:r>
          </w:p>
        </w:tc>
        <w:tc>
          <w:tcPr/>
          <w:p>
            <w:pPr>
              <w:pStyle w:val="Compact"/>
            </w:pPr>
          </w:p>
        </w:tc>
      </w:tr>
      <w:tr>
        <w:tc>
          <w:tcPr/>
          <w:p>
            <w:pPr>
              <w:pStyle w:val="Compact"/>
            </w:pPr>
          </w:p>
        </w:tc>
        <w:tc>
          <w:tcPr/>
          <w:p>
            <w:pPr>
              <w:pStyle w:val="Compact"/>
            </w:pPr>
            <w:r>
              <w:t xml:space="preserve">Rango</w:t>
            </w:r>
          </w:p>
        </w:tc>
        <w:tc>
          <w:tcPr/>
          <w:p>
            <w:pPr>
              <w:pStyle w:val="Compact"/>
              <w:jc w:val="right"/>
            </w:pPr>
            <w:r>
              <w:t xml:space="preserve">12–18</w:t>
            </w:r>
          </w:p>
        </w:tc>
        <w:tc>
          <w:tcPr/>
          <w:p>
            <w:pPr>
              <w:pStyle w:val="Compact"/>
            </w:pPr>
          </w:p>
        </w:tc>
        <w:tc>
          <w:tcPr/>
          <w:p>
            <w:pPr>
              <w:pStyle w:val="Compact"/>
              <w:jc w:val="right"/>
            </w:pPr>
            <w:r>
              <w:t xml:space="preserve">15–20</w:t>
            </w:r>
          </w:p>
        </w:tc>
        <w:tc>
          <w:tcPr/>
          <w:p>
            <w:pPr>
              <w:pStyle w:val="Compact"/>
            </w:pPr>
          </w:p>
        </w:tc>
        <w:tc>
          <w:tcPr/>
          <w:p>
            <w:pPr>
              <w:pStyle w:val="Compact"/>
              <w:jc w:val="right"/>
            </w:pPr>
            <w:r>
              <w:t xml:space="preserve">12–20</w:t>
            </w:r>
          </w:p>
        </w:tc>
        <w:tc>
          <w:tcPr/>
          <w:p>
            <w:pPr>
              <w:pStyle w:val="Compact"/>
            </w:pPr>
          </w:p>
        </w:tc>
      </w:tr>
      <w:tr>
        <w:tc>
          <w:tcPr/>
          <w:p>
            <w:pPr>
              <w:pStyle w:val="Compact"/>
            </w:pPr>
            <w:r>
              <w:t xml:space="preserve">Grado escolar</w:t>
            </w:r>
          </w:p>
        </w:tc>
        <w:tc>
          <w:tcPr/>
          <w:p>
            <w:pPr>
              <w:pStyle w:val="Compact"/>
            </w:pPr>
            <w:r>
              <w:t xml:space="preserve">M (DE)</w:t>
            </w:r>
          </w:p>
        </w:tc>
        <w:tc>
          <w:tcPr/>
          <w:p>
            <w:pPr>
              <w:pStyle w:val="Compact"/>
              <w:jc w:val="right"/>
            </w:pPr>
            <w:r>
              <w:t xml:space="preserve">2,78 (0,41)</w:t>
            </w:r>
          </w:p>
        </w:tc>
        <w:tc>
          <w:tcPr/>
          <w:p>
            <w:pPr>
              <w:pStyle w:val="Compact"/>
            </w:pPr>
          </w:p>
        </w:tc>
        <w:tc>
          <w:tcPr/>
          <w:p>
            <w:pPr>
              <w:pStyle w:val="Compact"/>
              <w:jc w:val="right"/>
            </w:pPr>
            <w:r>
              <w:t xml:space="preserve">4,47 (1,27)</w:t>
            </w:r>
          </w:p>
        </w:tc>
        <w:tc>
          <w:tcPr/>
          <w:p>
            <w:pPr>
              <w:pStyle w:val="Compact"/>
            </w:pPr>
          </w:p>
        </w:tc>
        <w:tc>
          <w:tcPr/>
          <w:p>
            <w:pPr>
              <w:pStyle w:val="Compact"/>
              <w:jc w:val="right"/>
            </w:pPr>
            <w:r>
              <w:t xml:space="preserve">3,65 (1,29)</w:t>
            </w:r>
          </w:p>
        </w:tc>
        <w:tc>
          <w:tcPr/>
          <w:p>
            <w:pPr>
              <w:pStyle w:val="Compact"/>
            </w:pPr>
          </w:p>
        </w:tc>
      </w:tr>
      <w:tr>
        <w:tc>
          <w:tcPr/>
          <w:p>
            <w:pPr>
              <w:pStyle w:val="Compact"/>
            </w:pPr>
          </w:p>
        </w:tc>
        <w:tc>
          <w:tcPr/>
          <w:p>
            <w:pPr>
              <w:pStyle w:val="Compact"/>
            </w:pPr>
            <w:r>
              <w:t xml:space="preserve">Rango</w:t>
            </w:r>
          </w:p>
        </w:tc>
        <w:tc>
          <w:tcPr/>
          <w:p>
            <w:pPr>
              <w:pStyle w:val="Compact"/>
              <w:jc w:val="right"/>
            </w:pPr>
            <w:r>
              <w:t xml:space="preserve">1–3</w:t>
            </w:r>
          </w:p>
        </w:tc>
        <w:tc>
          <w:tcPr/>
          <w:p>
            <w:pPr>
              <w:pStyle w:val="Compact"/>
            </w:pPr>
          </w:p>
        </w:tc>
        <w:tc>
          <w:tcPr/>
          <w:p>
            <w:pPr>
              <w:pStyle w:val="Compact"/>
              <w:jc w:val="right"/>
            </w:pPr>
            <w:r>
              <w:t xml:space="preserve">1–6</w:t>
            </w:r>
          </w:p>
        </w:tc>
        <w:tc>
          <w:tcPr/>
          <w:p>
            <w:pPr>
              <w:pStyle w:val="Compact"/>
            </w:pPr>
          </w:p>
        </w:tc>
        <w:tc>
          <w:tcPr/>
          <w:p>
            <w:pPr>
              <w:pStyle w:val="Compact"/>
              <w:jc w:val="right"/>
            </w:pPr>
            <w:r>
              <w:t xml:space="preserve">1–6</w:t>
            </w:r>
          </w:p>
        </w:tc>
        <w:tc>
          <w:tcPr/>
          <w:p>
            <w:pPr>
              <w:pStyle w:val="Compact"/>
            </w:pPr>
          </w:p>
        </w:tc>
      </w:tr>
    </w:tbl>
    <w:p>
      <w:pPr>
        <w:pStyle w:val="BodyText"/>
      </w:pPr>
      <w:r>
        <w:rPr>
          <w:i/>
          <w:iCs/>
        </w:rPr>
        <w:t xml:space="preserve">Nota.</w:t>
      </w:r>
      <w:r>
        <w:t xml:space="preserve"> </w:t>
      </w:r>
      <w:r>
        <w:t xml:space="preserve">Los porcentajes por columna pueden no sumar 100 % debido al redondeo. M = media; DE = desviación estándar.</w:t>
      </w:r>
    </w:p>
    <w:p>
      <w:pPr>
        <w:pStyle w:val="BodyText"/>
      </w:pPr>
      <w:r>
        <w:t xml:space="preserve">La distribución por sexo fue prácticamente equivalente (49,2 % hombres; 50,6 % mujeres), al igual que la proporción de estudiantes cuyos hogares cuentan con un negocio familiar (47,7 %). La inmensa mayoría asiste a escuelas públicas (96,5 %), vive con ambos padres (75,0 %) y en vivienda propia (77,4 %).</w:t>
      </w:r>
    </w:p>
    <w:p>
      <w:pPr>
        <w:pStyle w:val="BodyText"/>
      </w:pPr>
      <w:r>
        <w:t xml:space="preserve">El test chi-cuadrado de homogeneidad entre niveles educativos no detectó asociación significativa para sexo (χ²(2) = 2,32, p = ,313), convivencia (χ²(3) = 4,59, p = ,204), tipo de vivienda (χ²(2) = 0,34, p = ,846) ni negocio familiar (χ²(1) = 3,40, p = ,065). La única variable sociodemográfica con asociación significativa con el nivel fue</w:t>
      </w:r>
      <w:r>
        <w:t xml:space="preserve"> </w:t>
      </w:r>
      <w:r>
        <w:rPr>
          <w:b/>
          <w:bCs/>
        </w:rPr>
        <w:t xml:space="preserve">tipo de escuela</w:t>
      </w:r>
      <w:r>
        <w:t xml:space="preserve"> </w:t>
      </w:r>
      <w:r>
        <w:t xml:space="preserve">(χ²(1) = 25,18, p &lt; ,001): las escuelas privadas están sobrerrepresentadas en bachillerato (13/23 = 56,5 %).</w:t>
      </w:r>
    </w:p>
    <w:p>
      <w:r>
        <w:pict>
          <v:rect style="width:0;height:1.5pt" o:hralign="center" o:hrstd="t" o:hr="t"/>
        </w:pict>
      </w:r>
    </w:p>
    <w:bookmarkEnd w:id="10"/>
    <w:bookmarkEnd w:id="11"/>
    <w:bookmarkStart w:id="13" w:name="consistencia-interna-alfa-de-cronbach"/>
    <w:p>
      <w:pPr>
        <w:pStyle w:val="Heading2"/>
      </w:pPr>
      <w:r>
        <w:t xml:space="preserve">3. Consistencia interna — Alfa de Cronbach</w:t>
      </w:r>
    </w:p>
    <w:p>
      <w:pPr>
        <w:pStyle w:val="FirstParagraph"/>
      </w:pPr>
      <w:r>
        <w:t xml:space="preserve">Se calcularon tres coeficientes α de Cronbach para evaluar la consistencia interna de los ítems Likert: (a) escala global de 14 ítems Likert, (b) subescala de conocimiento financiero (8 ítems) y (c) subescala de actitud hacia la educación financiera (4 ítems). Se siguió el criterio de Nunnally (1978) y Tavakol y Dennick (2011), que establecen α ≥ 0,70 como umbral mínimo aceptable para investigación en ciencias sociales.</w:t>
      </w:r>
    </w:p>
    <w:bookmarkStart w:id="12" w:name="tabla-2"/>
    <w:p>
      <w:pPr>
        <w:pStyle w:val="Heading3"/>
      </w:pPr>
      <w:r>
        <w:t xml:space="preserve">Tabla 2</w:t>
      </w:r>
    </w:p>
    <w:p>
      <w:pPr>
        <w:pStyle w:val="FirstParagraph"/>
      </w:pPr>
      <w:r>
        <w:rPr>
          <w:b/>
          <w:bCs/>
        </w:rPr>
        <w:t xml:space="preserve">Coeficientes alfa de Cronbach por subescala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Escala</w:t>
            </w:r>
          </w:p>
        </w:tc>
        <w:tc>
          <w:tcPr/>
          <w:p>
            <w:pPr>
              <w:pStyle w:val="Compact"/>
              <w:jc w:val="right"/>
            </w:pPr>
            <w:r>
              <w:t xml:space="preserve">Ítems (k)</w:t>
            </w:r>
          </w:p>
        </w:tc>
        <w:tc>
          <w:tcPr/>
          <w:p>
            <w:pPr>
              <w:pStyle w:val="Compact"/>
              <w:jc w:val="right"/>
            </w:pPr>
            <w:r>
              <w:t xml:space="preserve">α de Cronbach</w:t>
            </w:r>
          </w:p>
        </w:tc>
        <w:tc>
          <w:tcPr/>
          <w:p>
            <w:pPr>
              <w:pStyle w:val="Compact"/>
            </w:pPr>
            <w:r>
              <w:t xml:space="preserve">Interpretación</w:t>
            </w:r>
          </w:p>
        </w:tc>
      </w:tr>
      <w:tr>
        <w:tc>
          <w:tcPr/>
          <w:p>
            <w:pPr>
              <w:pStyle w:val="Compact"/>
            </w:pPr>
            <w:r>
              <w:t xml:space="preserve">Global (todos los Likert)</w:t>
            </w:r>
          </w:p>
        </w:tc>
        <w:tc>
          <w:tcPr/>
          <w:p>
            <w:pPr>
              <w:pStyle w:val="Compact"/>
              <w:jc w:val="right"/>
            </w:pPr>
            <w:r>
              <w:t xml:space="preserve">14</w:t>
            </w:r>
          </w:p>
        </w:tc>
        <w:tc>
          <w:tcPr/>
          <w:p>
            <w:pPr>
              <w:pStyle w:val="Compact"/>
              <w:jc w:val="right"/>
            </w:pPr>
            <w:r>
              <w:t xml:space="preserve">0,849</w:t>
            </w:r>
          </w:p>
        </w:tc>
        <w:tc>
          <w:tcPr/>
          <w:p>
            <w:pPr>
              <w:pStyle w:val="Compact"/>
            </w:pPr>
            <w:r>
              <w:t xml:space="preserve">Bueno</w:t>
            </w:r>
          </w:p>
        </w:tc>
      </w:tr>
      <w:tr>
        <w:tc>
          <w:tcPr/>
          <w:p>
            <w:pPr>
              <w:pStyle w:val="Compact"/>
            </w:pPr>
            <w:r>
              <w:t xml:space="preserve">Conocimiento financiero</w:t>
            </w:r>
          </w:p>
        </w:tc>
        <w:tc>
          <w:tcPr/>
          <w:p>
            <w:pPr>
              <w:pStyle w:val="Compact"/>
              <w:jc w:val="right"/>
            </w:pPr>
            <w:r>
              <w:t xml:space="preserve">8</w:t>
            </w:r>
          </w:p>
        </w:tc>
        <w:tc>
          <w:tcPr/>
          <w:p>
            <w:pPr>
              <w:pStyle w:val="Compact"/>
              <w:jc w:val="right"/>
            </w:pPr>
            <w:r>
              <w:t xml:space="preserve">0,835</w:t>
            </w:r>
          </w:p>
        </w:tc>
        <w:tc>
          <w:tcPr/>
          <w:p>
            <w:pPr>
              <w:pStyle w:val="Compact"/>
            </w:pPr>
            <w:r>
              <w:t xml:space="preserve">Bueno</w:t>
            </w:r>
          </w:p>
        </w:tc>
      </w:tr>
      <w:tr>
        <w:tc>
          <w:tcPr/>
          <w:p>
            <w:pPr>
              <w:pStyle w:val="Compact"/>
            </w:pPr>
            <w:r>
              <w:t xml:space="preserve">Actitud hacia la educación financiera</w:t>
            </w:r>
          </w:p>
        </w:tc>
        <w:tc>
          <w:tcPr/>
          <w:p>
            <w:pPr>
              <w:pStyle w:val="Compact"/>
              <w:jc w:val="right"/>
            </w:pPr>
            <w:r>
              <w:t xml:space="preserve">4</w:t>
            </w:r>
          </w:p>
        </w:tc>
        <w:tc>
          <w:tcPr/>
          <w:p>
            <w:pPr>
              <w:pStyle w:val="Compact"/>
              <w:jc w:val="right"/>
            </w:pPr>
            <w:r>
              <w:t xml:space="preserve">0,747</w:t>
            </w:r>
          </w:p>
        </w:tc>
        <w:tc>
          <w:tcPr/>
          <w:p>
            <w:pPr>
              <w:pStyle w:val="Compact"/>
            </w:pPr>
            <w:r>
              <w:t xml:space="preserve">Aceptable</w:t>
            </w:r>
          </w:p>
        </w:tc>
      </w:tr>
    </w:tbl>
    <w:p>
      <w:pPr>
        <w:pStyle w:val="BodyText"/>
      </w:pPr>
      <w:r>
        <w:rPr>
          <w:i/>
          <w:iCs/>
        </w:rPr>
        <w:t xml:space="preserve">Nota.</w:t>
      </w:r>
      <w:r>
        <w:t xml:space="preserve"> </w:t>
      </w:r>
      <w:r>
        <w:t xml:space="preserve">La subescala de Comportamiento financiero se construyó como índice sumario de tres ítems dicotómicos (0/1) y, por su naturaleza categórica, no se evaluó con α de Cronbach. Los criterios de interpretación siguen a Tavakol y Dennick (2011): α ≥ 0,90 excelente; α ≥ 0,80 bueno; α ≥ 0,70 aceptable.</w:t>
      </w:r>
    </w:p>
    <w:p>
      <w:pPr>
        <w:pStyle w:val="BodyText"/>
      </w:pPr>
      <w:r>
        <w:t xml:space="preserve">El α global de 0,849 indica que la escala Likert en su conjunto es internamente consistente y adecuada para análisis agregados. La subescala de conocimiento (α = 0,835) presentó una consistencia ligeramente inferior pero aún dentro del rango</w:t>
      </w:r>
      <w:r>
        <w:t xml:space="preserve"> </w:t>
      </w:r>
      <w:r>
        <w:t xml:space="preserve">“bueno”</w:t>
      </w:r>
      <w:r>
        <w:t xml:space="preserve">. La subescala de actitud (α = 0,747) alcanzó el umbral mínimo aceptable, si bien con menor holgura; un valor más alto podría obtenerse con la adición de ítems actitudinales, lo que se recomienda para futuros estudios.</w:t>
      </w:r>
    </w:p>
    <w:p>
      <w:pPr>
        <w:pStyle w:val="BodyText"/>
      </w:pPr>
      <w:r>
        <w:t xml:space="preserve">El ítem</w:t>
      </w:r>
      <w:r>
        <w:t xml:space="preserve"> </w:t>
      </w:r>
      <w:r>
        <w:rPr>
          <w:rStyle w:val="VerbatimChar"/>
        </w:rPr>
        <w:t xml:space="preserve">p09_opinion_credito_banco_caja</w:t>
      </w:r>
      <w:r>
        <w:t xml:space="preserve"> </w:t>
      </w:r>
      <w:r>
        <w:t xml:space="preserve">(opinión sobre sacar crédito en banco o caja popular) se excluyó deliberadamente de las subescalas de conocimiento y actitud por su naturaleza actitudinal-opinable, y se mantuvo en la escala global. Esta decisión, justificada en la sección 5.2 de</w:t>
      </w:r>
      <w:r>
        <w:t xml:space="preserve"> </w:t>
      </w:r>
      <w:r>
        <w:rPr>
          <w:rStyle w:val="VerbatimChar"/>
        </w:rPr>
        <w:t xml:space="preserve">docs/metodologia.md</w:t>
      </w:r>
      <w:r>
        <w:t xml:space="preserve">, refleja que el instrumento operacionaliza tres dimensiones distintas del constructo de educación financiera.</w:t>
      </w:r>
    </w:p>
    <w:p>
      <w:r>
        <w:pict>
          <v:rect style="width:0;height:1.5pt" o:hralign="center" o:hrstd="t" o:hr="t"/>
        </w:pict>
      </w:r>
    </w:p>
    <w:bookmarkEnd w:id="12"/>
    <w:bookmarkEnd w:id="13"/>
    <w:bookmarkStart w:id="15" w:name="X468c0d4eaaa49e1e0e41bd3e8ab7d1181c18be3"/>
    <w:p>
      <w:pPr>
        <w:pStyle w:val="Heading2"/>
      </w:pPr>
      <w:r>
        <w:t xml:space="preserve">4. Concordancia de patrones — Test de Friedman por nivel educativo</w:t>
      </w:r>
    </w:p>
    <w:p>
      <w:pPr>
        <w:pStyle w:val="FirstParagraph"/>
      </w:pPr>
      <w:r>
        <w:t xml:space="preserve">Para evaluar si los 14 ítems Likert presentan distribuciones homogéneas dentro de cada respondedor (auto-reporte), se aplicó la prueba de Friedman por separado para cada nivel educativo. Esta prueba sustituye al Coeficiente W de Kendall, originalmente propuesto en el protocolo, por dos razones: (a) W requiere múltiples evaluadores que califican los mismos objetos, condición que no se cumple con un respondedor por estudiante; (b) Friedman es la alternativa no paramétrica adecuada para comparar distribuciones de k muestras relacionadas medidas en escala ordinal (Siegel y Castellan, 1988). La implementación en SPSS v2.6 utiliza</w:t>
      </w:r>
      <w:r>
        <w:t xml:space="preserve"> </w:t>
      </w:r>
      <w:r>
        <w:rPr>
          <w:rStyle w:val="VerbatimChar"/>
        </w:rPr>
        <w:t xml:space="preserve">TEMPORARY + SELECT IF</w:t>
      </w:r>
      <w:r>
        <w:t xml:space="preserve"> </w:t>
      </w:r>
      <w:r>
        <w:t xml:space="preserve">para segmentar por nivel, evitando el error 4757 que producía</w:t>
      </w:r>
      <w:r>
        <w:t xml:space="preserve"> </w:t>
      </w:r>
      <w:r>
        <w:rPr>
          <w:rStyle w:val="VerbatimChar"/>
        </w:rPr>
        <w:t xml:space="preserve">SPLIT FILE</w:t>
      </w:r>
      <w:r>
        <w:t xml:space="preserve"> </w:t>
      </w:r>
      <w:r>
        <w:t xml:space="preserve">con el elevado número de variables de cadena del dataset.</w:t>
      </w:r>
    </w:p>
    <w:bookmarkStart w:id="14" w:name="tabla-3"/>
    <w:p>
      <w:pPr>
        <w:pStyle w:val="Heading3"/>
      </w:pPr>
      <w:r>
        <w:t xml:space="preserve">Tabla 3</w:t>
      </w:r>
    </w:p>
    <w:p>
      <w:pPr>
        <w:pStyle w:val="FirstParagraph"/>
      </w:pPr>
      <w:r>
        <w:rPr>
          <w:b/>
          <w:bCs/>
        </w:rPr>
        <w:t xml:space="preserve">Test de Friedman: rangos promedio por ítem según nivel educativo</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Ítem</w:t>
            </w:r>
          </w:p>
        </w:tc>
        <w:tc>
          <w:tcPr/>
          <w:p>
            <w:pPr>
              <w:pStyle w:val="Compact"/>
            </w:pPr>
            <w:r>
              <w:t xml:space="preserve">Descripción</w:t>
            </w:r>
          </w:p>
        </w:tc>
        <w:tc>
          <w:tcPr/>
          <w:p>
            <w:pPr>
              <w:pStyle w:val="Compact"/>
              <w:jc w:val="right"/>
            </w:pPr>
            <w:r>
              <w:t xml:space="preserve">Rango promedio (Secundaria, n = 317)</w:t>
            </w:r>
          </w:p>
        </w:tc>
        <w:tc>
          <w:tcPr/>
          <w:p>
            <w:pPr>
              <w:pStyle w:val="Compact"/>
              <w:jc w:val="right"/>
            </w:pPr>
            <w:r>
              <w:t xml:space="preserve">Rango promedio (Bachillerato, n = 335)</w:t>
            </w:r>
          </w:p>
        </w:tc>
      </w:tr>
      <w:tr>
        <w:tc>
          <w:tcPr/>
          <w:p>
            <w:pPr>
              <w:pStyle w:val="Compact"/>
            </w:pPr>
            <w:r>
              <w:t xml:space="preserve">P01</w:t>
            </w:r>
          </w:p>
        </w:tc>
        <w:tc>
          <w:tcPr/>
          <w:p>
            <w:pPr>
              <w:pStyle w:val="Compact"/>
            </w:pPr>
            <w:r>
              <w:t xml:space="preserve">Ha escuchado sobre educación financiera</w:t>
            </w:r>
          </w:p>
        </w:tc>
        <w:tc>
          <w:tcPr/>
          <w:p>
            <w:pPr>
              <w:pStyle w:val="Compact"/>
              <w:jc w:val="right"/>
            </w:pPr>
            <w:r>
              <w:t xml:space="preserve">5,74</w:t>
            </w:r>
          </w:p>
        </w:tc>
        <w:tc>
          <w:tcPr/>
          <w:p>
            <w:pPr>
              <w:pStyle w:val="Compact"/>
              <w:jc w:val="right"/>
            </w:pPr>
            <w:r>
              <w:t xml:space="preserve">—</w:t>
            </w:r>
          </w:p>
        </w:tc>
      </w:tr>
      <w:tr>
        <w:tc>
          <w:tcPr/>
          <w:p>
            <w:pPr>
              <w:pStyle w:val="Compact"/>
            </w:pPr>
            <w:r>
              <w:t xml:space="preserve">P02</w:t>
            </w:r>
          </w:p>
        </w:tc>
        <w:tc>
          <w:tcPr/>
          <w:p>
            <w:pPr>
              <w:pStyle w:val="Compact"/>
            </w:pPr>
            <w:r>
              <w:t xml:space="preserve">Conoce el significado de educación financiera</w:t>
            </w:r>
          </w:p>
        </w:tc>
        <w:tc>
          <w:tcPr/>
          <w:p>
            <w:pPr>
              <w:pStyle w:val="Compact"/>
              <w:jc w:val="right"/>
            </w:pPr>
            <w:r>
              <w:t xml:space="preserve">4,60</w:t>
            </w:r>
          </w:p>
        </w:tc>
        <w:tc>
          <w:tcPr/>
          <w:p>
            <w:pPr>
              <w:pStyle w:val="Compact"/>
              <w:jc w:val="right"/>
            </w:pPr>
            <w:r>
              <w:t xml:space="preserve">—</w:t>
            </w:r>
          </w:p>
        </w:tc>
      </w:tr>
      <w:tr>
        <w:tc>
          <w:tcPr/>
          <w:p>
            <w:pPr>
              <w:pStyle w:val="Compact"/>
            </w:pPr>
            <w:r>
              <w:t xml:space="preserve">P03</w:t>
            </w:r>
          </w:p>
        </w:tc>
        <w:tc>
          <w:tcPr/>
          <w:p>
            <w:pPr>
              <w:pStyle w:val="Compact"/>
            </w:pPr>
            <w:r>
              <w:t xml:space="preserve">Le gustaría aprender educación financiera</w:t>
            </w:r>
          </w:p>
        </w:tc>
        <w:tc>
          <w:tcPr/>
          <w:p>
            <w:pPr>
              <w:pStyle w:val="Compact"/>
              <w:jc w:val="right"/>
            </w:pPr>
            <w:r>
              <w:t xml:space="preserve">8,93</w:t>
            </w:r>
          </w:p>
        </w:tc>
        <w:tc>
          <w:tcPr/>
          <w:p>
            <w:pPr>
              <w:pStyle w:val="Compact"/>
              <w:jc w:val="right"/>
            </w:pPr>
            <w:r>
              <w:t xml:space="preserve">—</w:t>
            </w:r>
          </w:p>
        </w:tc>
      </w:tr>
      <w:tr>
        <w:tc>
          <w:tcPr/>
          <w:p>
            <w:pPr>
              <w:pStyle w:val="Compact"/>
            </w:pPr>
            <w:r>
              <w:t xml:space="preserve">P04</w:t>
            </w:r>
          </w:p>
        </w:tc>
        <w:tc>
          <w:tcPr/>
          <w:p>
            <w:pPr>
              <w:pStyle w:val="Compact"/>
            </w:pPr>
            <w:r>
              <w:t xml:space="preserve">Considera importante la educación financiera</w:t>
            </w:r>
          </w:p>
        </w:tc>
        <w:tc>
          <w:tcPr/>
          <w:p>
            <w:pPr>
              <w:pStyle w:val="Compact"/>
              <w:jc w:val="right"/>
            </w:pPr>
            <w:r>
              <w:t xml:space="preserve">10,39</w:t>
            </w:r>
          </w:p>
        </w:tc>
        <w:tc>
          <w:tcPr/>
          <w:p>
            <w:pPr>
              <w:pStyle w:val="Compact"/>
              <w:jc w:val="right"/>
            </w:pPr>
            <w:r>
              <w:t xml:space="preserve">—</w:t>
            </w:r>
          </w:p>
        </w:tc>
      </w:tr>
      <w:tr>
        <w:tc>
          <w:tcPr/>
          <w:p>
            <w:pPr>
              <w:pStyle w:val="Compact"/>
            </w:pPr>
            <w:r>
              <w:t xml:space="preserve">P06</w:t>
            </w:r>
          </w:p>
        </w:tc>
        <w:tc>
          <w:tcPr/>
          <w:p>
            <w:pPr>
              <w:pStyle w:val="Compact"/>
            </w:pPr>
            <w:r>
              <w:t xml:space="preserve">Conoce el significado de ahorro</w:t>
            </w:r>
          </w:p>
        </w:tc>
        <w:tc>
          <w:tcPr/>
          <w:p>
            <w:pPr>
              <w:pStyle w:val="Compact"/>
              <w:jc w:val="right"/>
            </w:pPr>
            <w:r>
              <w:t xml:space="preserve">10,68</w:t>
            </w:r>
          </w:p>
        </w:tc>
        <w:tc>
          <w:tcPr/>
          <w:p>
            <w:pPr>
              <w:pStyle w:val="Compact"/>
              <w:jc w:val="right"/>
            </w:pPr>
            <w:r>
              <w:t xml:space="preserve">—</w:t>
            </w:r>
          </w:p>
        </w:tc>
      </w:tr>
      <w:tr>
        <w:tc>
          <w:tcPr/>
          <w:p>
            <w:pPr>
              <w:pStyle w:val="Compact"/>
            </w:pPr>
            <w:r>
              <w:t xml:space="preserve">P08</w:t>
            </w:r>
          </w:p>
        </w:tc>
        <w:tc>
          <w:tcPr/>
          <w:p>
            <w:pPr>
              <w:pStyle w:val="Compact"/>
            </w:pPr>
            <w:r>
              <w:t xml:space="preserve">Es constante y responsable al ahorrar</w:t>
            </w:r>
          </w:p>
        </w:tc>
        <w:tc>
          <w:tcPr/>
          <w:p>
            <w:pPr>
              <w:pStyle w:val="Compact"/>
              <w:jc w:val="right"/>
            </w:pPr>
            <w:r>
              <w:t xml:space="preserve">6,86</w:t>
            </w:r>
          </w:p>
        </w:tc>
        <w:tc>
          <w:tcPr/>
          <w:p>
            <w:pPr>
              <w:pStyle w:val="Compact"/>
              <w:jc w:val="right"/>
            </w:pPr>
            <w:r>
              <w:t xml:space="preserve">—</w:t>
            </w:r>
          </w:p>
        </w:tc>
      </w:tr>
      <w:tr>
        <w:tc>
          <w:tcPr/>
          <w:p>
            <w:pPr>
              <w:pStyle w:val="Compact"/>
            </w:pPr>
            <w:r>
              <w:t xml:space="preserve">P09</w:t>
            </w:r>
          </w:p>
        </w:tc>
        <w:tc>
          <w:tcPr/>
          <w:p>
            <w:pPr>
              <w:pStyle w:val="Compact"/>
            </w:pPr>
            <w:r>
              <w:t xml:space="preserve">Opinión sobre sacar crédito en banco o caja popular</w:t>
            </w:r>
          </w:p>
        </w:tc>
        <w:tc>
          <w:tcPr/>
          <w:p>
            <w:pPr>
              <w:pStyle w:val="Compact"/>
              <w:jc w:val="right"/>
            </w:pPr>
            <w:r>
              <w:t xml:space="preserve">7,02</w:t>
            </w:r>
          </w:p>
        </w:tc>
        <w:tc>
          <w:tcPr/>
          <w:p>
            <w:pPr>
              <w:pStyle w:val="Compact"/>
              <w:jc w:val="right"/>
            </w:pPr>
            <w:r>
              <w:t xml:space="preserve">—</w:t>
            </w:r>
          </w:p>
        </w:tc>
      </w:tr>
      <w:tr>
        <w:tc>
          <w:tcPr/>
          <w:p>
            <w:pPr>
              <w:pStyle w:val="Compact"/>
            </w:pPr>
            <w:r>
              <w:t xml:space="preserve">P10</w:t>
            </w:r>
          </w:p>
        </w:tc>
        <w:tc>
          <w:tcPr/>
          <w:p>
            <w:pPr>
              <w:pStyle w:val="Compact"/>
            </w:pPr>
            <w:r>
              <w:t xml:space="preserve">Conoce qué es un crédito</w:t>
            </w:r>
          </w:p>
        </w:tc>
        <w:tc>
          <w:tcPr/>
          <w:p>
            <w:pPr>
              <w:pStyle w:val="Compact"/>
              <w:jc w:val="right"/>
            </w:pPr>
            <w:r>
              <w:t xml:space="preserve">7,86</w:t>
            </w:r>
          </w:p>
        </w:tc>
        <w:tc>
          <w:tcPr/>
          <w:p>
            <w:pPr>
              <w:pStyle w:val="Compact"/>
              <w:jc w:val="right"/>
            </w:pPr>
            <w:r>
              <w:t xml:space="preserve">—</w:t>
            </w:r>
          </w:p>
        </w:tc>
      </w:tr>
      <w:tr>
        <w:tc>
          <w:tcPr/>
          <w:p>
            <w:pPr>
              <w:pStyle w:val="Compact"/>
            </w:pPr>
            <w:r>
              <w:t xml:space="preserve">P11</w:t>
            </w:r>
          </w:p>
        </w:tc>
        <w:tc>
          <w:tcPr/>
          <w:p>
            <w:pPr>
              <w:pStyle w:val="Compact"/>
            </w:pPr>
            <w:r>
              <w:t xml:space="preserve">Conoce qué es un presupuesto</w:t>
            </w:r>
          </w:p>
        </w:tc>
        <w:tc>
          <w:tcPr/>
          <w:p>
            <w:pPr>
              <w:pStyle w:val="Compact"/>
              <w:jc w:val="right"/>
            </w:pPr>
            <w:r>
              <w:t xml:space="preserve">9,34</w:t>
            </w:r>
          </w:p>
        </w:tc>
        <w:tc>
          <w:tcPr/>
          <w:p>
            <w:pPr>
              <w:pStyle w:val="Compact"/>
              <w:jc w:val="right"/>
            </w:pPr>
            <w:r>
              <w:t xml:space="preserve">—</w:t>
            </w:r>
          </w:p>
        </w:tc>
      </w:tr>
      <w:tr>
        <w:tc>
          <w:tcPr/>
          <w:p>
            <w:pPr>
              <w:pStyle w:val="Compact"/>
            </w:pPr>
            <w:r>
              <w:t xml:space="preserve">P12</w:t>
            </w:r>
          </w:p>
        </w:tc>
        <w:tc>
          <w:tcPr/>
          <w:p>
            <w:pPr>
              <w:pStyle w:val="Compact"/>
            </w:pPr>
            <w:r>
              <w:t xml:space="preserve">Conoce qué significa tasa de interés</w:t>
            </w:r>
          </w:p>
        </w:tc>
        <w:tc>
          <w:tcPr/>
          <w:p>
            <w:pPr>
              <w:pStyle w:val="Compact"/>
              <w:jc w:val="right"/>
            </w:pPr>
            <w:r>
              <w:t xml:space="preserve">5,11</w:t>
            </w:r>
          </w:p>
        </w:tc>
        <w:tc>
          <w:tcPr/>
          <w:p>
            <w:pPr>
              <w:pStyle w:val="Compact"/>
              <w:jc w:val="right"/>
            </w:pPr>
            <w:r>
              <w:t xml:space="preserve">—</w:t>
            </w:r>
          </w:p>
        </w:tc>
      </w:tr>
      <w:tr>
        <w:tc>
          <w:tcPr/>
          <w:p>
            <w:pPr>
              <w:pStyle w:val="Compact"/>
            </w:pPr>
            <w:r>
              <w:t xml:space="preserve">P13</w:t>
            </w:r>
          </w:p>
        </w:tc>
        <w:tc>
          <w:tcPr/>
          <w:p>
            <w:pPr>
              <w:pStyle w:val="Compact"/>
            </w:pPr>
            <w:r>
              <w:t xml:space="preserve">Comprende qué es una inversión</w:t>
            </w:r>
          </w:p>
        </w:tc>
        <w:tc>
          <w:tcPr/>
          <w:p>
            <w:pPr>
              <w:pStyle w:val="Compact"/>
              <w:jc w:val="right"/>
            </w:pPr>
            <w:r>
              <w:t xml:space="preserve">8,98</w:t>
            </w:r>
          </w:p>
        </w:tc>
        <w:tc>
          <w:tcPr/>
          <w:p>
            <w:pPr>
              <w:pStyle w:val="Compact"/>
              <w:jc w:val="right"/>
            </w:pPr>
            <w:r>
              <w:t xml:space="preserve">—</w:t>
            </w:r>
          </w:p>
        </w:tc>
      </w:tr>
      <w:tr>
        <w:tc>
          <w:tcPr/>
          <w:p>
            <w:pPr>
              <w:pStyle w:val="Compact"/>
            </w:pPr>
            <w:r>
              <w:t xml:space="preserve">P14</w:t>
            </w:r>
          </w:p>
        </w:tc>
        <w:tc>
          <w:tcPr/>
          <w:p>
            <w:pPr>
              <w:pStyle w:val="Compact"/>
            </w:pPr>
            <w:r>
              <w:t xml:space="preserve">Entiende el significado de inflación</w:t>
            </w:r>
          </w:p>
        </w:tc>
        <w:tc>
          <w:tcPr/>
          <w:p>
            <w:pPr>
              <w:pStyle w:val="Compact"/>
              <w:jc w:val="right"/>
            </w:pPr>
            <w:r>
              <w:t xml:space="preserve">6,33</w:t>
            </w:r>
          </w:p>
        </w:tc>
        <w:tc>
          <w:tcPr/>
          <w:p>
            <w:pPr>
              <w:pStyle w:val="Compact"/>
              <w:jc w:val="right"/>
            </w:pPr>
            <w:r>
              <w:t xml:space="preserve">—</w:t>
            </w:r>
          </w:p>
        </w:tc>
      </w:tr>
      <w:tr>
        <w:tc>
          <w:tcPr/>
          <w:p>
            <w:pPr>
              <w:pStyle w:val="Compact"/>
            </w:pPr>
            <w:r>
              <w:t xml:space="preserve">P15</w:t>
            </w:r>
          </w:p>
        </w:tc>
        <w:tc>
          <w:tcPr/>
          <w:p>
            <w:pPr>
              <w:pStyle w:val="Compact"/>
            </w:pPr>
            <w:r>
              <w:t xml:space="preserve">Entiende el significado de devaluación</w:t>
            </w:r>
          </w:p>
        </w:tc>
        <w:tc>
          <w:tcPr/>
          <w:p>
            <w:pPr>
              <w:pStyle w:val="Compact"/>
              <w:jc w:val="right"/>
            </w:pPr>
            <w:r>
              <w:t xml:space="preserve">6,13</w:t>
            </w:r>
          </w:p>
        </w:tc>
        <w:tc>
          <w:tcPr/>
          <w:p>
            <w:pPr>
              <w:pStyle w:val="Compact"/>
              <w:jc w:val="right"/>
            </w:pPr>
            <w:r>
              <w:t xml:space="preserve">—</w:t>
            </w:r>
          </w:p>
        </w:tc>
      </w:tr>
      <w:tr>
        <w:tc>
          <w:tcPr/>
          <w:p>
            <w:pPr>
              <w:pStyle w:val="Compact"/>
            </w:pPr>
            <w:r>
              <w:t xml:space="preserve">P16</w:t>
            </w:r>
          </w:p>
        </w:tc>
        <w:tc>
          <w:tcPr/>
          <w:p>
            <w:pPr>
              <w:pStyle w:val="Compact"/>
            </w:pPr>
            <w:r>
              <w:t xml:space="preserve">Identifica diferencias entre tarjeta de crédito y débito</w:t>
            </w:r>
          </w:p>
        </w:tc>
        <w:tc>
          <w:tcPr/>
          <w:p>
            <w:pPr>
              <w:pStyle w:val="Compact"/>
              <w:jc w:val="right"/>
            </w:pPr>
            <w:r>
              <w:t xml:space="preserve">7,03</w:t>
            </w:r>
          </w:p>
        </w:tc>
        <w:tc>
          <w:tcPr/>
          <w:p>
            <w:pPr>
              <w:pStyle w:val="Compact"/>
              <w:jc w:val="right"/>
            </w:pPr>
            <w:r>
              <w:t xml:space="preserve">—</w:t>
            </w:r>
          </w:p>
        </w:tc>
      </w:tr>
    </w:tbl>
    <w:p>
      <w:pPr>
        <w:pStyle w:val="BodyText"/>
      </w:pPr>
      <w:r>
        <w:rPr>
          <w:i/>
          <w:iCs/>
        </w:rPr>
        <w:t xml:space="preserve">Nota.</w:t>
      </w:r>
      <w:r>
        <w:t xml:space="preserve"> </w:t>
      </w:r>
      <w:r>
        <w:t xml:space="preserve">En cada ejecución, Friedman opera sobre N = casos válidos para los 14 ítems simultáneamente (N = 317 en secundaria y N = 335 en bachillerato, después de la exclusión por pares de los casos con al menos un valor perdido en los 14 ítems).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Estadístico</w:t>
            </w:r>
          </w:p>
        </w:tc>
        <w:tc>
          <w:tcPr/>
          <w:p>
            <w:pPr>
              <w:pStyle w:val="Compact"/>
              <w:jc w:val="right"/>
            </w:pPr>
            <w:r>
              <w:t xml:space="preserve">Secundaria</w:t>
            </w:r>
          </w:p>
        </w:tc>
        <w:tc>
          <w:tcPr/>
          <w:p>
            <w:pPr>
              <w:pStyle w:val="Compact"/>
              <w:jc w:val="right"/>
            </w:pPr>
            <w:r>
              <w:t xml:space="preserve">Bachillerato</w:t>
            </w:r>
          </w:p>
        </w:tc>
      </w:tr>
      <w:tr>
        <w:tc>
          <w:tcPr/>
          <w:p>
            <w:pPr>
              <w:pStyle w:val="Compact"/>
            </w:pPr>
            <w:r>
              <w:t xml:space="preserve">N válido</w:t>
            </w:r>
          </w:p>
        </w:tc>
        <w:tc>
          <w:tcPr/>
          <w:p>
            <w:pPr>
              <w:pStyle w:val="Compact"/>
              <w:jc w:val="right"/>
            </w:pPr>
            <w:r>
              <w:t xml:space="preserve">317</w:t>
            </w:r>
          </w:p>
        </w:tc>
        <w:tc>
          <w:tcPr/>
          <w:p>
            <w:pPr>
              <w:pStyle w:val="Compact"/>
              <w:jc w:val="right"/>
            </w:pPr>
            <w:r>
              <w:t xml:space="preserve">335</w:t>
            </w:r>
          </w:p>
        </w:tc>
      </w:tr>
      <w:tr>
        <w:tc>
          <w:tcPr/>
          <w:p>
            <w:pPr>
              <w:pStyle w:val="Compact"/>
            </w:pPr>
            <w:r>
              <w:t xml:space="preserve">χ² de Friedman</w:t>
            </w:r>
          </w:p>
        </w:tc>
        <w:tc>
          <w:tcPr/>
          <w:p>
            <w:pPr>
              <w:pStyle w:val="Compact"/>
              <w:jc w:val="right"/>
            </w:pPr>
            <w:r>
              <w:t xml:space="preserve">1056,646</w:t>
            </w:r>
          </w:p>
        </w:tc>
        <w:tc>
          <w:tcPr/>
          <w:p>
            <w:pPr>
              <w:pStyle w:val="Compact"/>
              <w:jc w:val="right"/>
            </w:pPr>
            <w:r>
              <w:t xml:space="preserve">1066,556</w:t>
            </w:r>
          </w:p>
        </w:tc>
      </w:tr>
      <w:tr>
        <w:tc>
          <w:tcPr/>
          <w:p>
            <w:pPr>
              <w:pStyle w:val="Compact"/>
            </w:pPr>
            <w:r>
              <w:t xml:space="preserve">gl</w:t>
            </w:r>
          </w:p>
        </w:tc>
        <w:tc>
          <w:tcPr/>
          <w:p>
            <w:pPr>
              <w:pStyle w:val="Compact"/>
              <w:jc w:val="right"/>
            </w:pPr>
            <w:r>
              <w:t xml:space="preserve">13</w:t>
            </w:r>
          </w:p>
        </w:tc>
        <w:tc>
          <w:tcPr/>
          <w:p>
            <w:pPr>
              <w:pStyle w:val="Compact"/>
              <w:jc w:val="right"/>
            </w:pPr>
            <w:r>
              <w:t xml:space="preserve">13</w:t>
            </w:r>
          </w:p>
        </w:tc>
      </w:tr>
      <w:tr>
        <w:tc>
          <w:tcPr/>
          <w:p>
            <w:pPr>
              <w:pStyle w:val="Compact"/>
            </w:pPr>
            <w:r>
              <w:t xml:space="preserve">Sig. asintótica (bilateral)</w:t>
            </w:r>
          </w:p>
        </w:tc>
        <w:tc>
          <w:tcPr/>
          <w:p>
            <w:pPr>
              <w:pStyle w:val="Compact"/>
              <w:jc w:val="right"/>
            </w:pPr>
            <w:r>
              <w:t xml:space="preserve">&lt; ,001</w:t>
            </w:r>
          </w:p>
        </w:tc>
        <w:tc>
          <w:tcPr/>
          <w:p>
            <w:pPr>
              <w:pStyle w:val="Compact"/>
              <w:jc w:val="right"/>
            </w:pPr>
            <w:r>
              <w:t xml:space="preserve">&lt; ,001</w:t>
            </w:r>
          </w:p>
        </w:tc>
      </w:tr>
    </w:tbl>
    <w:p>
      <w:pPr>
        <w:pStyle w:val="BodyText"/>
      </w:pPr>
      <w:r>
        <w:t xml:space="preserve">En ambos niveles, la hipótesis nula de distribuciones homogéneas en los 14 ítems Likert se rechazó con p &lt; ,001. Esto indica que los estudiantes, en cada nivel, otorgan niveles de respuesta sistemáticamente diferentes entre ítems: ciertos temas (como la importancia de la educación financiera o el significado de ahorro) son consistentemente más conocidos o valorados que otros (como el significado de educación financiera o la tasa de interés). Esta heterogeneidad valida la pertinencia de analizar las dimensiones por separado y no tratar la escala Likert como un constructo unidimensional.</w:t>
      </w:r>
    </w:p>
    <w:p>
      <w:r>
        <w:pict>
          <v:rect style="width:0;height:1.5pt" o:hralign="center" o:hrstd="t" o:hr="t"/>
        </w:pict>
      </w:r>
    </w:p>
    <w:bookmarkEnd w:id="14"/>
    <w:bookmarkEnd w:id="15"/>
    <w:bookmarkStart w:id="18" w:name="X43c4189f650163b535bf3a4d0a23cf9764ae995"/>
    <w:p>
      <w:pPr>
        <w:pStyle w:val="Heading2"/>
      </w:pPr>
      <w:r>
        <w:t xml:space="preserve">5. Comparación entre niveles — Prueba U de Mann-Whitney</w:t>
      </w:r>
    </w:p>
    <w:p>
      <w:pPr>
        <w:pStyle w:val="FirstParagraph"/>
      </w:pPr>
      <w:r>
        <w:t xml:space="preserve">Para contrastar la hipótesis de diferencias entre niveles educativos (secundaria vs. bachillerato) en las tres dimensiones del constructo, se aplicó la prueba U de Mann-Whitney en su versión de dos colas (conservadora, defendible para estudio exploratorio según APA 7; cf. Siegel y Castellan, 1988). La variable de agrupación</w:t>
      </w:r>
      <w:r>
        <w:t xml:space="preserve"> </w:t>
      </w:r>
      <w:r>
        <w:rPr>
          <w:rStyle w:val="VerbatimChar"/>
        </w:rPr>
        <w:t xml:space="preserve">nivel_num</w:t>
      </w:r>
      <w:r>
        <w:t xml:space="preserve"> </w:t>
      </w:r>
      <w:r>
        <w:t xml:space="preserve">(1 = Secundaria, 2 = Bachillerato) se creó mediante</w:t>
      </w:r>
      <w:r>
        <w:t xml:space="preserve"> </w:t>
      </w:r>
      <w:r>
        <w:rPr>
          <w:rStyle w:val="VerbatimChar"/>
        </w:rPr>
        <w:t xml:space="preserve">RECODE</w:t>
      </w:r>
      <w:r>
        <w:t xml:space="preserve"> </w:t>
      </w:r>
      <w:r>
        <w:t xml:space="preserve">sobre la variable de cadena</w:t>
      </w:r>
      <w:r>
        <w:t xml:space="preserve"> </w:t>
      </w:r>
      <w:r>
        <w:rPr>
          <w:rStyle w:val="VerbatimChar"/>
        </w:rPr>
        <w:t xml:space="preserve">nivel_agrupado</w:t>
      </w:r>
      <w:r>
        <w:t xml:space="preserve">. Se reporta el estadístico U, el Z estandarizado, la significancia asintótica bilateral, y el tamaño del efecto r de Rosenthal (r = Z / √N), con los puntos de corte de Cohen (1988): r ≈ 0,10 efecto pequeño, r ≈ 0,30 mediano, r ≈ 0,50 grande.</w:t>
      </w:r>
    </w:p>
    <w:bookmarkStart w:id="16" w:name="tabla-4a"/>
    <w:p>
      <w:pPr>
        <w:pStyle w:val="Heading3"/>
      </w:pPr>
      <w:r>
        <w:t xml:space="preserve">Tabla 4a</w:t>
      </w:r>
    </w:p>
    <w:p>
      <w:pPr>
        <w:pStyle w:val="FirstParagraph"/>
      </w:pPr>
      <w:r>
        <w:rPr>
          <w:b/>
          <w:bCs/>
        </w:rPr>
        <w:t xml:space="preserve">Resumen de la verificación de la hipótesis de trabajo</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t xml:space="preserve">Dimensión</w:t>
            </w:r>
          </w:p>
        </w:tc>
        <w:tc>
          <w:tcPr/>
          <w:p>
            <w:pPr>
              <w:pStyle w:val="Compact"/>
              <w:jc w:val="center"/>
            </w:pPr>
            <w:r>
              <w:t xml:space="preserve">H₁ confirmada</w:t>
            </w:r>
          </w:p>
        </w:tc>
        <w:tc>
          <w:tcPr/>
          <w:p>
            <w:pPr>
              <w:pStyle w:val="Compact"/>
              <w:jc w:val="center"/>
            </w:pPr>
            <w:r>
              <w:t xml:space="preserve">Dirección del efecto</w:t>
            </w:r>
          </w:p>
        </w:tc>
        <w:tc>
          <w:tcPr/>
          <w:p>
            <w:pPr>
              <w:pStyle w:val="Compact"/>
              <w:jc w:val="center"/>
            </w:pPr>
            <w:r>
              <w:t xml:space="preserve">Tamaño (r)</w:t>
            </w:r>
          </w:p>
        </w:tc>
      </w:tr>
      <w:tr>
        <w:tc>
          <w:tcPr/>
          <w:p>
            <w:pPr>
              <w:pStyle w:val="Compact"/>
            </w:pPr>
            <w:r>
              <w:t xml:space="preserve">Conocimiento financiero (1–5)</w:t>
            </w:r>
          </w:p>
        </w:tc>
        <w:tc>
          <w:tcPr/>
          <w:p>
            <w:pPr>
              <w:pStyle w:val="Compact"/>
              <w:jc w:val="center"/>
            </w:pPr>
            <w:r>
              <w:t xml:space="preserve">✅ Sí</w:t>
            </w:r>
          </w:p>
        </w:tc>
        <w:tc>
          <w:tcPr/>
          <w:p>
            <w:pPr>
              <w:pStyle w:val="Compact"/>
              <w:jc w:val="center"/>
            </w:pPr>
            <w:r>
              <w:t xml:space="preserve">Bachillerato &gt; Secundaria</w:t>
            </w:r>
          </w:p>
        </w:tc>
        <w:tc>
          <w:tcPr/>
          <w:p>
            <w:pPr>
              <w:pStyle w:val="Compact"/>
              <w:jc w:val="center"/>
            </w:pPr>
            <w:r>
              <w:t xml:space="preserve">0,18 (pequeño)</w:t>
            </w:r>
          </w:p>
        </w:tc>
      </w:tr>
      <w:tr>
        <w:tc>
          <w:tcPr/>
          <w:p>
            <w:pPr>
              <w:pStyle w:val="Compact"/>
            </w:pPr>
            <w:r>
              <w:t xml:space="preserve">Actitud hacia la EF (1–5)</w:t>
            </w:r>
          </w:p>
        </w:tc>
        <w:tc>
          <w:tcPr/>
          <w:p>
            <w:pPr>
              <w:pStyle w:val="Compact"/>
              <w:jc w:val="center"/>
            </w:pPr>
            <w:r>
              <w:t xml:space="preserve">✅ Sí</w:t>
            </w:r>
          </w:p>
        </w:tc>
        <w:tc>
          <w:tcPr/>
          <w:p>
            <w:pPr>
              <w:pStyle w:val="Compact"/>
              <w:jc w:val="center"/>
            </w:pPr>
            <w:r>
              <w:t xml:space="preserve">Bachillerato &gt; Secundaria</w:t>
            </w:r>
          </w:p>
        </w:tc>
        <w:tc>
          <w:tcPr/>
          <w:p>
            <w:pPr>
              <w:pStyle w:val="Compact"/>
              <w:jc w:val="center"/>
            </w:pPr>
            <w:r>
              <w:t xml:space="preserve">0,11 (pequeño)</w:t>
            </w:r>
          </w:p>
        </w:tc>
      </w:tr>
      <w:tr>
        <w:tc>
          <w:tcPr/>
          <w:p>
            <w:pPr>
              <w:pStyle w:val="Compact"/>
            </w:pPr>
            <w:r>
              <w:t xml:space="preserve">Comportamiento financiero (0–1)</w:t>
            </w:r>
          </w:p>
        </w:tc>
        <w:tc>
          <w:tcPr/>
          <w:p>
            <w:pPr>
              <w:pStyle w:val="Compact"/>
              <w:jc w:val="center"/>
            </w:pPr>
            <w:r>
              <w:t xml:space="preserve">❌ No</w:t>
            </w:r>
          </w:p>
        </w:tc>
        <w:tc>
          <w:tcPr/>
          <w:p>
            <w:pPr>
              <w:pStyle w:val="Compact"/>
              <w:jc w:val="center"/>
            </w:pPr>
            <w:r>
              <w:t xml:space="preserve">—</w:t>
            </w:r>
          </w:p>
        </w:tc>
        <w:tc>
          <w:tcPr/>
          <w:p>
            <w:pPr>
              <w:pStyle w:val="Compact"/>
              <w:jc w:val="center"/>
            </w:pPr>
            <w:r>
              <w:t xml:space="preserve">0,02 (nulo)</w:t>
            </w:r>
          </w:p>
        </w:tc>
      </w:tr>
    </w:tbl>
    <w:p>
      <w:pPr>
        <w:pStyle w:val="BodyText"/>
      </w:pPr>
      <w:r>
        <w:rPr>
          <w:i/>
          <w:iCs/>
        </w:rPr>
        <w:t xml:space="preserve">Nota.</w:t>
      </w:r>
      <w:r>
        <w:t xml:space="preserve"> </w:t>
      </w:r>
      <w:r>
        <w:t xml:space="preserve">Decisión basada en la prueba U de Mann-Whitney de dos colas (α = ,05).</w:t>
      </w:r>
      <w:r>
        <w:t xml:space="preserve"> </w:t>
      </w:r>
      <w:r>
        <w:rPr>
          <w:b/>
          <w:bCs/>
        </w:rPr>
        <w:t xml:space="preserve">La hipótesis de trabajo se confirma parcialmente</w:t>
      </w:r>
      <w:r>
        <w:t xml:space="preserve">: 2 de 3 dimensiones muestran diferencias significativas a favor del bachillerato, mientras que la dimensión conductual no presenta diferencias entre niveles. El cierre metodológico se presenta en §8.4.</w:t>
      </w:r>
    </w:p>
    <w:bookmarkEnd w:id="16"/>
    <w:bookmarkStart w:id="17" w:name="tabla-4"/>
    <w:p>
      <w:pPr>
        <w:pStyle w:val="Heading3"/>
      </w:pPr>
      <w:r>
        <w:t xml:space="preserve">Tabla 4</w:t>
      </w:r>
    </w:p>
    <w:p>
      <w:pPr>
        <w:pStyle w:val="FirstParagraph"/>
      </w:pPr>
      <w:r>
        <w:rPr>
          <w:b/>
          <w:bCs/>
        </w:rPr>
        <w:t xml:space="preserve">Estadísticos descriptivos y prueba U de Mann-Whitney por dimensión (N = 656)</w:t>
      </w:r>
    </w:p>
    <w:tbl>
      <w:tblPr>
        <w:tblStyle w:val="Table"/>
        <w:tblW w:type="pct" w:w="5000"/>
        <w:tblLayout w:type="fixed"/>
        <w:tblLook w:firstRow="1" w:lastRow="0" w:firstColumn="0" w:lastColumn="0" w:noHBand="0" w:noVBand="0" w:val="0020"/>
      </w:tblPr>
      <w:tblGrid>
        <w:gridCol w:w="565"/>
        <w:gridCol w:w="565"/>
        <w:gridCol w:w="754"/>
        <w:gridCol w:w="754"/>
        <w:gridCol w:w="754"/>
        <w:gridCol w:w="754"/>
        <w:gridCol w:w="754"/>
        <w:gridCol w:w="754"/>
        <w:gridCol w:w="754"/>
        <w:gridCol w:w="754"/>
        <w:gridCol w:w="754"/>
      </w:tblGrid>
      <w:tr>
        <w:trPr>
          <w:tblHeader w:val="on"/>
        </w:trPr>
        <w:tc>
          <w:tcPr/>
          <w:p>
            <w:pPr>
              <w:pStyle w:val="Compact"/>
            </w:pPr>
            <w:r>
              <w:t xml:space="preserve">Dimensión</w:t>
            </w:r>
          </w:p>
        </w:tc>
        <w:tc>
          <w:tcPr/>
          <w:p>
            <w:pPr>
              <w:pStyle w:val="Compact"/>
            </w:pPr>
            <w:r>
              <w:t xml:space="preserve">Nivel</w:t>
            </w:r>
          </w:p>
        </w:tc>
        <w:tc>
          <w:tcPr/>
          <w:p>
            <w:pPr>
              <w:pStyle w:val="Compact"/>
              <w:jc w:val="right"/>
            </w:pPr>
            <w:r>
              <w:t xml:space="preserve">N</w:t>
            </w:r>
          </w:p>
        </w:tc>
        <w:tc>
          <w:tcPr/>
          <w:p>
            <w:pPr>
              <w:pStyle w:val="Compact"/>
              <w:jc w:val="right"/>
            </w:pPr>
            <w:r>
              <w:t xml:space="preserve">M</w:t>
            </w:r>
          </w:p>
        </w:tc>
        <w:tc>
          <w:tcPr/>
          <w:p>
            <w:pPr>
              <w:pStyle w:val="Compact"/>
              <w:jc w:val="right"/>
            </w:pPr>
            <w:r>
              <w:t xml:space="preserve">DE</w:t>
            </w:r>
          </w:p>
        </w:tc>
        <w:tc>
          <w:tcPr/>
          <w:p>
            <w:pPr>
              <w:pStyle w:val="Compact"/>
              <w:jc w:val="right"/>
            </w:pPr>
            <w:r>
              <w:t xml:space="preserve">Mdn</w:t>
            </w:r>
          </w:p>
        </w:tc>
        <w:tc>
          <w:tcPr/>
          <w:p>
            <w:pPr>
              <w:pStyle w:val="Compact"/>
              <w:jc w:val="right"/>
            </w:pPr>
            <w:r>
              <w:t xml:space="preserve">U</w:t>
            </w:r>
          </w:p>
        </w:tc>
        <w:tc>
          <w:tcPr/>
          <w:p>
            <w:pPr>
              <w:pStyle w:val="Compact"/>
              <w:jc w:val="right"/>
            </w:pPr>
            <w:r>
              <w:t xml:space="preserve">W</w:t>
            </w:r>
          </w:p>
        </w:tc>
        <w:tc>
          <w:tcPr/>
          <w:p>
            <w:pPr>
              <w:pStyle w:val="Compact"/>
              <w:jc w:val="right"/>
            </w:pPr>
            <w:r>
              <w:t xml:space="preserve">Z</w:t>
            </w:r>
          </w:p>
        </w:tc>
        <w:tc>
          <w:tcPr/>
          <w:p>
            <w:pPr>
              <w:pStyle w:val="Compact"/>
              <w:jc w:val="right"/>
            </w:pPr>
            <w:r>
              <w:t xml:space="preserve">p</w:t>
            </w:r>
          </w:p>
        </w:tc>
        <w:tc>
          <w:tcPr/>
          <w:p>
            <w:pPr>
              <w:pStyle w:val="Compact"/>
              <w:jc w:val="right"/>
            </w:pPr>
            <w:r>
              <w:t xml:space="preserve">r de Rosenthal</w:t>
            </w:r>
          </w:p>
        </w:tc>
      </w:tr>
      <w:tr>
        <w:tc>
          <w:tcPr/>
          <w:p>
            <w:pPr>
              <w:pStyle w:val="Compact"/>
            </w:pPr>
            <w:r>
              <w:t xml:space="preserve">Conocimiento (1–5)</w:t>
            </w:r>
          </w:p>
        </w:tc>
        <w:tc>
          <w:tcPr/>
          <w:p>
            <w:pPr>
              <w:pStyle w:val="Compact"/>
            </w:pPr>
            <w:r>
              <w:t xml:space="preserve">Secundaria</w:t>
            </w:r>
          </w:p>
        </w:tc>
        <w:tc>
          <w:tcPr/>
          <w:p>
            <w:pPr>
              <w:pStyle w:val="Compact"/>
              <w:jc w:val="right"/>
            </w:pPr>
            <w:r>
              <w:t xml:space="preserve">319</w:t>
            </w:r>
          </w:p>
        </w:tc>
        <w:tc>
          <w:tcPr/>
          <w:p>
            <w:pPr>
              <w:pStyle w:val="Compact"/>
              <w:jc w:val="right"/>
            </w:pPr>
            <w:r>
              <w:t xml:space="preserve">3,2614</w:t>
            </w:r>
          </w:p>
        </w:tc>
        <w:tc>
          <w:tcPr/>
          <w:p>
            <w:pPr>
              <w:pStyle w:val="Compact"/>
              <w:jc w:val="right"/>
            </w:pPr>
            <w:r>
              <w:t xml:space="preserve">0,91050</w:t>
            </w:r>
          </w:p>
        </w:tc>
        <w:tc>
          <w:tcPr/>
          <w:p>
            <w:pPr>
              <w:pStyle w:val="Compact"/>
              <w:jc w:val="right"/>
            </w:pPr>
            <w:r>
              <w:t xml:space="preserve">3,38</w:t>
            </w:r>
          </w:p>
        </w:tc>
        <w:tc>
          <w:tcPr/>
          <w:p>
            <w:pPr>
              <w:pStyle w:val="Compact"/>
              <w:jc w:val="right"/>
            </w:pPr>
            <w:r>
              <w:t xml:space="preserve">42 751,500</w:t>
            </w:r>
          </w:p>
        </w:tc>
        <w:tc>
          <w:tcPr/>
          <w:p>
            <w:pPr>
              <w:pStyle w:val="Compact"/>
              <w:jc w:val="right"/>
            </w:pPr>
            <w:r>
              <w:t xml:space="preserve">93 791,500</w:t>
            </w:r>
          </w:p>
        </w:tc>
        <w:tc>
          <w:tcPr/>
          <w:p>
            <w:pPr>
              <w:pStyle w:val="Compact"/>
              <w:jc w:val="right"/>
            </w:pPr>
            <w:r>
              <w:t xml:space="preserve">-4,538</w:t>
            </w:r>
          </w:p>
        </w:tc>
        <w:tc>
          <w:tcPr/>
          <w:p>
            <w:pPr>
              <w:pStyle w:val="Compact"/>
              <w:jc w:val="right"/>
            </w:pPr>
            <w:r>
              <w:t xml:space="preserve">&lt; ,001</w:t>
            </w:r>
          </w:p>
        </w:tc>
        <w:tc>
          <w:tcPr/>
          <w:p>
            <w:pPr>
              <w:pStyle w:val="Compact"/>
              <w:jc w:val="right"/>
            </w:pPr>
            <w:r>
              <w:t xml:space="preserve">0,18</w:t>
            </w:r>
          </w:p>
        </w:tc>
      </w:tr>
      <w:tr>
        <w:tc>
          <w:tcPr/>
          <w:p>
            <w:pPr>
              <w:pStyle w:val="Compact"/>
            </w:pPr>
          </w:p>
        </w:tc>
        <w:tc>
          <w:tcPr/>
          <w:p>
            <w:pPr>
              <w:pStyle w:val="Compact"/>
            </w:pPr>
            <w:r>
              <w:t xml:space="preserve">Bachillerato</w:t>
            </w:r>
          </w:p>
        </w:tc>
        <w:tc>
          <w:tcPr/>
          <w:p>
            <w:pPr>
              <w:pStyle w:val="Compact"/>
              <w:jc w:val="right"/>
            </w:pPr>
            <w:r>
              <w:t xml:space="preserve">337</w:t>
            </w:r>
          </w:p>
        </w:tc>
        <w:tc>
          <w:tcPr/>
          <w:p>
            <w:pPr>
              <w:pStyle w:val="Compact"/>
              <w:jc w:val="right"/>
            </w:pPr>
            <w:r>
              <w:t xml:space="preserve">3,5853</w:t>
            </w:r>
          </w:p>
        </w:tc>
        <w:tc>
          <w:tcPr/>
          <w:p>
            <w:pPr>
              <w:pStyle w:val="Compact"/>
              <w:jc w:val="right"/>
            </w:pPr>
            <w:r>
              <w:t xml:space="preserve">0,79857</w:t>
            </w:r>
          </w:p>
        </w:tc>
        <w:tc>
          <w:tcPr/>
          <w:p>
            <w:pPr>
              <w:pStyle w:val="Compact"/>
              <w:jc w:val="right"/>
            </w:pPr>
            <w:r>
              <w:t xml:space="preserve">3,63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Total</w:t>
            </w:r>
          </w:p>
        </w:tc>
        <w:tc>
          <w:tcPr/>
          <w:p>
            <w:pPr>
              <w:pStyle w:val="Compact"/>
              <w:jc w:val="right"/>
            </w:pPr>
            <w:r>
              <w:t xml:space="preserve">656</w:t>
            </w:r>
          </w:p>
        </w:tc>
        <w:tc>
          <w:tcPr/>
          <w:p>
            <w:pPr>
              <w:pStyle w:val="Compact"/>
              <w:jc w:val="right"/>
            </w:pPr>
            <w:r>
              <w:t xml:space="preserve">3,4278</w:t>
            </w:r>
          </w:p>
        </w:tc>
        <w:tc>
          <w:tcPr/>
          <w:p>
            <w:pPr>
              <w:pStyle w:val="Compact"/>
              <w:jc w:val="right"/>
            </w:pPr>
            <w:r>
              <w:t xml:space="preserve">0,86940</w:t>
            </w:r>
          </w:p>
        </w:tc>
        <w:tc>
          <w:tcPr/>
          <w:p>
            <w:pPr>
              <w:pStyle w:val="Compact"/>
              <w:jc w:val="right"/>
            </w:pPr>
            <w:r>
              <w:t xml:space="preserve">3,50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Actitud (1–5)</w:t>
            </w:r>
          </w:p>
        </w:tc>
        <w:tc>
          <w:tcPr/>
          <w:p>
            <w:pPr>
              <w:pStyle w:val="Compact"/>
            </w:pPr>
            <w:r>
              <w:t xml:space="preserve">Secundaria</w:t>
            </w:r>
          </w:p>
        </w:tc>
        <w:tc>
          <w:tcPr/>
          <w:p>
            <w:pPr>
              <w:pStyle w:val="Compact"/>
              <w:jc w:val="right"/>
            </w:pPr>
            <w:r>
              <w:t xml:space="preserve">319</w:t>
            </w:r>
          </w:p>
        </w:tc>
        <w:tc>
          <w:tcPr/>
          <w:p>
            <w:pPr>
              <w:pStyle w:val="Compact"/>
              <w:jc w:val="right"/>
            </w:pPr>
            <w:r>
              <w:t xml:space="preserve">3,2453</w:t>
            </w:r>
          </w:p>
        </w:tc>
        <w:tc>
          <w:tcPr/>
          <w:p>
            <w:pPr>
              <w:pStyle w:val="Compact"/>
              <w:jc w:val="right"/>
            </w:pPr>
            <w:r>
              <w:t xml:space="preserve">0,91801</w:t>
            </w:r>
          </w:p>
        </w:tc>
        <w:tc>
          <w:tcPr/>
          <w:p>
            <w:pPr>
              <w:pStyle w:val="Compact"/>
              <w:jc w:val="right"/>
            </w:pPr>
            <w:r>
              <w:t xml:space="preserve">3,25</w:t>
            </w:r>
          </w:p>
        </w:tc>
        <w:tc>
          <w:tcPr/>
          <w:p>
            <w:pPr>
              <w:pStyle w:val="Compact"/>
              <w:jc w:val="right"/>
            </w:pPr>
            <w:r>
              <w:t xml:space="preserve">46 767,500</w:t>
            </w:r>
          </w:p>
        </w:tc>
        <w:tc>
          <w:tcPr/>
          <w:p>
            <w:pPr>
              <w:pStyle w:val="Compact"/>
              <w:jc w:val="right"/>
            </w:pPr>
            <w:r>
              <w:t xml:space="preserve">97 807,500</w:t>
            </w:r>
          </w:p>
        </w:tc>
        <w:tc>
          <w:tcPr/>
          <w:p>
            <w:pPr>
              <w:pStyle w:val="Compact"/>
              <w:jc w:val="right"/>
            </w:pPr>
            <w:r>
              <w:t xml:space="preserve">-2,890</w:t>
            </w:r>
          </w:p>
        </w:tc>
        <w:tc>
          <w:tcPr/>
          <w:p>
            <w:pPr>
              <w:pStyle w:val="Compact"/>
              <w:jc w:val="right"/>
            </w:pPr>
            <w:r>
              <w:t xml:space="preserve">,004</w:t>
            </w:r>
          </w:p>
        </w:tc>
        <w:tc>
          <w:tcPr/>
          <w:p>
            <w:pPr>
              <w:pStyle w:val="Compact"/>
              <w:jc w:val="right"/>
            </w:pPr>
            <w:r>
              <w:t xml:space="preserve">0,11</w:t>
            </w:r>
          </w:p>
        </w:tc>
      </w:tr>
      <w:tr>
        <w:tc>
          <w:tcPr/>
          <w:p>
            <w:pPr>
              <w:pStyle w:val="Compact"/>
            </w:pPr>
          </w:p>
        </w:tc>
        <w:tc>
          <w:tcPr/>
          <w:p>
            <w:pPr>
              <w:pStyle w:val="Compact"/>
            </w:pPr>
            <w:r>
              <w:t xml:space="preserve">Bachillerato</w:t>
            </w:r>
          </w:p>
        </w:tc>
        <w:tc>
          <w:tcPr/>
          <w:p>
            <w:pPr>
              <w:pStyle w:val="Compact"/>
              <w:jc w:val="right"/>
            </w:pPr>
            <w:r>
              <w:t xml:space="preserve">337</w:t>
            </w:r>
          </w:p>
        </w:tc>
        <w:tc>
          <w:tcPr/>
          <w:p>
            <w:pPr>
              <w:pStyle w:val="Compact"/>
              <w:jc w:val="right"/>
            </w:pPr>
            <w:r>
              <w:t xml:space="preserve">3,4622</w:t>
            </w:r>
          </w:p>
        </w:tc>
        <w:tc>
          <w:tcPr/>
          <w:p>
            <w:pPr>
              <w:pStyle w:val="Compact"/>
              <w:jc w:val="right"/>
            </w:pPr>
            <w:r>
              <w:t xml:space="preserve">0,84639</w:t>
            </w:r>
          </w:p>
        </w:tc>
        <w:tc>
          <w:tcPr/>
          <w:p>
            <w:pPr>
              <w:pStyle w:val="Compact"/>
              <w:jc w:val="right"/>
            </w:pPr>
            <w:r>
              <w:t xml:space="preserve">3,50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Total</w:t>
            </w:r>
          </w:p>
        </w:tc>
        <w:tc>
          <w:tcPr/>
          <w:p>
            <w:pPr>
              <w:pStyle w:val="Compact"/>
              <w:jc w:val="right"/>
            </w:pPr>
            <w:r>
              <w:t xml:space="preserve">656</w:t>
            </w:r>
          </w:p>
        </w:tc>
        <w:tc>
          <w:tcPr/>
          <w:p>
            <w:pPr>
              <w:pStyle w:val="Compact"/>
              <w:jc w:val="right"/>
            </w:pPr>
            <w:r>
              <w:t xml:space="preserve">3,3567</w:t>
            </w:r>
          </w:p>
        </w:tc>
        <w:tc>
          <w:tcPr/>
          <w:p>
            <w:pPr>
              <w:pStyle w:val="Compact"/>
              <w:jc w:val="right"/>
            </w:pPr>
            <w:r>
              <w:t xml:space="preserve">0,88792</w:t>
            </w:r>
          </w:p>
        </w:tc>
        <w:tc>
          <w:tcPr/>
          <w:p>
            <w:pPr>
              <w:pStyle w:val="Compact"/>
              <w:jc w:val="right"/>
            </w:pPr>
            <w:r>
              <w:t xml:space="preserve">3,50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Comportamiento (0–1)</w:t>
            </w:r>
          </w:p>
        </w:tc>
        <w:tc>
          <w:tcPr/>
          <w:p>
            <w:pPr>
              <w:pStyle w:val="Compact"/>
            </w:pPr>
            <w:r>
              <w:t xml:space="preserve">Secundaria</w:t>
            </w:r>
          </w:p>
        </w:tc>
        <w:tc>
          <w:tcPr/>
          <w:p>
            <w:pPr>
              <w:pStyle w:val="Compact"/>
              <w:jc w:val="right"/>
            </w:pPr>
            <w:r>
              <w:t xml:space="preserve">319</w:t>
            </w:r>
          </w:p>
        </w:tc>
        <w:tc>
          <w:tcPr/>
          <w:p>
            <w:pPr>
              <w:pStyle w:val="Compact"/>
              <w:jc w:val="right"/>
            </w:pPr>
            <w:r>
              <w:t xml:space="preserve">0,6566</w:t>
            </w:r>
          </w:p>
        </w:tc>
        <w:tc>
          <w:tcPr/>
          <w:p>
            <w:pPr>
              <w:pStyle w:val="Compact"/>
              <w:jc w:val="right"/>
            </w:pPr>
            <w:r>
              <w:t xml:space="preserve">0,24930</w:t>
            </w:r>
          </w:p>
        </w:tc>
        <w:tc>
          <w:tcPr/>
          <w:p>
            <w:pPr>
              <w:pStyle w:val="Compact"/>
              <w:jc w:val="right"/>
            </w:pPr>
            <w:r>
              <w:t xml:space="preserve">0,67</w:t>
            </w:r>
          </w:p>
        </w:tc>
        <w:tc>
          <w:tcPr/>
          <w:p>
            <w:pPr>
              <w:pStyle w:val="Compact"/>
              <w:jc w:val="right"/>
            </w:pPr>
            <w:r>
              <w:t xml:space="preserve">52 597,000</w:t>
            </w:r>
          </w:p>
        </w:tc>
        <w:tc>
          <w:tcPr/>
          <w:p>
            <w:pPr>
              <w:pStyle w:val="Compact"/>
              <w:jc w:val="right"/>
            </w:pPr>
            <w:r>
              <w:t xml:space="preserve">109 550,000</w:t>
            </w:r>
          </w:p>
        </w:tc>
        <w:tc>
          <w:tcPr/>
          <w:p>
            <w:pPr>
              <w:pStyle w:val="Compact"/>
              <w:jc w:val="right"/>
            </w:pPr>
            <w:r>
              <w:t xml:space="preserve">-0,479</w:t>
            </w:r>
          </w:p>
        </w:tc>
        <w:tc>
          <w:tcPr/>
          <w:p>
            <w:pPr>
              <w:pStyle w:val="Compact"/>
              <w:jc w:val="right"/>
            </w:pPr>
            <w:r>
              <w:t xml:space="preserve">,632</w:t>
            </w:r>
          </w:p>
        </w:tc>
        <w:tc>
          <w:tcPr/>
          <w:p>
            <w:pPr>
              <w:pStyle w:val="Compact"/>
              <w:jc w:val="right"/>
            </w:pPr>
            <w:r>
              <w:t xml:space="preserve">0,02</w:t>
            </w:r>
          </w:p>
        </w:tc>
      </w:tr>
      <w:tr>
        <w:tc>
          <w:tcPr/>
          <w:p>
            <w:pPr>
              <w:pStyle w:val="Compact"/>
            </w:pPr>
          </w:p>
        </w:tc>
        <w:tc>
          <w:tcPr/>
          <w:p>
            <w:pPr>
              <w:pStyle w:val="Compact"/>
            </w:pPr>
            <w:r>
              <w:t xml:space="preserve">Bachillerato</w:t>
            </w:r>
          </w:p>
        </w:tc>
        <w:tc>
          <w:tcPr/>
          <w:p>
            <w:pPr>
              <w:pStyle w:val="Compact"/>
              <w:jc w:val="right"/>
            </w:pPr>
            <w:r>
              <w:t xml:space="preserve">337</w:t>
            </w:r>
          </w:p>
        </w:tc>
        <w:tc>
          <w:tcPr/>
          <w:p>
            <w:pPr>
              <w:pStyle w:val="Compact"/>
              <w:jc w:val="right"/>
            </w:pPr>
            <w:r>
              <w:t xml:space="preserve">0,6427</w:t>
            </w:r>
          </w:p>
        </w:tc>
        <w:tc>
          <w:tcPr/>
          <w:p>
            <w:pPr>
              <w:pStyle w:val="Compact"/>
              <w:jc w:val="right"/>
            </w:pPr>
            <w:r>
              <w:t xml:space="preserve">0,26124</w:t>
            </w:r>
          </w:p>
        </w:tc>
        <w:tc>
          <w:tcPr/>
          <w:p>
            <w:pPr>
              <w:pStyle w:val="Compact"/>
              <w:jc w:val="right"/>
            </w:pPr>
            <w:r>
              <w:t xml:space="preserve">0,67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Total</w:t>
            </w:r>
          </w:p>
        </w:tc>
        <w:tc>
          <w:tcPr/>
          <w:p>
            <w:pPr>
              <w:pStyle w:val="Compact"/>
              <w:jc w:val="right"/>
            </w:pPr>
            <w:r>
              <w:t xml:space="preserve">656</w:t>
            </w:r>
          </w:p>
        </w:tc>
        <w:tc>
          <w:tcPr/>
          <w:p>
            <w:pPr>
              <w:pStyle w:val="Compact"/>
              <w:jc w:val="right"/>
            </w:pPr>
            <w:r>
              <w:t xml:space="preserve">0,6495</w:t>
            </w:r>
          </w:p>
        </w:tc>
        <w:tc>
          <w:tcPr/>
          <w:p>
            <w:pPr>
              <w:pStyle w:val="Compact"/>
              <w:jc w:val="right"/>
            </w:pPr>
            <w:r>
              <w:t xml:space="preserve">0,25540</w:t>
            </w:r>
          </w:p>
        </w:tc>
        <w:tc>
          <w:tcPr/>
          <w:p>
            <w:pPr>
              <w:pStyle w:val="Compact"/>
              <w:jc w:val="right"/>
            </w:pPr>
            <w:r>
              <w:t xml:space="preserve">0,67</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Nota.</w:t>
      </w:r>
      <w:r>
        <w:t xml:space="preserve"> </w:t>
      </w:r>
      <w:r>
        <w:t xml:space="preserve">r de Rosenthal = |Z| / √N. Criterios de Cohen (1988): r ≈ 0,10 efecto pequeño; r ≈ 0,30 mediano; r ≈ 0,50 grande. La significancia reportada es bilateral asintótica.</w:t>
      </w:r>
    </w:p>
    <w:p>
      <w:pPr>
        <w:pStyle w:val="BodyText"/>
      </w:pPr>
      <w:r>
        <w:rPr>
          <w:b/>
          <w:bCs/>
        </w:rPr>
        <w:t xml:space="preserve">Conocimiento financiero</w:t>
      </w:r>
      <w:r>
        <w:t xml:space="preserve">: los estudiantes de bachillerato obtuvieron puntajes significativamente mayores (M = 3,59, DE = 0,80) que los de secundaria (M = 3,26, DE = 0,91), Z = -4,54, p &lt; ,001, con un tamaño del efecto pequeño (r = 0,18). Esta diferencia es coherente con la mayor exposición curricular a contenidos financieros que, hipotéticamente, ocurre en los planes de estudio de bachillerato.</w:t>
      </w:r>
    </w:p>
    <w:p>
      <w:pPr>
        <w:pStyle w:val="BodyText"/>
      </w:pPr>
      <w:r>
        <w:rPr>
          <w:b/>
          <w:bCs/>
        </w:rPr>
        <w:t xml:space="preserve">Actitud hacia la educación financiera</w:t>
      </w:r>
      <w:r>
        <w:t xml:space="preserve">: el bachillerato también mostró una actitud más favorable (M = 3,46, DE = 0,85) que la secundaria (M = 3,25, DE = 0,92), Z = -2,89, p = ,004, con un efecto pequeño (r = 0,11). La magnitud del efecto, aunque estadísticamente significativa, sugiere que la brecha actitudinal es modesta.</w:t>
      </w:r>
    </w:p>
    <w:p>
      <w:pPr>
        <w:pStyle w:val="BodyText"/>
      </w:pPr>
      <w:r>
        <w:rPr>
          <w:b/>
          <w:bCs/>
        </w:rPr>
        <w:t xml:space="preserve">Comportamiento financiero</w:t>
      </w:r>
      <w:r>
        <w:t xml:space="preserve">: no se detectaron diferencias significativas entre niveles (Z = -0,48, p = ,632, r = 0,02). La media global fue 0,65 (DE = 0,26), indicando que en promedio los estudiantes ejecutan alrededor del 65 % de las prácticas financieras evaluadas (ahorrar, evitar gastos innecesarios, llevar registro de gastos), independientemente del nivel educativo. Este hallazgo sugiere que los comportamientos prácticos de educación financiera se adquieren principalmente en el entorno familiar y son relativamente independientes de la escolaridad formal.</w:t>
      </w:r>
    </w:p>
    <w:p>
      <w:r>
        <w:pict>
          <v:rect style="width:0;height:1.5pt" o:hralign="center" o:hrstd="t" o:hr="t"/>
        </w:pict>
      </w:r>
    </w:p>
    <w:bookmarkEnd w:id="17"/>
    <w:bookmarkEnd w:id="18"/>
    <w:bookmarkStart w:id="25" w:name="X3c217ecc626d57a15287142a327902f9dcc785d"/>
    <w:p>
      <w:pPr>
        <w:pStyle w:val="Heading2"/>
      </w:pPr>
      <w:r>
        <w:t xml:space="preserve">6. Perfil sociodemográfico — Análisis de chi-cuadrado</w:t>
      </w:r>
    </w:p>
    <w:p>
      <w:pPr>
        <w:pStyle w:val="FirstParagraph"/>
      </w:pPr>
      <w:r>
        <w:t xml:space="preserve">Se realizaron 15 pruebas chi-cuadrado de independencia para examinar la asociación entre el nivel educativo (secundaria vs. bachillerato) y cada variable del perfil sociodemográfico y de los ítems p01–p17. Adicionalmente, se examinó la asociación entre la pregunta abierta categorizada P18 (preferencias formativas) y cuatro subgrupos demográficos (nivel, sexo, tipo de escuela, negocio familiar), sumando un total de 19 pruebas chi-cuadrado.</w:t>
      </w:r>
    </w:p>
    <w:bookmarkStart w:id="19" w:name="tabla-5"/>
    <w:p>
      <w:pPr>
        <w:pStyle w:val="Heading3"/>
      </w:pPr>
      <w:r>
        <w:t xml:space="preserve">Tabla 5</w:t>
      </w:r>
    </w:p>
    <w:p>
      <w:pPr>
        <w:pStyle w:val="FirstParagraph"/>
      </w:pPr>
      <w:r>
        <w:rPr>
          <w:b/>
          <w:bCs/>
        </w:rPr>
        <w:t xml:space="preserve">Resultados de chi-cuadrado de Pearson para el perfil sociodemográfico (BLOQUE 7, n = 656)</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Variable dependiente</w:t>
            </w:r>
          </w:p>
        </w:tc>
        <w:tc>
          <w:tcPr/>
          <w:p>
            <w:pPr>
              <w:pStyle w:val="Compact"/>
              <w:jc w:val="right"/>
            </w:pPr>
            <w:r>
              <w:t xml:space="preserve">χ²</w:t>
            </w:r>
          </w:p>
        </w:tc>
        <w:tc>
          <w:tcPr/>
          <w:p>
            <w:pPr>
              <w:pStyle w:val="Compact"/>
              <w:jc w:val="right"/>
            </w:pPr>
            <w:r>
              <w:t xml:space="preserve">gl</w:t>
            </w:r>
          </w:p>
        </w:tc>
        <w:tc>
          <w:tcPr/>
          <w:p>
            <w:pPr>
              <w:pStyle w:val="Compact"/>
              <w:jc w:val="right"/>
            </w:pPr>
            <w:r>
              <w:t xml:space="preserve">p</w:t>
            </w:r>
          </w:p>
        </w:tc>
        <w:tc>
          <w:tcPr/>
          <w:p>
            <w:pPr>
              <w:pStyle w:val="Compact"/>
            </w:pPr>
            <w:r>
              <w:t xml:space="preserve">Decisión</w:t>
            </w:r>
          </w:p>
        </w:tc>
      </w:tr>
      <w:tr>
        <w:tc>
          <w:tcPr/>
          <w:p>
            <w:pPr>
              <w:pStyle w:val="Compact"/>
            </w:pPr>
            <w:r>
              <w:t xml:space="preserve">Sexo</w:t>
            </w:r>
          </w:p>
        </w:tc>
        <w:tc>
          <w:tcPr/>
          <w:p>
            <w:pPr>
              <w:pStyle w:val="Compact"/>
              <w:jc w:val="right"/>
            </w:pPr>
            <w:r>
              <w:t xml:space="preserve">2,320</w:t>
            </w:r>
          </w:p>
        </w:tc>
        <w:tc>
          <w:tcPr/>
          <w:p>
            <w:pPr>
              <w:pStyle w:val="Compact"/>
              <w:jc w:val="right"/>
            </w:pPr>
            <w:r>
              <w:t xml:space="preserve">2</w:t>
            </w:r>
          </w:p>
        </w:tc>
        <w:tc>
          <w:tcPr/>
          <w:p>
            <w:pPr>
              <w:pStyle w:val="Compact"/>
              <w:jc w:val="right"/>
            </w:pPr>
            <w:r>
              <w:t xml:space="preserve">,313</w:t>
            </w:r>
          </w:p>
        </w:tc>
        <w:tc>
          <w:tcPr/>
          <w:p>
            <w:pPr>
              <w:pStyle w:val="Compact"/>
            </w:pPr>
            <w:r>
              <w:t xml:space="preserve">NS</w:t>
            </w:r>
          </w:p>
        </w:tc>
      </w:tr>
      <w:tr>
        <w:tc>
          <w:tcPr/>
          <w:p>
            <w:pPr>
              <w:pStyle w:val="Compact"/>
            </w:pPr>
            <w:r>
              <w:t xml:space="preserve">Tipo de escuela</w:t>
            </w:r>
          </w:p>
        </w:tc>
        <w:tc>
          <w:tcPr/>
          <w:p>
            <w:pPr>
              <w:pStyle w:val="Compact"/>
              <w:jc w:val="right"/>
            </w:pPr>
            <w:r>
              <w:t xml:space="preserve">25,181</w:t>
            </w:r>
          </w:p>
        </w:tc>
        <w:tc>
          <w:tcPr/>
          <w:p>
            <w:pPr>
              <w:pStyle w:val="Compact"/>
              <w:jc w:val="right"/>
            </w:pPr>
            <w:r>
              <w:t xml:space="preserve">1</w:t>
            </w:r>
          </w:p>
        </w:tc>
        <w:tc>
          <w:tcPr/>
          <w:p>
            <w:pPr>
              <w:pStyle w:val="Compact"/>
              <w:jc w:val="right"/>
            </w:pPr>
            <w:r>
              <w:t xml:space="preserve">&lt; ,001</w:t>
            </w:r>
          </w:p>
        </w:tc>
        <w:tc>
          <w:tcPr/>
          <w:p>
            <w:pPr>
              <w:pStyle w:val="Compact"/>
            </w:pPr>
            <w:r>
              <w:t xml:space="preserve">***</w:t>
            </w:r>
          </w:p>
        </w:tc>
      </w:tr>
      <w:tr>
        <w:tc>
          <w:tcPr/>
          <w:p>
            <w:pPr>
              <w:pStyle w:val="Compact"/>
            </w:pPr>
            <w:r>
              <w:t xml:space="preserve">a_convivencia</w:t>
            </w:r>
          </w:p>
        </w:tc>
        <w:tc>
          <w:tcPr/>
          <w:p>
            <w:pPr>
              <w:pStyle w:val="Compact"/>
              <w:jc w:val="right"/>
            </w:pPr>
            <w:r>
              <w:t xml:space="preserve">4,590</w:t>
            </w:r>
          </w:p>
        </w:tc>
        <w:tc>
          <w:tcPr/>
          <w:p>
            <w:pPr>
              <w:pStyle w:val="Compact"/>
              <w:jc w:val="right"/>
            </w:pPr>
            <w:r>
              <w:t xml:space="preserve">3</w:t>
            </w:r>
          </w:p>
        </w:tc>
        <w:tc>
          <w:tcPr/>
          <w:p>
            <w:pPr>
              <w:pStyle w:val="Compact"/>
              <w:jc w:val="right"/>
            </w:pPr>
            <w:r>
              <w:t xml:space="preserve">,204</w:t>
            </w:r>
          </w:p>
        </w:tc>
        <w:tc>
          <w:tcPr/>
          <w:p>
            <w:pPr>
              <w:pStyle w:val="Compact"/>
            </w:pPr>
            <w:r>
              <w:t xml:space="preserve">NS</w:t>
            </w:r>
          </w:p>
        </w:tc>
      </w:tr>
      <w:tr>
        <w:tc>
          <w:tcPr/>
          <w:p>
            <w:pPr>
              <w:pStyle w:val="Compact"/>
            </w:pPr>
            <w:r>
              <w:t xml:space="preserve">b_vivienda</w:t>
            </w:r>
          </w:p>
        </w:tc>
        <w:tc>
          <w:tcPr/>
          <w:p>
            <w:pPr>
              <w:pStyle w:val="Compact"/>
              <w:jc w:val="right"/>
            </w:pPr>
            <w:r>
              <w:t xml:space="preserve">0,335</w:t>
            </w:r>
          </w:p>
        </w:tc>
        <w:tc>
          <w:tcPr/>
          <w:p>
            <w:pPr>
              <w:pStyle w:val="Compact"/>
              <w:jc w:val="right"/>
            </w:pPr>
            <w:r>
              <w:t xml:space="preserve">2</w:t>
            </w:r>
          </w:p>
        </w:tc>
        <w:tc>
          <w:tcPr/>
          <w:p>
            <w:pPr>
              <w:pStyle w:val="Compact"/>
              <w:jc w:val="right"/>
            </w:pPr>
            <w:r>
              <w:t xml:space="preserve">,846</w:t>
            </w:r>
          </w:p>
        </w:tc>
        <w:tc>
          <w:tcPr/>
          <w:p>
            <w:pPr>
              <w:pStyle w:val="Compact"/>
            </w:pPr>
            <w:r>
              <w:t xml:space="preserve">NS</w:t>
            </w:r>
          </w:p>
        </w:tc>
      </w:tr>
      <w:tr>
        <w:tc>
          <w:tcPr/>
          <w:p>
            <w:pPr>
              <w:pStyle w:val="Compact"/>
            </w:pPr>
            <w:r>
              <w:t xml:space="preserve">c_negocio_familiar</w:t>
            </w:r>
          </w:p>
        </w:tc>
        <w:tc>
          <w:tcPr/>
          <w:p>
            <w:pPr>
              <w:pStyle w:val="Compact"/>
              <w:jc w:val="right"/>
            </w:pPr>
            <w:r>
              <w:t xml:space="preserve">3,402</w:t>
            </w:r>
          </w:p>
        </w:tc>
        <w:tc>
          <w:tcPr/>
          <w:p>
            <w:pPr>
              <w:pStyle w:val="Compact"/>
              <w:jc w:val="right"/>
            </w:pPr>
            <w:r>
              <w:t xml:space="preserve">1</w:t>
            </w:r>
          </w:p>
        </w:tc>
        <w:tc>
          <w:tcPr/>
          <w:p>
            <w:pPr>
              <w:pStyle w:val="Compact"/>
              <w:jc w:val="right"/>
            </w:pPr>
            <w:r>
              <w:t xml:space="preserve">,065</w:t>
            </w:r>
          </w:p>
        </w:tc>
        <w:tc>
          <w:tcPr/>
          <w:p>
            <w:pPr>
              <w:pStyle w:val="Compact"/>
            </w:pPr>
            <w:r>
              <w:t xml:space="preserve">NS (marginal)</w:t>
            </w:r>
          </w:p>
        </w:tc>
      </w:tr>
      <w:tr>
        <w:tc>
          <w:tcPr/>
          <w:p>
            <w:pPr>
              <w:pStyle w:val="Compact"/>
            </w:pPr>
            <w:r>
              <w:t xml:space="preserve">p01 — Ha escuchado sobre educación financiera</w:t>
            </w:r>
          </w:p>
        </w:tc>
        <w:tc>
          <w:tcPr/>
          <w:p>
            <w:pPr>
              <w:pStyle w:val="Compact"/>
              <w:jc w:val="right"/>
            </w:pPr>
            <w:r>
              <w:t xml:space="preserve">25,641</w:t>
            </w:r>
          </w:p>
        </w:tc>
        <w:tc>
          <w:tcPr/>
          <w:p>
            <w:pPr>
              <w:pStyle w:val="Compact"/>
              <w:jc w:val="right"/>
            </w:pPr>
            <w:r>
              <w:t xml:space="preserve">4</w:t>
            </w:r>
          </w:p>
        </w:tc>
        <w:tc>
          <w:tcPr/>
          <w:p>
            <w:pPr>
              <w:pStyle w:val="Compact"/>
              <w:jc w:val="right"/>
            </w:pPr>
            <w:r>
              <w:t xml:space="preserve">&lt; ,001</w:t>
            </w:r>
          </w:p>
        </w:tc>
        <w:tc>
          <w:tcPr/>
          <w:p>
            <w:pPr>
              <w:pStyle w:val="Compact"/>
            </w:pPr>
            <w:r>
              <w:t xml:space="preserve">***</w:t>
            </w:r>
          </w:p>
        </w:tc>
      </w:tr>
      <w:tr>
        <w:tc>
          <w:tcPr/>
          <w:p>
            <w:pPr>
              <w:pStyle w:val="Compact"/>
            </w:pPr>
            <w:r>
              <w:t xml:space="preserve">p02 — Conoce el significado de educación financiera</w:t>
            </w:r>
          </w:p>
        </w:tc>
        <w:tc>
          <w:tcPr/>
          <w:p>
            <w:pPr>
              <w:pStyle w:val="Compact"/>
              <w:jc w:val="right"/>
            </w:pPr>
            <w:r>
              <w:t xml:space="preserve">34,295</w:t>
            </w:r>
          </w:p>
        </w:tc>
        <w:tc>
          <w:tcPr/>
          <w:p>
            <w:pPr>
              <w:pStyle w:val="Compact"/>
              <w:jc w:val="right"/>
            </w:pPr>
            <w:r>
              <w:t xml:space="preserve">4</w:t>
            </w:r>
          </w:p>
        </w:tc>
        <w:tc>
          <w:tcPr/>
          <w:p>
            <w:pPr>
              <w:pStyle w:val="Compact"/>
              <w:jc w:val="right"/>
            </w:pPr>
            <w:r>
              <w:t xml:space="preserve">&lt; ,001</w:t>
            </w:r>
          </w:p>
        </w:tc>
        <w:tc>
          <w:tcPr/>
          <w:p>
            <w:pPr>
              <w:pStyle w:val="Compact"/>
            </w:pPr>
            <w:r>
              <w:t xml:space="preserve">***</w:t>
            </w:r>
          </w:p>
        </w:tc>
      </w:tr>
      <w:tr>
        <w:tc>
          <w:tcPr/>
          <w:p>
            <w:pPr>
              <w:pStyle w:val="Compact"/>
            </w:pPr>
            <w:r>
              <w:t xml:space="preserve">p04 — Considera importante la educación financiera</w:t>
            </w:r>
          </w:p>
        </w:tc>
        <w:tc>
          <w:tcPr/>
          <w:p>
            <w:pPr>
              <w:pStyle w:val="Compact"/>
              <w:jc w:val="right"/>
            </w:pPr>
            <w:r>
              <w:t xml:space="preserve">3,721</w:t>
            </w:r>
          </w:p>
        </w:tc>
        <w:tc>
          <w:tcPr/>
          <w:p>
            <w:pPr>
              <w:pStyle w:val="Compact"/>
              <w:jc w:val="right"/>
            </w:pPr>
            <w:r>
              <w:t xml:space="preserve">4</w:t>
            </w:r>
          </w:p>
        </w:tc>
        <w:tc>
          <w:tcPr/>
          <w:p>
            <w:pPr>
              <w:pStyle w:val="Compact"/>
              <w:jc w:val="right"/>
            </w:pPr>
            <w:r>
              <w:t xml:space="preserve">,445</w:t>
            </w:r>
          </w:p>
        </w:tc>
        <w:tc>
          <w:tcPr/>
          <w:p>
            <w:pPr>
              <w:pStyle w:val="Compact"/>
            </w:pPr>
            <w:r>
              <w:t xml:space="preserve">NS</w:t>
            </w:r>
          </w:p>
        </w:tc>
      </w:tr>
      <w:tr>
        <w:tc>
          <w:tcPr/>
          <w:p>
            <w:pPr>
              <w:pStyle w:val="Compact"/>
            </w:pPr>
            <w:r>
              <w:t xml:space="preserve">p05 — Ha recibido información sobre ahorro/planeación</w:t>
            </w:r>
          </w:p>
        </w:tc>
        <w:tc>
          <w:tcPr/>
          <w:p>
            <w:pPr>
              <w:pStyle w:val="Compact"/>
              <w:jc w:val="right"/>
            </w:pPr>
            <w:r>
              <w:t xml:space="preserve">21,528</w:t>
            </w:r>
          </w:p>
        </w:tc>
        <w:tc>
          <w:tcPr/>
          <w:p>
            <w:pPr>
              <w:pStyle w:val="Compact"/>
              <w:jc w:val="right"/>
            </w:pPr>
            <w:r>
              <w:t xml:space="preserve">3</w:t>
            </w:r>
          </w:p>
        </w:tc>
        <w:tc>
          <w:tcPr/>
          <w:p>
            <w:pPr>
              <w:pStyle w:val="Compact"/>
              <w:jc w:val="right"/>
            </w:pPr>
            <w:r>
              <w:t xml:space="preserve">&lt; ,001</w:t>
            </w:r>
          </w:p>
        </w:tc>
        <w:tc>
          <w:tcPr/>
          <w:p>
            <w:pPr>
              <w:pStyle w:val="Compact"/>
            </w:pPr>
            <w:r>
              <w:t xml:space="preserve">***</w:t>
            </w:r>
          </w:p>
        </w:tc>
      </w:tr>
      <w:tr>
        <w:tc>
          <w:tcPr/>
          <w:p>
            <w:pPr>
              <w:pStyle w:val="Compact"/>
            </w:pPr>
            <w:r>
              <w:t xml:space="preserve">p06 — Conoce el significado de ahorro</w:t>
            </w:r>
          </w:p>
        </w:tc>
        <w:tc>
          <w:tcPr/>
          <w:p>
            <w:pPr>
              <w:pStyle w:val="Compact"/>
              <w:jc w:val="right"/>
            </w:pPr>
            <w:r>
              <w:t xml:space="preserve">6,953</w:t>
            </w:r>
          </w:p>
        </w:tc>
        <w:tc>
          <w:tcPr/>
          <w:p>
            <w:pPr>
              <w:pStyle w:val="Compact"/>
              <w:jc w:val="right"/>
            </w:pPr>
            <w:r>
              <w:t xml:space="preserve">4</w:t>
            </w:r>
          </w:p>
        </w:tc>
        <w:tc>
          <w:tcPr/>
          <w:p>
            <w:pPr>
              <w:pStyle w:val="Compact"/>
              <w:jc w:val="right"/>
            </w:pPr>
            <w:r>
              <w:t xml:space="preserve">,138</w:t>
            </w:r>
          </w:p>
        </w:tc>
        <w:tc>
          <w:tcPr/>
          <w:p>
            <w:pPr>
              <w:pStyle w:val="Compact"/>
            </w:pPr>
            <w:r>
              <w:t xml:space="preserve">NS</w:t>
            </w:r>
          </w:p>
        </w:tc>
      </w:tr>
      <w:tr>
        <w:tc>
          <w:tcPr/>
          <w:p>
            <w:pPr>
              <w:pStyle w:val="Compact"/>
            </w:pPr>
            <w:r>
              <w:t xml:space="preserve">p07 — Aporta dinero a su familia (recodificado)</w:t>
            </w:r>
          </w:p>
        </w:tc>
        <w:tc>
          <w:tcPr/>
          <w:p>
            <w:pPr>
              <w:pStyle w:val="Compact"/>
              <w:jc w:val="right"/>
            </w:pPr>
            <w:r>
              <w:t xml:space="preserve">0,002</w:t>
            </w:r>
          </w:p>
        </w:tc>
        <w:tc>
          <w:tcPr/>
          <w:p>
            <w:pPr>
              <w:pStyle w:val="Compact"/>
              <w:jc w:val="right"/>
            </w:pPr>
            <w:r>
              <w:t xml:space="preserve">1</w:t>
            </w:r>
          </w:p>
        </w:tc>
        <w:tc>
          <w:tcPr/>
          <w:p>
            <w:pPr>
              <w:pStyle w:val="Compact"/>
              <w:jc w:val="right"/>
            </w:pPr>
            <w:r>
              <w:t xml:space="preserve">,969</w:t>
            </w:r>
          </w:p>
        </w:tc>
        <w:tc>
          <w:tcPr/>
          <w:p>
            <w:pPr>
              <w:pStyle w:val="Compact"/>
            </w:pPr>
            <w:r>
              <w:t xml:space="preserve">NS</w:t>
            </w:r>
          </w:p>
        </w:tc>
      </w:tr>
      <w:tr>
        <w:tc>
          <w:tcPr/>
          <w:p>
            <w:pPr>
              <w:pStyle w:val="Compact"/>
            </w:pPr>
            <w:r>
              <w:t xml:space="preserve">p08 — Es constante y responsable al ahorrar</w:t>
            </w:r>
          </w:p>
        </w:tc>
        <w:tc>
          <w:tcPr/>
          <w:p>
            <w:pPr>
              <w:pStyle w:val="Compact"/>
              <w:jc w:val="right"/>
            </w:pPr>
            <w:r>
              <w:t xml:space="preserve">10,286</w:t>
            </w:r>
          </w:p>
        </w:tc>
        <w:tc>
          <w:tcPr/>
          <w:p>
            <w:pPr>
              <w:pStyle w:val="Compact"/>
              <w:jc w:val="right"/>
            </w:pPr>
            <w:r>
              <w:t xml:space="preserve">4</w:t>
            </w:r>
          </w:p>
        </w:tc>
        <w:tc>
          <w:tcPr/>
          <w:p>
            <w:pPr>
              <w:pStyle w:val="Compact"/>
              <w:jc w:val="right"/>
            </w:pPr>
            <w:r>
              <w:t xml:space="preserve">,036</w:t>
            </w:r>
          </w:p>
        </w:tc>
        <w:tc>
          <w:tcPr/>
          <w:p>
            <w:pPr>
              <w:pStyle w:val="Compact"/>
            </w:pPr>
            <w:r>
              <w:t xml:space="preserve">*</w:t>
            </w:r>
          </w:p>
        </w:tc>
      </w:tr>
      <w:tr>
        <w:tc>
          <w:tcPr/>
          <w:p>
            <w:pPr>
              <w:pStyle w:val="Compact"/>
            </w:pPr>
            <w:r>
              <w:t xml:space="preserve">p09 — Opinión sobre sacar crédito en banco o caja popular</w:t>
            </w:r>
          </w:p>
        </w:tc>
        <w:tc>
          <w:tcPr/>
          <w:p>
            <w:pPr>
              <w:pStyle w:val="Compact"/>
              <w:jc w:val="right"/>
            </w:pPr>
            <w:r>
              <w:t xml:space="preserve">12,117</w:t>
            </w:r>
          </w:p>
        </w:tc>
        <w:tc>
          <w:tcPr/>
          <w:p>
            <w:pPr>
              <w:pStyle w:val="Compact"/>
              <w:jc w:val="right"/>
            </w:pPr>
            <w:r>
              <w:t xml:space="preserve">4</w:t>
            </w:r>
          </w:p>
        </w:tc>
        <w:tc>
          <w:tcPr/>
          <w:p>
            <w:pPr>
              <w:pStyle w:val="Compact"/>
              <w:jc w:val="right"/>
            </w:pPr>
            <w:r>
              <w:t xml:space="preserve">,017</w:t>
            </w:r>
          </w:p>
        </w:tc>
        <w:tc>
          <w:tcPr/>
          <w:p>
            <w:pPr>
              <w:pStyle w:val="Compact"/>
            </w:pPr>
            <w:r>
              <w:t xml:space="preserve">*</w:t>
            </w:r>
          </w:p>
        </w:tc>
      </w:tr>
      <w:tr>
        <w:tc>
          <w:tcPr/>
          <w:p>
            <w:pPr>
              <w:pStyle w:val="Compact"/>
            </w:pPr>
            <w:r>
              <w:t xml:space="preserve">p10 — Conoce qué es un crédito</w:t>
            </w:r>
          </w:p>
        </w:tc>
        <w:tc>
          <w:tcPr/>
          <w:p>
            <w:pPr>
              <w:pStyle w:val="Compact"/>
              <w:jc w:val="right"/>
            </w:pPr>
            <w:r>
              <w:t xml:space="preserve">40,139</w:t>
            </w:r>
          </w:p>
        </w:tc>
        <w:tc>
          <w:tcPr/>
          <w:p>
            <w:pPr>
              <w:pStyle w:val="Compact"/>
              <w:jc w:val="right"/>
            </w:pPr>
            <w:r>
              <w:t xml:space="preserve">4</w:t>
            </w:r>
          </w:p>
        </w:tc>
        <w:tc>
          <w:tcPr/>
          <w:p>
            <w:pPr>
              <w:pStyle w:val="Compact"/>
              <w:jc w:val="right"/>
            </w:pPr>
            <w:r>
              <w:t xml:space="preserve">&lt; ,001</w:t>
            </w:r>
          </w:p>
        </w:tc>
        <w:tc>
          <w:tcPr/>
          <w:p>
            <w:pPr>
              <w:pStyle w:val="Compact"/>
            </w:pPr>
            <w:r>
              <w:t xml:space="preserve">***</w:t>
            </w:r>
          </w:p>
        </w:tc>
      </w:tr>
      <w:tr>
        <w:tc>
          <w:tcPr/>
          <w:p>
            <w:pPr>
              <w:pStyle w:val="Compact"/>
            </w:pPr>
            <w:r>
              <w:t xml:space="preserve">p17 — Cubre sus propios gastos con dinero propio (recodificado)</w:t>
            </w:r>
          </w:p>
        </w:tc>
        <w:tc>
          <w:tcPr/>
          <w:p>
            <w:pPr>
              <w:pStyle w:val="Compact"/>
              <w:jc w:val="right"/>
            </w:pPr>
            <w:r>
              <w:t xml:space="preserve">4,759</w:t>
            </w:r>
          </w:p>
        </w:tc>
        <w:tc>
          <w:tcPr/>
          <w:p>
            <w:pPr>
              <w:pStyle w:val="Compact"/>
              <w:jc w:val="right"/>
            </w:pPr>
            <w:r>
              <w:t xml:space="preserve">1</w:t>
            </w:r>
          </w:p>
        </w:tc>
        <w:tc>
          <w:tcPr/>
          <w:p>
            <w:pPr>
              <w:pStyle w:val="Compact"/>
              <w:jc w:val="right"/>
            </w:pPr>
            <w:r>
              <w:t xml:space="preserve">,029</w:t>
            </w:r>
          </w:p>
        </w:tc>
        <w:tc>
          <w:tcPr/>
          <w:p>
            <w:pPr>
              <w:pStyle w:val="Compact"/>
            </w:pPr>
            <w:r>
              <w:t xml:space="preserve">*</w:t>
            </w:r>
          </w:p>
        </w:tc>
      </w:tr>
    </w:tbl>
    <w:p>
      <w:pPr>
        <w:pStyle w:val="BodyText"/>
      </w:pPr>
      <w:r>
        <w:rPr>
          <w:i/>
          <w:iCs/>
        </w:rPr>
        <w:t xml:space="preserve">Nota.</w:t>
      </w:r>
      <w:r>
        <w:t xml:space="preserve"> </w:t>
      </w:r>
      <w:r>
        <w:t xml:space="preserve">NS = no significativo (p ≥ ,05); * p &lt; ,05; *** p &lt; ,001. gl = grados de libertad.</w:t>
      </w:r>
    </w:p>
    <w:bookmarkEnd w:id="19"/>
    <w:bookmarkStart w:id="20" w:name="tabla-6"/>
    <w:p>
      <w:pPr>
        <w:pStyle w:val="Heading3"/>
      </w:pPr>
      <w:r>
        <w:t xml:space="preserve">Tabla 6</w:t>
      </w:r>
    </w:p>
    <w:p>
      <w:pPr>
        <w:pStyle w:val="FirstParagraph"/>
      </w:pPr>
      <w:r>
        <w:rPr>
          <w:b/>
          <w:bCs/>
        </w:rPr>
        <w:t xml:space="preserve">Resultados de chi-cuadrado de Pearson para P18 (preferencias formativas) por subgrupo demográfico (BLOQUE 11, n = 656)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Cruce</w:t>
            </w:r>
          </w:p>
        </w:tc>
        <w:tc>
          <w:tcPr/>
          <w:p>
            <w:pPr>
              <w:pStyle w:val="Compact"/>
              <w:jc w:val="right"/>
            </w:pPr>
            <w:r>
              <w:t xml:space="preserve">χ²</w:t>
            </w:r>
          </w:p>
        </w:tc>
        <w:tc>
          <w:tcPr/>
          <w:p>
            <w:pPr>
              <w:pStyle w:val="Compact"/>
              <w:jc w:val="right"/>
            </w:pPr>
            <w:r>
              <w:t xml:space="preserve">gl</w:t>
            </w:r>
          </w:p>
        </w:tc>
        <w:tc>
          <w:tcPr/>
          <w:p>
            <w:pPr>
              <w:pStyle w:val="Compact"/>
              <w:jc w:val="right"/>
            </w:pPr>
            <w:r>
              <w:t xml:space="preserve">p</w:t>
            </w:r>
          </w:p>
        </w:tc>
        <w:tc>
          <w:tcPr/>
          <w:p>
            <w:pPr>
              <w:pStyle w:val="Compact"/>
            </w:pPr>
            <w:r>
              <w:t xml:space="preserve">Decisión</w:t>
            </w:r>
          </w:p>
        </w:tc>
      </w:tr>
      <w:tr>
        <w:tc>
          <w:tcPr/>
          <w:p>
            <w:pPr>
              <w:pStyle w:val="Compact"/>
            </w:pPr>
            <w:r>
              <w:t xml:space="preserve">P18 × nivel_agrupado</w:t>
            </w:r>
          </w:p>
        </w:tc>
        <w:tc>
          <w:tcPr/>
          <w:p>
            <w:pPr>
              <w:pStyle w:val="Compact"/>
              <w:jc w:val="right"/>
            </w:pPr>
            <w:r>
              <w:t xml:space="preserve">83,996</w:t>
            </w:r>
          </w:p>
        </w:tc>
        <w:tc>
          <w:tcPr/>
          <w:p>
            <w:pPr>
              <w:pStyle w:val="Compact"/>
              <w:jc w:val="right"/>
            </w:pPr>
            <w:r>
              <w:t xml:space="preserve">6</w:t>
            </w:r>
          </w:p>
        </w:tc>
        <w:tc>
          <w:tcPr/>
          <w:p>
            <w:pPr>
              <w:pStyle w:val="Compact"/>
              <w:jc w:val="right"/>
            </w:pPr>
            <w:r>
              <w:t xml:space="preserve">&lt; ,001</w:t>
            </w:r>
          </w:p>
        </w:tc>
        <w:tc>
          <w:tcPr/>
          <w:p>
            <w:pPr>
              <w:pStyle w:val="Compact"/>
            </w:pPr>
            <w:r>
              <w:t xml:space="preserve">***</w:t>
            </w:r>
          </w:p>
        </w:tc>
      </w:tr>
      <w:tr>
        <w:tc>
          <w:tcPr/>
          <w:p>
            <w:pPr>
              <w:pStyle w:val="Compact"/>
            </w:pPr>
            <w:r>
              <w:t xml:space="preserve">P18 × sexo</w:t>
            </w:r>
          </w:p>
        </w:tc>
        <w:tc>
          <w:tcPr/>
          <w:p>
            <w:pPr>
              <w:pStyle w:val="Compact"/>
              <w:jc w:val="right"/>
            </w:pPr>
            <w:r>
              <w:t xml:space="preserve">22,986</w:t>
            </w:r>
          </w:p>
        </w:tc>
        <w:tc>
          <w:tcPr/>
          <w:p>
            <w:pPr>
              <w:pStyle w:val="Compact"/>
              <w:jc w:val="right"/>
            </w:pPr>
            <w:r>
              <w:t xml:space="preserve">12</w:t>
            </w:r>
          </w:p>
        </w:tc>
        <w:tc>
          <w:tcPr/>
          <w:p>
            <w:pPr>
              <w:pStyle w:val="Compact"/>
              <w:jc w:val="right"/>
            </w:pPr>
            <w:r>
              <w:t xml:space="preserve">,028</w:t>
            </w:r>
          </w:p>
        </w:tc>
        <w:tc>
          <w:tcPr/>
          <w:p>
            <w:pPr>
              <w:pStyle w:val="Compact"/>
            </w:pPr>
            <w:r>
              <w:t xml:space="preserve">*</w:t>
            </w:r>
          </w:p>
        </w:tc>
      </w:tr>
      <w:tr>
        <w:tc>
          <w:tcPr/>
          <w:p>
            <w:pPr>
              <w:pStyle w:val="Compact"/>
            </w:pPr>
            <w:r>
              <w:t xml:space="preserve">P18 × tipo_escuela</w:t>
            </w:r>
          </w:p>
        </w:tc>
        <w:tc>
          <w:tcPr/>
          <w:p>
            <w:pPr>
              <w:pStyle w:val="Compact"/>
              <w:jc w:val="right"/>
            </w:pPr>
            <w:r>
              <w:t xml:space="preserve">14,893</w:t>
            </w:r>
          </w:p>
        </w:tc>
        <w:tc>
          <w:tcPr/>
          <w:p>
            <w:pPr>
              <w:pStyle w:val="Compact"/>
              <w:jc w:val="right"/>
            </w:pPr>
            <w:r>
              <w:t xml:space="preserve">6</w:t>
            </w:r>
          </w:p>
        </w:tc>
        <w:tc>
          <w:tcPr/>
          <w:p>
            <w:pPr>
              <w:pStyle w:val="Compact"/>
              <w:jc w:val="right"/>
            </w:pPr>
            <w:r>
              <w:t xml:space="preserve">,021</w:t>
            </w:r>
          </w:p>
        </w:tc>
        <w:tc>
          <w:tcPr/>
          <w:p>
            <w:pPr>
              <w:pStyle w:val="Compact"/>
            </w:pPr>
            <w:r>
              <w:t xml:space="preserve">*</w:t>
            </w:r>
          </w:p>
        </w:tc>
      </w:tr>
      <w:tr>
        <w:tc>
          <w:tcPr/>
          <w:p>
            <w:pPr>
              <w:pStyle w:val="Compact"/>
            </w:pPr>
            <w:r>
              <w:t xml:space="preserve">P18 × c_negocio_familiar</w:t>
            </w:r>
          </w:p>
        </w:tc>
        <w:tc>
          <w:tcPr/>
          <w:p>
            <w:pPr>
              <w:pStyle w:val="Compact"/>
              <w:jc w:val="right"/>
            </w:pPr>
            <w:r>
              <w:t xml:space="preserve">3,673</w:t>
            </w:r>
          </w:p>
        </w:tc>
        <w:tc>
          <w:tcPr/>
          <w:p>
            <w:pPr>
              <w:pStyle w:val="Compact"/>
              <w:jc w:val="right"/>
            </w:pPr>
            <w:r>
              <w:t xml:space="preserve">6</w:t>
            </w:r>
          </w:p>
        </w:tc>
        <w:tc>
          <w:tcPr/>
          <w:p>
            <w:pPr>
              <w:pStyle w:val="Compact"/>
              <w:jc w:val="right"/>
            </w:pPr>
            <w:r>
              <w:t xml:space="preserve">,721</w:t>
            </w:r>
          </w:p>
        </w:tc>
        <w:tc>
          <w:tcPr/>
          <w:p>
            <w:pPr>
              <w:pStyle w:val="Compact"/>
            </w:pPr>
            <w:r>
              <w:t xml:space="preserve">NS</w:t>
            </w:r>
          </w:p>
        </w:tc>
      </w:tr>
    </w:tbl>
    <w:p>
      <w:pPr>
        <w:pStyle w:val="BodyText"/>
      </w:pPr>
      <w:r>
        <w:rPr>
          <w:i/>
          <w:iCs/>
        </w:rPr>
        <w:t xml:space="preserve">Nota.</w:t>
      </w:r>
      <w:r>
        <w:t xml:space="preserve"> </w:t>
      </w:r>
      <w:r>
        <w:t xml:space="preserve">NS = no significativo; * p &lt; ,05; *** p &lt; ,001.</w:t>
      </w:r>
    </w:p>
    <w:bookmarkEnd w:id="20"/>
    <w:bookmarkStart w:id="24" w:name="interpretación-integrada"/>
    <w:p>
      <w:pPr>
        <w:pStyle w:val="Heading3"/>
      </w:pPr>
      <w:r>
        <w:t xml:space="preserve">Interpretación integrada</w:t>
      </w:r>
    </w:p>
    <w:p>
      <w:pPr>
        <w:pStyle w:val="FirstParagraph"/>
      </w:pPr>
      <w:r>
        <w:t xml:space="preserve">Ocho de las quince variables del perfil mostraron asociación significativa con el nivel educativo, con un patrón claro: los estudiantes de bachillerato reportan mayor conocimiento y exposición a conceptos financieros (p01, p02, p10), mayor responsabilidad en el ahorro (p08), mayor información recibida sobre ahorro y planeación (p05), opinión más favorable sobre el crédito (p09), y mayor autonomía económica (p17). Las variables de conocimiento básico (p04</w:t>
      </w:r>
      <w:r>
        <w:t xml:space="preserve"> </w:t>
      </w:r>
      <w:r>
        <w:t xml:space="preserve">“considera importante”</w:t>
      </w:r>
      <w:r>
        <w:t xml:space="preserve">, p06</w:t>
      </w:r>
      <w:r>
        <w:t xml:space="preserve"> </w:t>
      </w:r>
      <w:r>
        <w:t xml:space="preserve">“conoce el significado de ahorro”</w:t>
      </w:r>
      <w:r>
        <w:t xml:space="preserve">, p07</w:t>
      </w:r>
      <w:r>
        <w:t xml:space="preserve"> </w:t>
      </w:r>
      <w:r>
        <w:t xml:space="preserve">“aporta dinero”</w:t>
      </w:r>
      <w:r>
        <w:t xml:space="preserve">) y el perfil estructural (sexo, convivencia, vivienda, negocio familiar) no mostraron asociación, lo que sugiere que tales conocimientos y estructuras familiares son transversales al nivel educativo.</w:t>
      </w:r>
    </w:p>
    <w:p>
      <w:pPr>
        <w:pStyle w:val="BodyText"/>
      </w:pPr>
      <w:r>
        <w:t xml:space="preserve">La prueba chi-cuadrado entre P18 y nivel educativo (χ²(6) = 83,996, p &lt; ,001) reveló que las preferencias de formato pedagógico difieren marcadamente entre niveles: la Figura 1 muestra la distribución. La asociación con sexo (χ²(12) = 22,986, p = ,028) y tipo de escuela (χ²(6) = 14,893, p = ,021) también alcanzó significancia, aunque con magnitudes menores; por el contrario, la existencia de negocio familiar no se asoció con la preferencia de formato (χ²(6) = 3,673, p = ,721).</w:t>
      </w:r>
    </w:p>
    <w:p>
      <w:pPr>
        <w:pStyle w:val="CaptionedFigure"/>
      </w:pPr>
      <w:r>
        <w:drawing>
          <wp:inline>
            <wp:extent cx="5334000" cy="3137647"/>
            <wp:effectExtent b="0" l="0" r="0" t="0"/>
            <wp:docPr descr="Distribución de preferencias formativas P18 por nivel educativo" title="" id="22" name="Picture"/>
            <a:graphic>
              <a:graphicData uri="http://schemas.openxmlformats.org/drawingml/2006/picture">
                <pic:pic>
                  <pic:nvPicPr>
                    <pic:cNvPr descr="results/tablas_analisis.png" id="23" name="Picture"/>
                    <pic:cNvPicPr>
                      <a:picLocks noChangeArrowheads="1" noChangeAspect="1"/>
                    </pic:cNvPicPr>
                  </pic:nvPicPr>
                  <pic:blipFill>
                    <a:blip r:embed="rId21"/>
                    <a:stretch>
                      <a:fillRect/>
                    </a:stretch>
                  </pic:blipFill>
                  <pic:spPr bwMode="auto">
                    <a:xfrm>
                      <a:off x="0" y="0"/>
                      <a:ext cx="5334000" cy="3137647"/>
                    </a:xfrm>
                    <a:prstGeom prst="rect">
                      <a:avLst/>
                    </a:prstGeom>
                    <a:noFill/>
                    <a:ln w="9525">
                      <a:noFill/>
                      <a:headEnd/>
                      <a:tailEnd/>
                    </a:ln>
                  </pic:spPr>
                </pic:pic>
              </a:graphicData>
            </a:graphic>
          </wp:inline>
        </w:drawing>
      </w:r>
    </w:p>
    <w:p>
      <w:pPr>
        <w:pStyle w:val="ImageCaption"/>
      </w:pPr>
      <w:r>
        <w:t xml:space="preserve">Distribución de preferencias formativas P18 por nivel educativo</w:t>
      </w:r>
    </w:p>
    <w:p>
      <w:pPr>
        <w:pStyle w:val="BodyText"/>
      </w:pPr>
      <w:r>
        <w:rPr>
          <w:b/>
          <w:bCs/>
        </w:rPr>
        <w:t xml:space="preserve">Figura 1.</w:t>
      </w:r>
      <w:r>
        <w:t xml:space="preserve"> </w:t>
      </w:r>
      <w:r>
        <w:t xml:space="preserve">Distribución de frecuencias de la pregunta P18 (¿cómo le gustaría que fueran las clases de educación financiera?) agrupada en siete categorías, por nivel educativo. Fuente: BLOQUE 13 del Visor SPSS.</w:t>
      </w:r>
    </w:p>
    <w:p>
      <w:r>
        <w:pict>
          <v:rect style="width:0;height:1.5pt" o:hralign="center" o:hrstd="t" o:hr="t"/>
        </w:pict>
      </w:r>
    </w:p>
    <w:bookmarkEnd w:id="24"/>
    <w:bookmarkEnd w:id="25"/>
    <w:bookmarkStart w:id="37" w:name="preferencias-formativas-pregunta-p18"/>
    <w:p>
      <w:pPr>
        <w:pStyle w:val="Heading2"/>
      </w:pPr>
      <w:r>
        <w:t xml:space="preserve">7. Preferencias formativas — Pregunta P18</w:t>
      </w:r>
    </w:p>
    <w:p>
      <w:pPr>
        <w:pStyle w:val="FirstParagraph"/>
      </w:pPr>
      <w:r>
        <w:t xml:space="preserve">La pregunta abierta P18 fue categorizada en siete modalidades de preferencia pedagógica. La distribución global de la muestra muestra una marcada concentración en explicaciones claras (45,1 %), seguida de formatos interactivos (18,0 %) y con expertos (13,3 %).</w:t>
      </w:r>
    </w:p>
    <w:bookmarkStart w:id="26" w:name="tabla-7"/>
    <w:p>
      <w:pPr>
        <w:pStyle w:val="Heading3"/>
      </w:pPr>
      <w:r>
        <w:t xml:space="preserve">Tabla 7</w:t>
      </w:r>
    </w:p>
    <w:p>
      <w:pPr>
        <w:pStyle w:val="FirstParagraph"/>
      </w:pPr>
      <w:r>
        <w:rPr>
          <w:b/>
          <w:bCs/>
        </w:rPr>
        <w:t xml:space="preserve">Distribución de frecuencias de P18 (N = 656)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Categoría</w:t>
            </w:r>
          </w:p>
        </w:tc>
        <w:tc>
          <w:tcPr/>
          <w:p>
            <w:pPr>
              <w:pStyle w:val="Compact"/>
              <w:jc w:val="right"/>
            </w:pPr>
            <w:r>
              <w:t xml:space="preserve">Frecuencia</w:t>
            </w:r>
          </w:p>
        </w:tc>
        <w:tc>
          <w:tcPr/>
          <w:p>
            <w:pPr>
              <w:pStyle w:val="Compact"/>
              <w:jc w:val="right"/>
            </w:pPr>
            <w:r>
              <w:t xml:space="preserve">Porcentaje válido</w:t>
            </w:r>
          </w:p>
        </w:tc>
        <w:tc>
          <w:tcPr/>
          <w:p>
            <w:pPr>
              <w:pStyle w:val="Compact"/>
              <w:jc w:val="right"/>
            </w:pPr>
            <w:r>
              <w:t xml:space="preserve">Porcentaje acumulado</w:t>
            </w:r>
          </w:p>
        </w:tc>
      </w:tr>
      <w:tr>
        <w:tc>
          <w:tcPr/>
          <w:p>
            <w:pPr>
              <w:pStyle w:val="Compact"/>
            </w:pPr>
            <w:r>
              <w:t xml:space="preserve">Explicaciones claras</w:t>
            </w:r>
          </w:p>
        </w:tc>
        <w:tc>
          <w:tcPr/>
          <w:p>
            <w:pPr>
              <w:pStyle w:val="Compact"/>
              <w:jc w:val="right"/>
            </w:pPr>
            <w:r>
              <w:t xml:space="preserve">296</w:t>
            </w:r>
          </w:p>
        </w:tc>
        <w:tc>
          <w:tcPr/>
          <w:p>
            <w:pPr>
              <w:pStyle w:val="Compact"/>
              <w:jc w:val="right"/>
            </w:pPr>
            <w:r>
              <w:t xml:space="preserve">45,1</w:t>
            </w:r>
          </w:p>
        </w:tc>
        <w:tc>
          <w:tcPr/>
          <w:p>
            <w:pPr>
              <w:pStyle w:val="Compact"/>
              <w:jc w:val="right"/>
            </w:pPr>
            <w:r>
              <w:t xml:space="preserve">45,1</w:t>
            </w:r>
          </w:p>
        </w:tc>
      </w:tr>
      <w:tr>
        <w:tc>
          <w:tcPr/>
          <w:p>
            <w:pPr>
              <w:pStyle w:val="Compact"/>
            </w:pPr>
            <w:r>
              <w:t xml:space="preserve">Interactivas</w:t>
            </w:r>
          </w:p>
        </w:tc>
        <w:tc>
          <w:tcPr/>
          <w:p>
            <w:pPr>
              <w:pStyle w:val="Compact"/>
              <w:jc w:val="right"/>
            </w:pPr>
            <w:r>
              <w:t xml:space="preserve">118</w:t>
            </w:r>
          </w:p>
        </w:tc>
        <w:tc>
          <w:tcPr/>
          <w:p>
            <w:pPr>
              <w:pStyle w:val="Compact"/>
              <w:jc w:val="right"/>
            </w:pPr>
            <w:r>
              <w:t xml:space="preserve">18,0</w:t>
            </w:r>
          </w:p>
        </w:tc>
        <w:tc>
          <w:tcPr/>
          <w:p>
            <w:pPr>
              <w:pStyle w:val="Compact"/>
              <w:jc w:val="right"/>
            </w:pPr>
            <w:r>
              <w:t xml:space="preserve">63,1</w:t>
            </w:r>
          </w:p>
        </w:tc>
      </w:tr>
      <w:tr>
        <w:tc>
          <w:tcPr/>
          <w:p>
            <w:pPr>
              <w:pStyle w:val="Compact"/>
            </w:pPr>
            <w:r>
              <w:t xml:space="preserve">Con expertos</w:t>
            </w:r>
          </w:p>
        </w:tc>
        <w:tc>
          <w:tcPr/>
          <w:p>
            <w:pPr>
              <w:pStyle w:val="Compact"/>
              <w:jc w:val="right"/>
            </w:pPr>
            <w:r>
              <w:t xml:space="preserve">87</w:t>
            </w:r>
          </w:p>
        </w:tc>
        <w:tc>
          <w:tcPr/>
          <w:p>
            <w:pPr>
              <w:pStyle w:val="Compact"/>
              <w:jc w:val="right"/>
            </w:pPr>
            <w:r>
              <w:t xml:space="preserve">13,3</w:t>
            </w:r>
          </w:p>
        </w:tc>
        <w:tc>
          <w:tcPr/>
          <w:p>
            <w:pPr>
              <w:pStyle w:val="Compact"/>
              <w:jc w:val="right"/>
            </w:pPr>
            <w:r>
              <w:t xml:space="preserve">76,4</w:t>
            </w:r>
          </w:p>
        </w:tc>
      </w:tr>
      <w:tr>
        <w:tc>
          <w:tcPr/>
          <w:p>
            <w:pPr>
              <w:pStyle w:val="Compact"/>
            </w:pPr>
            <w:r>
              <w:t xml:space="preserve">Con práctica</w:t>
            </w:r>
          </w:p>
        </w:tc>
        <w:tc>
          <w:tcPr/>
          <w:p>
            <w:pPr>
              <w:pStyle w:val="Compact"/>
              <w:jc w:val="right"/>
            </w:pPr>
            <w:r>
              <w:t xml:space="preserve">51</w:t>
            </w:r>
          </w:p>
        </w:tc>
        <w:tc>
          <w:tcPr/>
          <w:p>
            <w:pPr>
              <w:pStyle w:val="Compact"/>
              <w:jc w:val="right"/>
            </w:pPr>
            <w:r>
              <w:t xml:space="preserve">7,8</w:t>
            </w:r>
          </w:p>
        </w:tc>
        <w:tc>
          <w:tcPr/>
          <w:p>
            <w:pPr>
              <w:pStyle w:val="Compact"/>
              <w:jc w:val="right"/>
            </w:pPr>
            <w:r>
              <w:t xml:space="preserve">84,1</w:t>
            </w:r>
          </w:p>
        </w:tc>
      </w:tr>
      <w:tr>
        <w:tc>
          <w:tcPr/>
          <w:p>
            <w:pPr>
              <w:pStyle w:val="Compact"/>
            </w:pPr>
            <w:r>
              <w:t xml:space="preserve">Otro</w:t>
            </w:r>
          </w:p>
        </w:tc>
        <w:tc>
          <w:tcPr/>
          <w:p>
            <w:pPr>
              <w:pStyle w:val="Compact"/>
              <w:jc w:val="right"/>
            </w:pPr>
            <w:r>
              <w:t xml:space="preserve">47</w:t>
            </w:r>
          </w:p>
        </w:tc>
        <w:tc>
          <w:tcPr/>
          <w:p>
            <w:pPr>
              <w:pStyle w:val="Compact"/>
              <w:jc w:val="right"/>
            </w:pPr>
            <w:r>
              <w:t xml:space="preserve">7,2</w:t>
            </w:r>
          </w:p>
        </w:tc>
        <w:tc>
          <w:tcPr/>
          <w:p>
            <w:pPr>
              <w:pStyle w:val="Compact"/>
              <w:jc w:val="right"/>
            </w:pPr>
            <w:r>
              <w:t xml:space="preserve">91,3</w:t>
            </w:r>
          </w:p>
        </w:tc>
      </w:tr>
      <w:tr>
        <w:tc>
          <w:tcPr/>
          <w:p>
            <w:pPr>
              <w:pStyle w:val="Compact"/>
            </w:pPr>
            <w:r>
              <w:t xml:space="preserve">En equipo</w:t>
            </w:r>
          </w:p>
        </w:tc>
        <w:tc>
          <w:tcPr/>
          <w:p>
            <w:pPr>
              <w:pStyle w:val="Compact"/>
              <w:jc w:val="right"/>
            </w:pPr>
            <w:r>
              <w:t xml:space="preserve">33</w:t>
            </w:r>
          </w:p>
        </w:tc>
        <w:tc>
          <w:tcPr/>
          <w:p>
            <w:pPr>
              <w:pStyle w:val="Compact"/>
              <w:jc w:val="right"/>
            </w:pPr>
            <w:r>
              <w:t xml:space="preserve">5,0</w:t>
            </w:r>
          </w:p>
        </w:tc>
        <w:tc>
          <w:tcPr/>
          <w:p>
            <w:pPr>
              <w:pStyle w:val="Compact"/>
              <w:jc w:val="right"/>
            </w:pPr>
            <w:r>
              <w:t xml:space="preserve">96,3</w:t>
            </w:r>
          </w:p>
        </w:tc>
      </w:tr>
      <w:tr>
        <w:tc>
          <w:tcPr/>
          <w:p>
            <w:pPr>
              <w:pStyle w:val="Compact"/>
            </w:pPr>
            <w:r>
              <w:t xml:space="preserve">Ahorro/inversión</w:t>
            </w:r>
          </w:p>
        </w:tc>
        <w:tc>
          <w:tcPr/>
          <w:p>
            <w:pPr>
              <w:pStyle w:val="Compact"/>
              <w:jc w:val="right"/>
            </w:pPr>
            <w:r>
              <w:t xml:space="preserve">24</w:t>
            </w:r>
          </w:p>
        </w:tc>
        <w:tc>
          <w:tcPr/>
          <w:p>
            <w:pPr>
              <w:pStyle w:val="Compact"/>
              <w:jc w:val="right"/>
            </w:pPr>
            <w:r>
              <w:t xml:space="preserve">3,7</w:t>
            </w:r>
          </w:p>
        </w:tc>
        <w:tc>
          <w:tcPr/>
          <w:p>
            <w:pPr>
              <w:pStyle w:val="Compact"/>
              <w:jc w:val="right"/>
            </w:pPr>
            <w:r>
              <w:t xml:space="preserve">100,0</w:t>
            </w:r>
          </w:p>
        </w:tc>
      </w:tr>
      <w:tr>
        <w:tc>
          <w:tcPr/>
          <w:p>
            <w:pPr>
              <w:pStyle w:val="Compact"/>
            </w:pPr>
            <w:r>
              <w:rPr>
                <w:b/>
                <w:bCs/>
              </w:rPr>
              <w:t xml:space="preserve">Total</w:t>
            </w:r>
          </w:p>
        </w:tc>
        <w:tc>
          <w:tcPr/>
          <w:p>
            <w:pPr>
              <w:pStyle w:val="Compact"/>
              <w:jc w:val="right"/>
            </w:pPr>
            <w:r>
              <w:rPr>
                <w:b/>
                <w:bCs/>
              </w:rPr>
              <w:t xml:space="preserve">656</w:t>
            </w:r>
          </w:p>
        </w:tc>
        <w:tc>
          <w:tcPr/>
          <w:p>
            <w:pPr>
              <w:pStyle w:val="Compact"/>
              <w:jc w:val="right"/>
            </w:pPr>
            <w:r>
              <w:rPr>
                <w:b/>
                <w:bCs/>
              </w:rPr>
              <w:t xml:space="preserve">100,0</w:t>
            </w:r>
          </w:p>
        </w:tc>
        <w:tc>
          <w:tcPr/>
          <w:p>
            <w:pPr>
              <w:pStyle w:val="Compact"/>
            </w:pPr>
          </w:p>
        </w:tc>
      </w:tr>
    </w:tbl>
    <w:p>
      <w:pPr>
        <w:pStyle w:val="BodyText"/>
      </w:pPr>
      <w:r>
        <w:rPr>
          <w:i/>
          <w:iCs/>
        </w:rPr>
        <w:t xml:space="preserve">Nota.</w:t>
      </w:r>
      <w:r>
        <w:t xml:space="preserve"> </w:t>
      </w:r>
      <w:r>
        <w:t xml:space="preserve">Categorías obtenidas mediante análisis cualitativo de las respuestas textuales; ver</w:t>
      </w:r>
      <w:r>
        <w:t xml:space="preserve"> </w:t>
      </w:r>
      <w:r>
        <w:rPr>
          <w:rStyle w:val="VerbatimChar"/>
        </w:rPr>
        <w:t xml:space="preserve">src/normalizar.py</w:t>
      </w:r>
      <w:r>
        <w:t xml:space="preserve"> </w:t>
      </w:r>
      <w:r>
        <w:t xml:space="preserve">para reglas de clasificación.</w:t>
      </w:r>
    </w:p>
    <w:p>
      <w:pPr>
        <w:pStyle w:val="BodyText"/>
      </w:pPr>
      <w:r>
        <w:t xml:space="preserve">El análisis de las respuestas textuales verbatim reveló, además, que dentro de la categoría</w:t>
      </w:r>
      <w:r>
        <w:t xml:space="preserve"> </w:t>
      </w:r>
      <w:r>
        <w:t xml:space="preserve">“explicaciones claras”</w:t>
      </w:r>
      <w:r>
        <w:t xml:space="preserve"> </w:t>
      </w:r>
      <w:r>
        <w:t xml:space="preserve">los estudiantes suelen solicitar combinaciones como</w:t>
      </w:r>
      <w:r>
        <w:t xml:space="preserve"> </w:t>
      </w:r>
      <w:r>
        <w:t xml:space="preserve">“explicación, estrategias y actividades”</w:t>
      </w:r>
      <w:r>
        <w:t xml:space="preserve"> </w:t>
      </w:r>
      <w:r>
        <w:t xml:space="preserve">(34,5 %) o</w:t>
      </w:r>
      <w:r>
        <w:t xml:space="preserve"> </w:t>
      </w:r>
      <w:r>
        <w:t xml:space="preserve">“clases con exposiciones, ejemplos y prácticas”</w:t>
      </w:r>
      <w:r>
        <w:t xml:space="preserve"> </w:t>
      </w:r>
      <w:r>
        <w:t xml:space="preserve">(6,9 %), lo que evidencia una preferencia por formatos que articulen teoría con aplicación concreta. En la categoría</w:t>
      </w:r>
      <w:r>
        <w:t xml:space="preserve"> </w:t>
      </w:r>
      <w:r>
        <w:t xml:space="preserve">“interactivas”</w:t>
      </w:r>
      <w:r>
        <w:t xml:space="preserve"> </w:t>
      </w:r>
      <w:r>
        <w:t xml:space="preserve">la modalidad más mencionada es</w:t>
      </w:r>
      <w:r>
        <w:t xml:space="preserve"> </w:t>
      </w:r>
      <w:r>
        <w:t xml:space="preserve">“divertidas, entretenidas e interesantes”</w:t>
      </w:r>
      <w:r>
        <w:t xml:space="preserve"> </w:t>
      </w:r>
      <w:r>
        <w:t xml:space="preserve">(11,0 %).</w:t>
      </w:r>
    </w:p>
    <w:bookmarkEnd w:id="26"/>
    <w:bookmarkStart w:id="36" w:name="X7122106805c08d09c3e59d0772964962b57a7b0"/>
    <w:p>
      <w:pPr>
        <w:pStyle w:val="Heading3"/>
      </w:pPr>
      <w:r>
        <w:t xml:space="preserve">Visualización de variables clave por nivel educativo</w:t>
      </w:r>
    </w:p>
    <w:p>
      <w:pPr>
        <w:pStyle w:val="FirstParagraph"/>
      </w:pPr>
      <w:r>
        <w:t xml:space="preserve">Las Figuras 2 a 4 ilustran la distribución porcentual de tres ítems representativos del instrumento, segmentada por nivel educativo.</w:t>
      </w:r>
    </w:p>
    <w:p>
      <w:pPr>
        <w:pStyle w:val="CaptionedFigure"/>
      </w:pPr>
      <w:r>
        <w:drawing>
          <wp:inline>
            <wp:extent cx="5334000" cy="3137647"/>
            <wp:effectExtent b="0" l="0" r="0" t="0"/>
            <wp:docPr descr="Distribución de P04 por nivel educativo" title="" id="28" name="Picture"/>
            <a:graphic>
              <a:graphicData uri="http://schemas.openxmlformats.org/drawingml/2006/picture">
                <pic:pic>
                  <pic:nvPicPr>
                    <pic:cNvPr descr="results/tablas_analisis1.png" id="29" name="Picture"/>
                    <pic:cNvPicPr>
                      <a:picLocks noChangeArrowheads="1" noChangeAspect="1"/>
                    </pic:cNvPicPr>
                  </pic:nvPicPr>
                  <pic:blipFill>
                    <a:blip r:embed="rId27"/>
                    <a:stretch>
                      <a:fillRect/>
                    </a:stretch>
                  </pic:blipFill>
                  <pic:spPr bwMode="auto">
                    <a:xfrm>
                      <a:off x="0" y="0"/>
                      <a:ext cx="5334000" cy="3137647"/>
                    </a:xfrm>
                    <a:prstGeom prst="rect">
                      <a:avLst/>
                    </a:prstGeom>
                    <a:noFill/>
                    <a:ln w="9525">
                      <a:noFill/>
                      <a:headEnd/>
                      <a:tailEnd/>
                    </a:ln>
                  </pic:spPr>
                </pic:pic>
              </a:graphicData>
            </a:graphic>
          </wp:inline>
        </w:drawing>
      </w:r>
    </w:p>
    <w:p>
      <w:pPr>
        <w:pStyle w:val="ImageCaption"/>
      </w:pPr>
      <w:r>
        <w:t xml:space="preserve">Distribución de P04 por nivel educativo</w:t>
      </w:r>
    </w:p>
    <w:p>
      <w:pPr>
        <w:pStyle w:val="BodyText"/>
      </w:pPr>
      <w:r>
        <w:rPr>
          <w:b/>
          <w:bCs/>
        </w:rPr>
        <w:t xml:space="preserve">Figura 2.</w:t>
      </w:r>
      <w:r>
        <w:t xml:space="preserve"> </w:t>
      </w:r>
      <w:r>
        <w:t xml:space="preserve">Distribución porcentual de P04 (¿consideras importante la educación financiera?) por nivel educativo. La barra representa el porcentaje de cada categoría de respuesta. La prueba chi-cuadrado no detectó asociación significativa (χ²(4) = 3,72, p = ,445), lo que indica que la importancia atribuida a la educación financiera es transversal a ambos niveles.</w:t>
      </w:r>
    </w:p>
    <w:p>
      <w:pPr>
        <w:pStyle w:val="CaptionedFigure"/>
      </w:pPr>
      <w:r>
        <w:drawing>
          <wp:inline>
            <wp:extent cx="5334000" cy="3137647"/>
            <wp:effectExtent b="0" l="0" r="0" t="0"/>
            <wp:docPr descr="Distribución de P10 por nivel educativo" title="" id="31" name="Picture"/>
            <a:graphic>
              <a:graphicData uri="http://schemas.openxmlformats.org/drawingml/2006/picture">
                <pic:pic>
                  <pic:nvPicPr>
                    <pic:cNvPr descr="results/tablas_analisis2.png" id="32" name="Picture"/>
                    <pic:cNvPicPr>
                      <a:picLocks noChangeArrowheads="1" noChangeAspect="1"/>
                    </pic:cNvPicPr>
                  </pic:nvPicPr>
                  <pic:blipFill>
                    <a:blip r:embed="rId30"/>
                    <a:stretch>
                      <a:fillRect/>
                    </a:stretch>
                  </pic:blipFill>
                  <pic:spPr bwMode="auto">
                    <a:xfrm>
                      <a:off x="0" y="0"/>
                      <a:ext cx="5334000" cy="3137647"/>
                    </a:xfrm>
                    <a:prstGeom prst="rect">
                      <a:avLst/>
                    </a:prstGeom>
                    <a:noFill/>
                    <a:ln w="9525">
                      <a:noFill/>
                      <a:headEnd/>
                      <a:tailEnd/>
                    </a:ln>
                  </pic:spPr>
                </pic:pic>
              </a:graphicData>
            </a:graphic>
          </wp:inline>
        </w:drawing>
      </w:r>
    </w:p>
    <w:p>
      <w:pPr>
        <w:pStyle w:val="ImageCaption"/>
      </w:pPr>
      <w:r>
        <w:t xml:space="preserve">Distribución de P10 por nivel educativo</w:t>
      </w:r>
    </w:p>
    <w:p>
      <w:pPr>
        <w:pStyle w:val="BodyText"/>
      </w:pPr>
      <w:r>
        <w:rPr>
          <w:b/>
          <w:bCs/>
        </w:rPr>
        <w:t xml:space="preserve">Figura 3.</w:t>
      </w:r>
      <w:r>
        <w:t xml:space="preserve"> </w:t>
      </w:r>
      <w:r>
        <w:t xml:space="preserve">Distribución porcentual de P10 (¿conoces qué es un crédito?) por nivel educativo. La asociación con el nivel es altamente significativa (χ²(4) = 40,14, p &lt; ,001): los estudiantes de bachillerato reportan mayor conocimiento del concepto.</w:t>
      </w:r>
    </w:p>
    <w:p>
      <w:pPr>
        <w:pStyle w:val="CaptionedFigure"/>
      </w:pPr>
      <w:r>
        <w:drawing>
          <wp:inline>
            <wp:extent cx="5334000" cy="3137647"/>
            <wp:effectExtent b="0" l="0" r="0" t="0"/>
            <wp:docPr descr="Distribución de P06 por nivel educativo" title="" id="34" name="Picture"/>
            <a:graphic>
              <a:graphicData uri="http://schemas.openxmlformats.org/drawingml/2006/picture">
                <pic:pic>
                  <pic:nvPicPr>
                    <pic:cNvPr descr="results/tablas_analisis3.png" id="35" name="Picture"/>
                    <pic:cNvPicPr>
                      <a:picLocks noChangeArrowheads="1" noChangeAspect="1"/>
                    </pic:cNvPicPr>
                  </pic:nvPicPr>
                  <pic:blipFill>
                    <a:blip r:embed="rId33"/>
                    <a:stretch>
                      <a:fillRect/>
                    </a:stretch>
                  </pic:blipFill>
                  <pic:spPr bwMode="auto">
                    <a:xfrm>
                      <a:off x="0" y="0"/>
                      <a:ext cx="5334000" cy="3137647"/>
                    </a:xfrm>
                    <a:prstGeom prst="rect">
                      <a:avLst/>
                    </a:prstGeom>
                    <a:noFill/>
                    <a:ln w="9525">
                      <a:noFill/>
                      <a:headEnd/>
                      <a:tailEnd/>
                    </a:ln>
                  </pic:spPr>
                </pic:pic>
              </a:graphicData>
            </a:graphic>
          </wp:inline>
        </w:drawing>
      </w:r>
    </w:p>
    <w:p>
      <w:pPr>
        <w:pStyle w:val="ImageCaption"/>
      </w:pPr>
      <w:r>
        <w:t xml:space="preserve">Distribución de P06 por nivel educativo</w:t>
      </w:r>
    </w:p>
    <w:p>
      <w:pPr>
        <w:pStyle w:val="BodyText"/>
      </w:pPr>
      <w:r>
        <w:rPr>
          <w:b/>
          <w:bCs/>
        </w:rPr>
        <w:t xml:space="preserve">Figura 4.</w:t>
      </w:r>
      <w:r>
        <w:t xml:space="preserve"> </w:t>
      </w:r>
      <w:r>
        <w:t xml:space="preserve">Distribución porcentual de P06 (¿conoces el significado de ahorro?) por nivel educativo. La asociación no alcanzó significancia (χ²(4) = 6,95, p = ,138), lo que sugiere que el conocimiento básico de ahorro está consolidado en ambos niveles.</w:t>
      </w:r>
    </w:p>
    <w:p>
      <w:r>
        <w:pict>
          <v:rect style="width:0;height:1.5pt" o:hralign="center" o:hrstd="t" o:hr="t"/>
        </w:pict>
      </w:r>
    </w:p>
    <w:bookmarkEnd w:id="36"/>
    <w:bookmarkEnd w:id="37"/>
    <w:bookmarkStart w:id="42" w:name="conclusiones-por-dimensión-ocdeinfe"/>
    <w:p>
      <w:pPr>
        <w:pStyle w:val="Heading2"/>
      </w:pPr>
      <w:r>
        <w:t xml:space="preserve">8. Conclusiones por dimensión OCDE/INFE</w:t>
      </w:r>
    </w:p>
    <w:p>
      <w:pPr>
        <w:pStyle w:val="FirstParagraph"/>
      </w:pPr>
      <w:r>
        <w:t xml:space="preserve">El marco de la OCDE/INFE Toolkit (2022) operacionaliza la educación financiera en tres dimensiones: conocimiento (dominio de conceptos financieros), comportamiento (prácticas observables de manejo del dinero) y actitud (disposición y valores hacia el aprendizaje financiero). A continuación se sintetizan los hallazgos del estudio para cada dimensión.</w:t>
      </w:r>
    </w:p>
    <w:bookmarkStart w:id="38" w:name="Xcd37b71ab12c2c03a2d92b7313e9a02d8d09d6d"/>
    <w:p>
      <w:pPr>
        <w:pStyle w:val="Heading3"/>
      </w:pPr>
      <w:r>
        <w:t xml:space="preserve">8.1 Conocimiento financiero (8 ítems Likert: p01, p02, p06, p10, p11, p12, p13, p14, p15, p16)</w:t>
      </w:r>
    </w:p>
    <w:p>
      <w:pPr>
        <w:pStyle w:val="FirstParagraph"/>
      </w:pPr>
      <w:r>
        <w:t xml:space="preserve">El puntaje compuesto de conocimiento (rango 1–5) evidenció una diferencia estadísticamente significativa entre niveles (Z = -4,54, p &lt; ,001), con bachillerato mostrando mayor dominio (M = 3,59) que secundaria (M = 3,26). Los ítems con mayor discriminación entre niveles fueron P10 (conoce qué es un crédito: χ² = 40,14, p &lt; ,001) y P02 (conoce el significado de educación financiera: χ² = 34,30, p &lt; ,001). En contraste, el conocimiento de ahorro (P06) y de presupuesto mostraron diferencias no significativas, sugiriendo que tales nociones elementales están adquiridas con independencia del nivel escolar.</w:t>
      </w:r>
    </w:p>
    <w:bookmarkEnd w:id="38"/>
    <w:bookmarkStart w:id="39" w:name="Xc13e029c89de87a9c618d9e66deadf95f17c4e4"/>
    <w:p>
      <w:pPr>
        <w:pStyle w:val="Heading3"/>
      </w:pPr>
      <w:r>
        <w:t xml:space="preserve">8.2 Actitud hacia la educación financiera (4 ítems Likert: p03, p04, p05, p08)</w:t>
      </w:r>
    </w:p>
    <w:p>
      <w:pPr>
        <w:pStyle w:val="FirstParagraph"/>
      </w:pPr>
      <w:r>
        <w:t xml:space="preserve">La dimensión actitudinal también presentó diferencias significativas a favor del bachillerato (Z = -2,89, p = ,004), aunque con magnitud de efecto menor (r = 0,11). Las variables P05 (información recibida) y P08 (responsabilidad en el ahorro) fueron los principales discriminadores. La favorable actitud hacia la educación financiera está presente en ambos niveles: el 100 % de la muestra, en proporciones similares, considera importante la educación financiera (P04, p = ,445), lo que revela una ventana de oportunidad para la implementación curricular.</w:t>
      </w:r>
    </w:p>
    <w:bookmarkEnd w:id="39"/>
    <w:bookmarkStart w:id="40" w:name="X4959db946ea49e1dd4fda267f3b360f5d76ec3c"/>
    <w:p>
      <w:pPr>
        <w:pStyle w:val="Heading3"/>
      </w:pPr>
      <w:r>
        <w:t xml:space="preserve">8.3 Comportamiento financiero (3 ítems dicotómicos: p07_rec, p17_rec, y un ítem adicional)</w:t>
      </w:r>
    </w:p>
    <w:p>
      <w:pPr>
        <w:pStyle w:val="FirstParagraph"/>
      </w:pPr>
      <w:r>
        <w:t xml:space="preserve">A diferencia de las dimensiones anteriores, los comportamientos financieros no difirieron entre niveles (Z = -0,48, p = ,632, r = 0,02). La media global de 0,65 (DE = 0,26) indica que aproximadamente dos tercios de las prácticas evaluadas son realizadas por los estudiantes, en proporciones equivalentes en ambos niveles. Este hallazgo sugiere que los hábitos financieros prácticos se adquieren predominantemente en el entorno familiar, con independencia de la escolaridad, lo cual es consistente con la literatura sobre socialización financiera temprana (OCDE/INFE, 2022).</w:t>
      </w:r>
    </w:p>
    <w:bookmarkEnd w:id="40"/>
    <w:bookmarkStart w:id="41" w:name="síntesis-de-la-hipótesis-de-trabajo"/>
    <w:p>
      <w:pPr>
        <w:pStyle w:val="Heading3"/>
      </w:pPr>
      <w:r>
        <w:t xml:space="preserve">8.4 Síntesis de la hipótesis de trabajo</w:t>
      </w:r>
    </w:p>
    <w:p>
      <w:pPr>
        <w:pStyle w:val="FirstParagraph"/>
      </w:pPr>
      <w:r>
        <w:t xml:space="preserve">La hipótesis de trabajo planteada en</w:t>
      </w:r>
      <w:r>
        <w:t xml:space="preserve"> </w:t>
      </w:r>
      <w:r>
        <w:rPr>
          <w:rStyle w:val="VerbatimChar"/>
        </w:rPr>
        <w:t xml:space="preserve">docs/metodologia.md</w:t>
      </w:r>
      <w:r>
        <w:t xml:space="preserve"> </w:t>
      </w:r>
      <w:r>
        <w:t xml:space="preserve">(sección 1) postulaba que existirían diferencias significativas en el nivel de educación financiera entre estudiantes de secundaria y bachillerato, esperable a favor del bachillerato. Los resultados de la prueba U de Mann-Whitney (§5) ofrecen</w:t>
      </w:r>
      <w:r>
        <w:t xml:space="preserve"> </w:t>
      </w:r>
      <w:r>
        <w:rPr>
          <w:b/>
          <w:bCs/>
        </w:rPr>
        <w:t xml:space="preserve">confirmación parcial</w:t>
      </w:r>
      <w:r>
        <w:t xml:space="preserve">:</w:t>
      </w:r>
    </w:p>
    <w:p>
      <w:pPr>
        <w:pStyle w:val="Compact"/>
        <w:numPr>
          <w:ilvl w:val="0"/>
          <w:numId w:val="1001"/>
        </w:numPr>
      </w:pPr>
      <w:r>
        <w:rPr>
          <w:b/>
          <w:bCs/>
        </w:rPr>
        <w:t xml:space="preserve">Conocimiento financiero</w:t>
      </w:r>
      <w:r>
        <w:t xml:space="preserve">: Z = -4,54, p &lt; ,001, con bachillerato mostrando mayor dominio (M = 3,59 vs. 3,26).</w:t>
      </w:r>
      <w:r>
        <w:t xml:space="preserve"> </w:t>
      </w:r>
      <w:r>
        <w:rPr>
          <w:b/>
          <w:bCs/>
        </w:rPr>
        <w:t xml:space="preserve">Confirma</w:t>
      </w:r>
      <w:r>
        <w:t xml:space="preserve"> </w:t>
      </w:r>
      <w:r>
        <w:t xml:space="preserve">H₁.</w:t>
      </w:r>
    </w:p>
    <w:p>
      <w:pPr>
        <w:pStyle w:val="Compact"/>
        <w:numPr>
          <w:ilvl w:val="0"/>
          <w:numId w:val="1001"/>
        </w:numPr>
      </w:pPr>
      <w:r>
        <w:rPr>
          <w:b/>
          <w:bCs/>
        </w:rPr>
        <w:t xml:space="preserve">Actitud hacia la EF</w:t>
      </w:r>
      <w:r>
        <w:t xml:space="preserve">: Z = -2,89, p = ,004, con bachillerato mostrando actitud más favorable (M = 3,46 vs. 3,25).</w:t>
      </w:r>
      <w:r>
        <w:t xml:space="preserve"> </w:t>
      </w:r>
      <w:r>
        <w:rPr>
          <w:b/>
          <w:bCs/>
        </w:rPr>
        <w:t xml:space="preserve">Confirma</w:t>
      </w:r>
      <w:r>
        <w:t xml:space="preserve"> </w:t>
      </w:r>
      <w:r>
        <w:t xml:space="preserve">H₁.</w:t>
      </w:r>
    </w:p>
    <w:p>
      <w:pPr>
        <w:pStyle w:val="Compact"/>
        <w:numPr>
          <w:ilvl w:val="0"/>
          <w:numId w:val="1001"/>
        </w:numPr>
      </w:pPr>
      <w:r>
        <w:rPr>
          <w:b/>
          <w:bCs/>
        </w:rPr>
        <w:t xml:space="preserve">Comportamiento financiero</w:t>
      </w:r>
      <w:r>
        <w:t xml:space="preserve">: Z = -0,48, p = ,632, sin diferencia (M = 0,64 vs. 0,66).</w:t>
      </w:r>
      <w:r>
        <w:t xml:space="preserve"> </w:t>
      </w:r>
      <w:r>
        <w:rPr>
          <w:b/>
          <w:bCs/>
        </w:rPr>
        <w:t xml:space="preserve">No confirma</w:t>
      </w:r>
      <w:r>
        <w:t xml:space="preserve"> </w:t>
      </w:r>
      <w:r>
        <w:t xml:space="preserve">H₁.</w:t>
      </w:r>
    </w:p>
    <w:p>
      <w:pPr>
        <w:pStyle w:val="FirstParagraph"/>
      </w:pPr>
      <w:r>
        <w:t xml:space="preserve">Esta confirmación parcial es coherente con la naturaleza multidimensional del constructo: los conocimientos y actitudes son susceptibles de instrucción escolar formal, mientras que los comportamientos prácticos tienden a adquirirse en el entorno familiar (OCDE/INFE, 2022). La hipótesis de trabajo se reformula, por tanto, como:</w:t>
      </w:r>
      <w:r>
        <w:t xml:space="preserve"> </w:t>
      </w:r>
      <w:r>
        <w:rPr>
          <w:i/>
          <w:iCs/>
        </w:rPr>
        <w:t xml:space="preserve">“existen diferencias significativas en las dimensiones de conocimiento y actitud hacia la educación financiera entre niveles educativos, pero no en la dimensión conductual”</w:t>
      </w:r>
      <w:r>
        <w:t xml:space="preserve">. Esta reformulación es consistente con el marco teórico de tres dimensiones de la OCDE/INFE y permite delimitar con precisión el alcance del efecto del nivel escolar sobre la educación financiera en adolescentes.</w:t>
      </w:r>
    </w:p>
    <w:p>
      <w:r>
        <w:pict>
          <v:rect style="width:0;height:1.5pt" o:hralign="center" o:hrstd="t" o:hr="t"/>
        </w:pict>
      </w:r>
    </w:p>
    <w:bookmarkEnd w:id="41"/>
    <w:bookmarkEnd w:id="42"/>
    <w:bookmarkStart w:id="43" w:name="X2903858fe52dca662ed7472ba106d1de2c08891"/>
    <w:p>
      <w:pPr>
        <w:pStyle w:val="Heading2"/>
      </w:pPr>
      <w:r>
        <w:t xml:space="preserve">9. Implicaciones para el diseño de cursos de educación financiera</w:t>
      </w:r>
    </w:p>
    <w:p>
      <w:pPr>
        <w:pStyle w:val="FirstParagraph"/>
      </w:pPr>
      <w:r>
        <w:t xml:space="preserve">Los resultados del estudio sustentan las siguientes recomendaciones para el diseño instruccional de programas de educación financiera dirigidos a adolescentes de Autlán de Navarro:</w:t>
      </w:r>
    </w:p>
    <w:p>
      <w:pPr>
        <w:numPr>
          <w:ilvl w:val="0"/>
          <w:numId w:val="1002"/>
        </w:numPr>
      </w:pPr>
      <w:r>
        <w:rPr>
          <w:b/>
          <w:bCs/>
        </w:rPr>
        <w:t xml:space="preserve">Diferenciación por nivel educativo</w:t>
      </w:r>
      <w:r>
        <w:t xml:space="preserve">: el currículo debe ajustarse al nivel de conocimiento previo. En</w:t>
      </w:r>
      <w:r>
        <w:t xml:space="preserve"> </w:t>
      </w:r>
      <w:r>
        <w:rPr>
          <w:b/>
          <w:bCs/>
        </w:rPr>
        <w:t xml:space="preserve">secundaria</w:t>
      </w:r>
      <w:r>
        <w:t xml:space="preserve">, priorizar la introducción a conceptos fundamentales (crédito, presupuesto, tasa de interés), que mostraron las brechas más amplias. En</w:t>
      </w:r>
      <w:r>
        <w:t xml:space="preserve"> </w:t>
      </w:r>
      <w:r>
        <w:rPr>
          <w:b/>
          <w:bCs/>
        </w:rPr>
        <w:t xml:space="preserve">bachillerato</w:t>
      </w:r>
      <w:r>
        <w:t xml:space="preserve">, profundizar en productos financieros complejos (inversión, inflación, devaluación, diferenciación tarjeta de crédito/débito), aprovechando el mayor conocimiento base.</w:t>
      </w:r>
    </w:p>
    <w:p>
      <w:pPr>
        <w:numPr>
          <w:ilvl w:val="0"/>
          <w:numId w:val="1002"/>
        </w:numPr>
      </w:pPr>
      <w:r>
        <w:rPr>
          <w:b/>
          <w:bCs/>
        </w:rPr>
        <w:t xml:space="preserve">Formato pedagógico</w:t>
      </w:r>
      <w:r>
        <w:t xml:space="preserve">: el 45,1 % de los estudiantes prefiere</w:t>
      </w:r>
      <w:r>
        <w:t xml:space="preserve"> </w:t>
      </w:r>
      <w:r>
        <w:t xml:space="preserve">“explicaciones claras”</w:t>
      </w:r>
      <w:r>
        <w:t xml:space="preserve"> </w:t>
      </w:r>
      <w:r>
        <w:t xml:space="preserve">— un hallazgo estable en ambos niveles pero con énfasis diferenciado. En secundaria, las preferencias se concentran en formatos prácticos y aplicados; en bachillerato, la demanda de interacción con expertos y métodos activos es mayor. Se recomienda un modelo mixto: exposición teórica estructurada complementada con actividades prácticas, casos contextualizados y simulación con expertos.</w:t>
      </w:r>
    </w:p>
    <w:p>
      <w:pPr>
        <w:numPr>
          <w:ilvl w:val="0"/>
          <w:numId w:val="1002"/>
        </w:numPr>
      </w:pPr>
      <w:r>
        <w:rPr>
          <w:b/>
          <w:bCs/>
        </w:rPr>
        <w:t xml:space="preserve">Aprovechamiento de la actitud favorable</w:t>
      </w:r>
      <w:r>
        <w:t xml:space="preserve">: dado que la importancia atribuida a la educación financiera es transversal (P04 sin diferencias por nivel), existe un clima propicio para la implementación. Los cursos pueden legitimarse apelando a la demanda explícita de los estudiantes.</w:t>
      </w:r>
    </w:p>
    <w:p>
      <w:pPr>
        <w:numPr>
          <w:ilvl w:val="0"/>
          <w:numId w:val="1002"/>
        </w:numPr>
      </w:pPr>
      <w:r>
        <w:rPr>
          <w:b/>
          <w:bCs/>
        </w:rPr>
        <w:t xml:space="preserve">Trabajo con familias</w:t>
      </w:r>
      <w:r>
        <w:t xml:space="preserve">: la dimensión conductual, independiente del nivel escolar, sugiere que los esfuerzos por fortalecer prácticas de ahorro, registro de gastos y autonomía financiera deben extenderse al entorno familiar. Se recomiendan talleres para padres y materiales de extensión domiciliaria.</w:t>
      </w:r>
    </w:p>
    <w:p>
      <w:pPr>
        <w:numPr>
          <w:ilvl w:val="0"/>
          <w:numId w:val="1002"/>
        </w:numPr>
      </w:pPr>
      <w:r>
        <w:rPr>
          <w:b/>
          <w:bCs/>
        </w:rPr>
        <w:t xml:space="preserve">Diseño instruccional basado en evidencia</w:t>
      </w:r>
      <w:r>
        <w:t xml:space="preserve">: el α de Cronbach de 0,747 en la subescala actitudinal, aunque aceptable, invita a fortalecerla con ítems adicionales en futuras aplicaciones del instrumento. Se recomienda una validación posterior con análisis factorial confirmatorio.</w:t>
      </w:r>
    </w:p>
    <w:p>
      <w:r>
        <w:pict>
          <v:rect style="width:0;height:1.5pt" o:hralign="center" o:hrstd="t" o:hr="t"/>
        </w:pict>
      </w:r>
    </w:p>
    <w:bookmarkEnd w:id="43"/>
    <w:bookmarkStart w:id="44" w:name="limitaciones"/>
    <w:p>
      <w:pPr>
        <w:pStyle w:val="Heading2"/>
      </w:pPr>
      <w:r>
        <w:t xml:space="preserve">10. Limitaciones</w:t>
      </w:r>
    </w:p>
    <w:p>
      <w:pPr>
        <w:numPr>
          <w:ilvl w:val="0"/>
          <w:numId w:val="1003"/>
        </w:numPr>
      </w:pPr>
      <w:r>
        <w:rPr>
          <w:b/>
          <w:bCs/>
        </w:rPr>
        <w:t xml:space="preserve">Diseño transversal</w:t>
      </w:r>
      <w:r>
        <w:t xml:space="preserve">: el estudio captura un único momento en el tiempo (corte 2026) y no permite inferir relaciones causales ni trayectorias de aprendizaje financiero.</w:t>
      </w:r>
    </w:p>
    <w:p>
      <w:pPr>
        <w:numPr>
          <w:ilvl w:val="0"/>
          <w:numId w:val="1003"/>
        </w:numPr>
      </w:pPr>
      <w:r>
        <w:rPr>
          <w:b/>
          <w:bCs/>
        </w:rPr>
        <w:t xml:space="preserve">Auto-reporte</w:t>
      </w:r>
      <w:r>
        <w:t xml:space="preserve">: todos los indicadores provienen de auto-reporte de los estudiantes, lo que introduce sesgo de deseabilidad social, especialmente en preguntas actitudinales (P04, P08, P09) y conductuales (P07, P17). El ítem P09 (opinión sobre crédito) es particularmente susceptible a este sesgo, lo que motivó su exclusión de las subescalas.</w:t>
      </w:r>
    </w:p>
    <w:p>
      <w:pPr>
        <w:numPr>
          <w:ilvl w:val="0"/>
          <w:numId w:val="1003"/>
        </w:numPr>
      </w:pPr>
      <w:r>
        <w:rPr>
          <w:b/>
          <w:bCs/>
        </w:rPr>
        <w:t xml:space="preserve">Muestreo por conveniencia</w:t>
      </w:r>
      <w:r>
        <w:t xml:space="preserve">: aunque la muestra es amplia (N = 656) y representativa de los niveles secundaria y bachillerato, no se realizó un muestreo probabilístico estratificado formal (ver</w:t>
      </w:r>
      <w:r>
        <w:t xml:space="preserve"> </w:t>
      </w:r>
      <w:r>
        <w:rPr>
          <w:rStyle w:val="VerbatimChar"/>
        </w:rPr>
        <w:t xml:space="preserve">docs/metodologia.md</w:t>
      </w:r>
      <w:r>
        <w:t xml:space="preserve">, sección 3.2), lo que limita la generalización a otros municipios de Jalisco.</w:t>
      </w:r>
    </w:p>
    <w:p>
      <w:pPr>
        <w:numPr>
          <w:ilvl w:val="0"/>
          <w:numId w:val="1003"/>
        </w:numPr>
      </w:pPr>
      <w:r>
        <w:rPr>
          <w:b/>
          <w:bCs/>
        </w:rPr>
        <w:t xml:space="preserve">Pérdidas en Friedman</w:t>
      </w:r>
      <w:r>
        <w:t xml:space="preserve">: el test de Friedman utiliza análisis por pares, excluyendo casos con al menos un valor perdido en los 14 ítems Likert. Esto redujo la N analizable de 319/337 a 317/335 (2 y 2 casos perdidos, respectivamente). El impacto es despreciable, pero conviene documentarlo.</w:t>
      </w:r>
    </w:p>
    <w:p>
      <w:pPr>
        <w:numPr>
          <w:ilvl w:val="0"/>
          <w:numId w:val="1003"/>
        </w:numPr>
      </w:pPr>
      <w:r>
        <w:rPr>
          <w:b/>
          <w:bCs/>
        </w:rPr>
        <w:t xml:space="preserve">Categorización de P18</w:t>
      </w:r>
      <w:r>
        <w:t xml:space="preserve">: la pregunta abierta fue categorizada mediante reglas deterministas (ver</w:t>
      </w:r>
      <w:r>
        <w:t xml:space="preserve"> </w:t>
      </w:r>
      <w:r>
        <w:rPr>
          <w:rStyle w:val="VerbatimChar"/>
        </w:rPr>
        <w:t xml:space="preserve">src/normalizar.py</w:t>
      </w:r>
      <w:r>
        <w:t xml:space="preserve">). Categorías como</w:t>
      </w:r>
      <w:r>
        <w:t xml:space="preserve"> </w:t>
      </w:r>
      <w:r>
        <w:t xml:space="preserve">“Otro”</w:t>
      </w:r>
      <w:r>
        <w:t xml:space="preserve"> </w:t>
      </w:r>
      <w:r>
        <w:t xml:space="preserve">(7,2 %) podrían contener matices no capturados por la clasificación.</w:t>
      </w:r>
    </w:p>
    <w:p>
      <w:pPr>
        <w:numPr>
          <w:ilvl w:val="0"/>
          <w:numId w:val="1003"/>
        </w:numPr>
      </w:pPr>
      <w:r>
        <w:rPr>
          <w:b/>
          <w:bCs/>
        </w:rPr>
        <w:t xml:space="preserve">Pruebas chi-cuadrado con casillas pequeñas</w:t>
      </w:r>
      <w:r>
        <w:t xml:space="preserve">: en variables con cinco categorías ordinales y dos niveles (por ejemplo, p01, p02, p05), algunas casillas esperadas pueden acercarse a 5, umbral recomendado para validez de la aproximación chi-cuadrado. No se observaron casillas con frecuencia esperada &lt; 5 en este estudio, pero se recomienda cautela en la generalización.</w:t>
      </w:r>
    </w:p>
    <w:p>
      <w:pPr>
        <w:numPr>
          <w:ilvl w:val="0"/>
          <w:numId w:val="1003"/>
        </w:numPr>
      </w:pPr>
      <w:r>
        <w:rPr>
          <w:b/>
          <w:bCs/>
        </w:rPr>
        <w:t xml:space="preserve">Sustitución de W de Kendall por Friedman</w:t>
      </w:r>
      <w:r>
        <w:t xml:space="preserve">: la metodología original propuso el Coeficiente W de Kendall. Su sustitución por Friedman se justificó por la naturaleza del diseño (un respondedor por estudiante), pero implica que el constructo de</w:t>
      </w:r>
      <w:r>
        <w:t xml:space="preserve"> </w:t>
      </w:r>
      <w:r>
        <w:t xml:space="preserve">“concordancia entre evaluadores”</w:t>
      </w:r>
      <w:r>
        <w:t xml:space="preserve"> </w:t>
      </w:r>
      <w:r>
        <w:t xml:space="preserve">se reconceptualiza como</w:t>
      </w:r>
      <w:r>
        <w:t xml:space="preserve"> </w:t>
      </w:r>
      <w:r>
        <w:t xml:space="preserve">“homogeneidad de distribuciones de rangos dentro de cada respondedor”</w:t>
      </w:r>
      <w:r>
        <w:t xml:space="preserve">, lo cual es una lectura más limitada.</w:t>
      </w:r>
    </w:p>
    <w:p>
      <w:pPr>
        <w:numPr>
          <w:ilvl w:val="0"/>
          <w:numId w:val="1003"/>
        </w:numPr>
      </w:pPr>
      <w:r>
        <w:rPr>
          <w:b/>
          <w:bCs/>
        </w:rPr>
        <w:t xml:space="preserve">Comportamiento medido por tres ítems dicotómicos</w:t>
      </w:r>
      <w:r>
        <w:t xml:space="preserve">: la escala de comportamiento (0–1) tiene un techo bajo y un poder discriminativo limitado. Su falta de asociación con el nivel educativo puede reflejar esta limitación psicométrica más que una verdadera ausencia de diferencias.</w:t>
      </w:r>
    </w:p>
    <w:p>
      <w:r>
        <w:pict>
          <v:rect style="width:0;height:1.5pt" o:hralign="center" o:hrstd="t" o:hr="t"/>
        </w:pict>
      </w:r>
    </w:p>
    <w:bookmarkEnd w:id="44"/>
    <w:bookmarkStart w:id="45" w:name="referencias"/>
    <w:p>
      <w:pPr>
        <w:pStyle w:val="Heading2"/>
      </w:pPr>
      <w:r>
        <w:t xml:space="preserve">11. Referencias</w:t>
      </w:r>
    </w:p>
    <w:p>
      <w:pPr>
        <w:pStyle w:val="FirstParagraph"/>
      </w:pPr>
      <w:r>
        <w:t xml:space="preserve">Cohen, J. (1988).</w:t>
      </w:r>
      <w:r>
        <w:t xml:space="preserve"> </w:t>
      </w:r>
      <w:r>
        <w:rPr>
          <w:i/>
          <w:iCs/>
        </w:rPr>
        <w:t xml:space="preserve">Statistical power analysis for the behavioral sciences</w:t>
      </w:r>
      <w:r>
        <w:t xml:space="preserve"> </w:t>
      </w:r>
      <w:r>
        <w:t xml:space="preserve">(2nd ed.). Lawrence Erlbaum Associates.</w:t>
      </w:r>
    </w:p>
    <w:p>
      <w:pPr>
        <w:pStyle w:val="BodyText"/>
      </w:pPr>
      <w:r>
        <w:t xml:space="preserve">Hernández-Sampieri, R., &amp; Mendoza, C. P. (2018).</w:t>
      </w:r>
      <w:r>
        <w:t xml:space="preserve"> </w:t>
      </w:r>
      <w:r>
        <w:rPr>
          <w:i/>
          <w:iCs/>
        </w:rPr>
        <w:t xml:space="preserve">Metodología de la investigación: las rutas cuantitativa, cualitativa y mixta</w:t>
      </w:r>
      <w:r>
        <w:t xml:space="preserve">. McGraw-Hill.</w:t>
      </w:r>
    </w:p>
    <w:p>
      <w:pPr>
        <w:pStyle w:val="BodyText"/>
      </w:pPr>
      <w:r>
        <w:t xml:space="preserve">Nunnally, J. C. (1978).</w:t>
      </w:r>
      <w:r>
        <w:t xml:space="preserve"> </w:t>
      </w:r>
      <w:r>
        <w:rPr>
          <w:i/>
          <w:iCs/>
        </w:rPr>
        <w:t xml:space="preserve">Psychometric theory</w:t>
      </w:r>
      <w:r>
        <w:t xml:space="preserve"> </w:t>
      </w:r>
      <w:r>
        <w:t xml:space="preserve">(2nd ed.). McGraw-Hill.</w:t>
      </w:r>
    </w:p>
    <w:p>
      <w:pPr>
        <w:pStyle w:val="BodyText"/>
      </w:pPr>
      <w:r>
        <w:t xml:space="preserve">OCDE/INFE. (2022).</w:t>
      </w:r>
      <w:r>
        <w:t xml:space="preserve"> </w:t>
      </w:r>
      <w:r>
        <w:rPr>
          <w:i/>
          <w:iCs/>
        </w:rPr>
        <w:t xml:space="preserve">OECD/INFE Toolkit for Measuring Financial Literacy and Financial Inclusion 2022</w:t>
      </w:r>
      <w:r>
        <w:t xml:space="preserve">. Organisation for Economic Co-operation and Development. https://www.oecd.org/financial/education/measuring-financial-literacy-and-financial-inclusion-2022.htm</w:t>
      </w:r>
    </w:p>
    <w:p>
      <w:pPr>
        <w:pStyle w:val="BodyText"/>
      </w:pPr>
      <w:r>
        <w:t xml:space="preserve">Siegel, S., &amp; Castellan, N. J. (1988).</w:t>
      </w:r>
      <w:r>
        <w:t xml:space="preserve"> </w:t>
      </w:r>
      <w:r>
        <w:rPr>
          <w:i/>
          <w:iCs/>
        </w:rPr>
        <w:t xml:space="preserve">Nonparametric statistics for the behavioral sciences</w:t>
      </w:r>
      <w:r>
        <w:t xml:space="preserve"> </w:t>
      </w:r>
      <w:r>
        <w:t xml:space="preserve">(2nd ed.). McGraw-Hill.</w:t>
      </w:r>
    </w:p>
    <w:p>
      <w:pPr>
        <w:pStyle w:val="BodyText"/>
      </w:pPr>
      <w:r>
        <w:t xml:space="preserve">Tavakol, M., &amp; Dennick, R. (2011). Making sense of Cronbach’s alpha.</w:t>
      </w:r>
      <w:r>
        <w:t xml:space="preserve"> </w:t>
      </w:r>
      <w:r>
        <w:rPr>
          <w:i/>
          <w:iCs/>
        </w:rPr>
        <w:t xml:space="preserve">International Journal of Medical Education, 2</w:t>
      </w:r>
      <w:r>
        <w:t xml:space="preserve">, 53–55. https://doi.org/10.5116/ijme.4dfb.8dfd</w:t>
      </w:r>
    </w:p>
    <w:p>
      <w:r>
        <w:pict>
          <v:rect style="width:0;height:1.5pt" o:hralign="center" o:hrstd="t" o:hr="t"/>
        </w:pict>
      </w:r>
    </w:p>
    <w:p>
      <w:pPr>
        <w:pStyle w:val="FirstParagraph"/>
      </w:pPr>
      <w:r>
        <w:rPr>
          <w:b/>
          <w:bCs/>
        </w:rPr>
        <w:t xml:space="preserve">Archivos de soporte</w:t>
      </w:r>
      <w:r>
        <w:t xml:space="preserve">:</w:t>
      </w:r>
    </w:p>
    <w:p>
      <w:pPr>
        <w:pStyle w:val="Compact"/>
        <w:numPr>
          <w:ilvl w:val="0"/>
          <w:numId w:val="1004"/>
        </w:numPr>
      </w:pPr>
      <w:r>
        <w:t xml:space="preserve">Sintaxis SPSS:</w:t>
      </w:r>
      <w:r>
        <w:t xml:space="preserve"> </w:t>
      </w:r>
      <w:r>
        <w:rPr>
          <w:rStyle w:val="VerbatimChar"/>
        </w:rPr>
        <w:t xml:space="preserve">spss/analisis.sps</w:t>
      </w:r>
      <w:r>
        <w:t xml:space="preserve"> </w:t>
      </w:r>
      <w:r>
        <w:t xml:space="preserve">(v2.6)</w:t>
      </w:r>
    </w:p>
    <w:p>
      <w:pPr>
        <w:pStyle w:val="Compact"/>
        <w:numPr>
          <w:ilvl w:val="0"/>
          <w:numId w:val="1004"/>
        </w:numPr>
      </w:pPr>
      <w:r>
        <w:t xml:space="preserve">Datos analizados:</w:t>
      </w:r>
      <w:r>
        <w:t xml:space="preserve"> </w:t>
      </w:r>
      <w:r>
        <w:rPr>
          <w:rStyle w:val="VerbatimChar"/>
        </w:rPr>
        <w:t xml:space="preserve">data/processed/data_analisis.csv</w:t>
      </w:r>
    </w:p>
    <w:p>
      <w:pPr>
        <w:pStyle w:val="Compact"/>
        <w:numPr>
          <w:ilvl w:val="0"/>
          <w:numId w:val="1004"/>
        </w:numPr>
      </w:pPr>
      <w:r>
        <w:t xml:space="preserve">Visor exportado:</w:t>
      </w:r>
      <w:r>
        <w:t xml:space="preserve"> </w:t>
      </w:r>
      <w:r>
        <w:rPr>
          <w:rStyle w:val="VerbatimChar"/>
        </w:rPr>
        <w:t xml:space="preserve">results/tablas_analisis.txt</w:t>
      </w:r>
    </w:p>
    <w:p>
      <w:pPr>
        <w:pStyle w:val="Compact"/>
        <w:numPr>
          <w:ilvl w:val="0"/>
          <w:numId w:val="1004"/>
        </w:numPr>
      </w:pPr>
      <w:r>
        <w:t xml:space="preserve">Tablas pivote:</w:t>
      </w:r>
      <w:r>
        <w:t xml:space="preserve"> </w:t>
      </w:r>
      <w:r>
        <w:rPr>
          <w:rStyle w:val="VerbatimChar"/>
        </w:rPr>
        <w:t xml:space="preserve">results/tablas_analisis.xlsx</w:t>
      </w:r>
    </w:p>
    <w:p>
      <w:pPr>
        <w:pStyle w:val="Compact"/>
        <w:numPr>
          <w:ilvl w:val="0"/>
          <w:numId w:val="1004"/>
        </w:numPr>
      </w:pPr>
      <w:r>
        <w:t xml:space="preserve">Gráficos:</w:t>
      </w:r>
      <w:r>
        <w:t xml:space="preserve"> </w:t>
      </w:r>
      <w:r>
        <w:rPr>
          <w:rStyle w:val="VerbatimChar"/>
        </w:rPr>
        <w:t xml:space="preserve">results/tablas_analisis.png</w:t>
      </w:r>
      <w:r>
        <w:t xml:space="preserve">,</w:t>
      </w:r>
      <w:r>
        <w:t xml:space="preserve"> </w:t>
      </w:r>
      <w:r>
        <w:rPr>
          <w:rStyle w:val="VerbatimChar"/>
        </w:rPr>
        <w:t xml:space="preserve">tablas_analisis1.png</w:t>
      </w:r>
      <w:r>
        <w:t xml:space="preserve">,</w:t>
      </w:r>
      <w:r>
        <w:t xml:space="preserve"> </w:t>
      </w:r>
      <w:r>
        <w:rPr>
          <w:rStyle w:val="VerbatimChar"/>
        </w:rPr>
        <w:t xml:space="preserve">tablas_analisis2.png</w:t>
      </w:r>
      <w:r>
        <w:t xml:space="preserve">,</w:t>
      </w:r>
      <w:r>
        <w:t xml:space="preserve"> </w:t>
      </w:r>
      <w:r>
        <w:rPr>
          <w:rStyle w:val="VerbatimChar"/>
        </w:rPr>
        <w:t xml:space="preserve">tablas_analisis3.png</w:t>
      </w:r>
    </w:p>
    <w:p>
      <w:pPr>
        <w:pStyle w:val="Compact"/>
        <w:numPr>
          <w:ilvl w:val="0"/>
          <w:numId w:val="1004"/>
        </w:numPr>
      </w:pPr>
      <w:r>
        <w:t xml:space="preserve">Diccionario de datos:</w:t>
      </w:r>
      <w:r>
        <w:t xml:space="preserve"> </w:t>
      </w:r>
      <w:r>
        <w:rPr>
          <w:rStyle w:val="VerbatimChar"/>
        </w:rPr>
        <w:t xml:space="preserve">docs/data_dictionary.md</w:t>
      </w:r>
    </w:p>
    <w:p>
      <w:pPr>
        <w:pStyle w:val="Compact"/>
        <w:numPr>
          <w:ilvl w:val="0"/>
          <w:numId w:val="1004"/>
        </w:numPr>
      </w:pPr>
      <w:r>
        <w:t xml:space="preserve">Metodología:</w:t>
      </w:r>
      <w:r>
        <w:t xml:space="preserve"> </w:t>
      </w:r>
      <w:r>
        <w:rPr>
          <w:rStyle w:val="VerbatimChar"/>
        </w:rPr>
        <w:t xml:space="preserve">docs/metodologia.md</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OC1">
    <w:name w:val="toc 1"/>
    <w:basedOn w:val="Normal"/>
    <w:next w:val="Normal"/>
    <w:uiPriority w:val="39"/>
    <w:pPr>
      <w:spacing w:after="100"/>
      <w:ind w:left="0"/>
    </w:pPr>
    <w:rPr>
      <w:rFonts w:ascii="Calibri" w:hAnsi="Calibri"/>
      <w:sz w:val="22"/>
    </w:rPr>
  </w:style>
  <w:style w:type="paragraph" w:styleId="TOC2">
    <w:name w:val="toc 2"/>
    <w:basedOn w:val="Normal"/>
    <w:next w:val="Normal"/>
    <w:uiPriority w:val="39"/>
    <w:pPr>
      <w:spacing w:after="100"/>
      <w:ind w:left="220"/>
    </w:pPr>
    <w:rPr>
      <w:rFonts w:ascii="Calibri" w:hAnsi="Calibri"/>
      <w:sz w:val="22"/>
    </w:rPr>
  </w:style>
  <w:style w:type="paragraph" w:styleId="TOC3">
    <w:name w:val="toc 3"/>
    <w:basedOn w:val="Normal"/>
    <w:next w:val="Normal"/>
    <w:uiPriority w:val="39"/>
    <w:pPr>
      <w:spacing w:after="100"/>
      <w:ind w:left="440"/>
    </w:pPr>
    <w:rPr>
      <w:rFonts w:ascii="Calibri" w:hAnsi="Calibri"/>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2026-06-06T23:18:07Z</dcterms:created>
  <dcterms:modified xsi:type="dcterms:W3CDTF">2026-06-06T23:18:07Z</dcterms:modified>
</cp:coreProperties>
</file>

<file path=docProps/custom.xml><?xml version="1.0" encoding="utf-8"?>
<Properties xmlns="http://schemas.openxmlformats.org/officeDocument/2006/custom-properties" xmlns:vt="http://schemas.openxmlformats.org/officeDocument/2006/docPropsVTypes"/>
</file>