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Tabla de contenido</w:t>
      </w:r>
    </w:p>
    <w:p>
      <w:pPr>
        <w:pStyle w:val="TOC2"/>
        <w:ind w:left="0"/>
      </w:pPr>
      <w:hyperlink w:anchor="planteamiento-del-problema" w:history="1">
        <w:r>
          <w:rPr>
            <w:rStyle w:val="Hyperlink"/>
          </w:rPr>
          <w:t xml:space="preserve">1. Planteamiento del problema</w:t>
        </w:r>
      </w:hyperlink>
    </w:p>
    <w:p>
      <w:pPr>
        <w:pStyle w:val="TOC2"/>
        <w:ind w:left="0"/>
      </w:pPr>
      <w:hyperlink w:anchor="diseño-de-investigación" w:history="1">
        <w:r>
          <w:rPr>
            <w:rStyle w:val="Hyperlink"/>
          </w:rPr>
          <w:t xml:space="preserve">2. Diseño de investigación</w:t>
        </w:r>
      </w:hyperlink>
    </w:p>
    <w:p>
      <w:pPr>
        <w:pStyle w:val="TOC2"/>
        <w:ind w:left="0"/>
      </w:pPr>
      <w:hyperlink w:anchor="población-y-muestra" w:history="1">
        <w:r>
          <w:rPr>
            <w:rStyle w:val="Hyperlink"/>
          </w:rPr>
          <w:t xml:space="preserve">3. Población y muestra</w:t>
        </w:r>
      </w:hyperlink>
    </w:p>
    <w:p>
      <w:pPr>
        <w:pStyle w:val="TOC3"/>
        <w:ind w:left="360"/>
      </w:pPr>
      <w:hyperlink w:anchor="población" w:history="1">
        <w:r>
          <w:rPr>
            <w:rStyle w:val="Hyperlink"/>
          </w:rPr>
          <w:t xml:space="preserve">3.1 Población</w:t>
        </w:r>
      </w:hyperlink>
    </w:p>
    <w:p>
      <w:pPr>
        <w:pStyle w:val="TOC3"/>
        <w:ind w:left="360"/>
      </w:pPr>
      <w:hyperlink w:anchor="tamaño-de-muestra-teórico" w:history="1">
        <w:r>
          <w:rPr>
            <w:rStyle w:val="Hyperlink"/>
          </w:rPr>
          <w:t xml:space="preserve">3.2 Tamaño de muestra teórico</w:t>
        </w:r>
      </w:hyperlink>
    </w:p>
    <w:p>
      <w:pPr>
        <w:pStyle w:val="TOC3"/>
        <w:ind w:left="360"/>
      </w:pPr>
      <w:hyperlink w:anchor="muestra-real-obtenida" w:history="1">
        <w:r>
          <w:rPr>
            <w:rStyle w:val="Hyperlink"/>
          </w:rPr>
          <w:t xml:space="preserve">3.3 Muestra real obtenida</w:t>
        </w:r>
      </w:hyperlink>
    </w:p>
    <w:p>
      <w:pPr>
        <w:pStyle w:val="TOC2"/>
        <w:ind w:left="0"/>
      </w:pPr>
      <w:hyperlink w:anchor="instrumento" w:history="1">
        <w:r>
          <w:rPr>
            <w:rStyle w:val="Hyperlink"/>
          </w:rPr>
          <w:t xml:space="preserve">4. Instrumento</w:t>
        </w:r>
      </w:hyperlink>
    </w:p>
    <w:p>
      <w:pPr>
        <w:pStyle w:val="TOC3"/>
        <w:ind w:left="360"/>
      </w:pPr>
      <w:hyperlink w:anchor="tabla-de-preguntas-por-dimensión" w:history="1">
        <w:r>
          <w:rPr>
            <w:rStyle w:val="Hyperlink"/>
          </w:rPr>
          <w:t xml:space="preserve">4.1 Tabla de preguntas por dimensión</w:t>
        </w:r>
      </w:hyperlink>
    </w:p>
    <w:p>
      <w:pPr>
        <w:pStyle w:val="TOC2"/>
        <w:ind w:left="0"/>
      </w:pPr>
      <w:hyperlink w:anchor="variables-y-operacionalización" w:history="1">
        <w:r>
          <w:rPr>
            <w:rStyle w:val="Hyperlink"/>
          </w:rPr>
          <w:t xml:space="preserve">5. Variables y operacionalización</w:t>
        </w:r>
      </w:hyperlink>
    </w:p>
    <w:p>
      <w:pPr>
        <w:pStyle w:val="TOC3"/>
        <w:ind w:left="360"/>
      </w:pPr>
      <w:hyperlink w:anchor="variable-independiente" w:history="1">
        <w:r>
          <w:rPr>
            <w:rStyle w:val="Hyperlink"/>
          </w:rPr>
          <w:t xml:space="preserve">5.1 Variable independiente</w:t>
        </w:r>
      </w:hyperlink>
    </w:p>
    <w:p>
      <w:pPr>
        <w:pStyle w:val="TOC3"/>
        <w:ind w:left="360"/>
      </w:pPr>
      <w:hyperlink w:anchor="Xc839faf5530e037bc6eab9deaab3c91dc095e97" w:history="1">
        <w:r>
          <w:rPr>
            <w:rStyle w:val="Hyperlink"/>
          </w:rPr>
          <w:t xml:space="preserve">5.2 Variables dependientes (puntajes compuestos)</w:t>
        </w:r>
      </w:hyperlink>
    </w:p>
    <w:p>
      <w:pPr>
        <w:pStyle w:val="TOC3"/>
        <w:ind w:left="360"/>
      </w:pPr>
      <w:hyperlink w:anchor="variables-de-control" w:history="1">
        <w:r>
          <w:rPr>
            <w:rStyle w:val="Hyperlink"/>
          </w:rPr>
          <w:t xml:space="preserve">5.3 Variables de control</w:t>
        </w:r>
      </w:hyperlink>
    </w:p>
    <w:p>
      <w:pPr>
        <w:pStyle w:val="TOC3"/>
        <w:ind w:left="360"/>
      </w:pPr>
      <w:hyperlink w:anchor="variable-cualitativa" w:history="1">
        <w:r>
          <w:rPr>
            <w:rStyle w:val="Hyperlink"/>
          </w:rPr>
          <w:t xml:space="preserve">5.4 Variable cualitativa</w:t>
        </w:r>
      </w:hyperlink>
    </w:p>
    <w:p>
      <w:pPr>
        <w:pStyle w:val="TOC3"/>
        <w:ind w:left="360"/>
      </w:pPr>
      <w:hyperlink w:anchor="X0391d4bf9fd81b68576d76944b00060ec2d17a0" w:history="1">
        <w:r>
          <w:rPr>
            <w:rStyle w:val="Hyperlink"/>
          </w:rPr>
          <w:t xml:space="preserve">5.5 Ítems standalone (no se integran a puntajes compuestos)</w:t>
        </w:r>
      </w:hyperlink>
    </w:p>
    <w:p>
      <w:pPr>
        <w:pStyle w:val="TOC2"/>
        <w:ind w:left="0"/>
      </w:pPr>
      <w:hyperlink w:anchor="X82c40de9e89fbc8b858a419f34f08dc2754549b" w:history="1">
        <w:r>
          <w:rPr>
            <w:rStyle w:val="Hyperlink"/>
          </w:rPr>
          <w:t xml:space="preserve">6. Procedimiento de limpieza y preprocesamiento</w:t>
        </w:r>
      </w:hyperlink>
    </w:p>
    <w:p>
      <w:pPr>
        <w:pStyle w:val="TOC2"/>
        <w:ind w:left="0"/>
      </w:pPr>
      <w:hyperlink w:anchor="análisis-estadístico" w:history="1">
        <w:r>
          <w:rPr>
            <w:rStyle w:val="Hyperlink"/>
          </w:rPr>
          <w:t xml:space="preserve">7. Análisis estadístico</w:t>
        </w:r>
      </w:hyperlink>
    </w:p>
    <w:p>
      <w:pPr>
        <w:pStyle w:val="TOC3"/>
        <w:ind w:left="360"/>
      </w:pPr>
      <w:hyperlink w:anchor="estadística-descriptiva" w:history="1">
        <w:r>
          <w:rPr>
            <w:rStyle w:val="Hyperlink"/>
          </w:rPr>
          <w:t xml:space="preserve">7.1 Estadística descriptiva</w:t>
        </w:r>
      </w:hyperlink>
    </w:p>
    <w:p>
      <w:pPr>
        <w:pStyle w:val="TOC3"/>
        <w:ind w:left="360"/>
      </w:pPr>
      <w:hyperlink w:anchor="consistencia-interna-alfa-de-cronbach" w:history="1">
        <w:r>
          <w:rPr>
            <w:rStyle w:val="Hyperlink"/>
          </w:rPr>
          <w:t xml:space="preserve">7.2 Consistencia interna — Alfa de Cronbach</w:t>
        </w:r>
      </w:hyperlink>
    </w:p>
    <w:p>
      <w:pPr>
        <w:pStyle w:val="TOC3"/>
        <w:ind w:left="360"/>
      </w:pPr>
      <w:hyperlink w:anchor="Xe6bbaa156d1a4c9e7b492f64c6dceeeeead2150" w:history="1">
        <w:r>
          <w:rPr>
            <w:rStyle w:val="Hyperlink"/>
          </w:rPr>
          <w:t xml:space="preserve">7.3 Concordancia de patrones — Test de Friedman</w:t>
        </w:r>
      </w:hyperlink>
    </w:p>
    <w:p>
      <w:pPr>
        <w:pStyle w:val="TOC3"/>
        <w:ind w:left="360"/>
      </w:pPr>
      <w:hyperlink w:anchor="prueba-de-hipótesis-u-de-mann-whitney" w:history="1">
        <w:r>
          <w:rPr>
            <w:rStyle w:val="Hyperlink"/>
          </w:rPr>
          <w:t xml:space="preserve">7.4 Prueba de hipótesis — U de Mann-Whitney</w:t>
        </w:r>
      </w:hyperlink>
    </w:p>
    <w:p>
      <w:pPr>
        <w:pStyle w:val="TOC3"/>
        <w:ind w:left="360"/>
      </w:pPr>
      <w:hyperlink w:anchor="X03a7c36e30d7fa636495258ef423a3c8991353a" w:history="1">
        <w:r>
          <w:rPr>
            <w:rStyle w:val="Hyperlink"/>
          </w:rPr>
          <w:t xml:space="preserve">7.5 Análisis cualitativo de preferencias formativas (P18)</w:t>
        </w:r>
      </w:hyperlink>
    </w:p>
    <w:p>
      <w:pPr>
        <w:pStyle w:val="TOC2"/>
        <w:ind w:left="0"/>
      </w:pPr>
      <w:hyperlink w:anchor="software" w:history="1">
        <w:r>
          <w:rPr>
            <w:rStyle w:val="Hyperlink"/>
          </w:rPr>
          <w:t xml:space="preserve">8. Software</w:t>
        </w:r>
      </w:hyperlink>
    </w:p>
    <w:p>
      <w:pPr>
        <w:pStyle w:val="TOC3"/>
        <w:ind w:left="360"/>
      </w:pPr>
      <w:hyperlink w:anchor="importación-del-dataset" w:history="1">
        <w:r>
          <w:rPr>
            <w:rStyle w:val="Hyperlink"/>
          </w:rPr>
          <w:t xml:space="preserve">8.1 Importación del dataset</w:t>
        </w:r>
      </w:hyperlink>
    </w:p>
    <w:p>
      <w:pPr>
        <w:pStyle w:val="TOC3"/>
        <w:ind w:left="360"/>
      </w:pPr>
      <w:hyperlink w:anchor="sintaxis-spss-sugerida" w:history="1">
        <w:r>
          <w:rPr>
            <w:rStyle w:val="Hyperlink"/>
          </w:rPr>
          <w:t xml:space="preserve">8.2 Sintaxis SPSS sugerida</w:t>
        </w:r>
      </w:hyperlink>
    </w:p>
    <w:p>
      <w:pPr>
        <w:pStyle w:val="TOC2"/>
        <w:ind w:left="0"/>
      </w:pPr>
      <w:hyperlink w:anchor="consideraciones-éticas" w:history="1">
        <w:r>
          <w:rPr>
            <w:rStyle w:val="Hyperlink"/>
          </w:rPr>
          <w:t xml:space="preserve">9. Consideraciones éticas</w:t>
        </w:r>
      </w:hyperlink>
    </w:p>
    <w:p>
      <w:pPr>
        <w:pStyle w:val="TOC2"/>
        <w:ind w:left="0"/>
      </w:pPr>
      <w:hyperlink w:anchor="limitaciones" w:history="1">
        <w:r>
          <w:rPr>
            <w:rStyle w:val="Hyperlink"/>
          </w:rPr>
          <w:t xml:space="preserve">10. Limitaciones</w:t>
        </w:r>
      </w:hyperlink>
    </w:p>
    <w:p>
      <w:pPr>
        <w:pStyle w:val="TOC2"/>
        <w:ind w:left="0"/>
      </w:pPr>
      <w:hyperlink w:anchor="referencias" w:history="1">
        <w:r>
          <w:rPr>
            <w:rStyle w:val="Hyperlink"/>
          </w:rPr>
          <w:t xml:space="preserve">Referencias</w:t>
        </w:r>
      </w:hyperlink>
    </w:p>
    <w:p>
      <w:pPr>
        <w:pStyle w:val="Heading1"/>
      </w:pPr>
      <w:r>
        <w:t xml:space="preserve">Metodología</w:t>
      </w:r>
    </w:p>
    <w:bookmarkStart w:id="9" w:name="planteamiento-del-problema"/>
    <w:p>
      <w:pPr>
        <w:pStyle w:val="Heading2"/>
      </w:pPr>
      <w:r>
        <w:t xml:space="preserve">1. Planteamiento del problema</w:t>
      </w:r>
    </w:p>
    <w:p>
      <w:pPr>
        <w:pStyle w:val="FirstParagraph"/>
      </w:pPr>
      <w:r>
        <w:t xml:space="preserve">La educación financiera en adolescentes es un componente clave para la formación de hábitos económicos responsables y para la toma informada de decisiones de consumo, ahorro y crédito. Estudios de la OCDE (2020) muestran que los jóvenes suelen presentar bajos niveles de alfabetización financiera, aun cuando se encuentren próximos a asumir compromisos económicos propios. En el municipio de Autlán de Navarro, Jalisco, no se han localizado diagnósticos sistemáticos que comparen el nivel de educación financiera entre estudiantes de secundaria y de bachillerato, lo que dificulta el diseño de intervenciones formativas contextualizadas.</w:t>
      </w:r>
    </w:p>
    <w:p>
      <w:pPr>
        <w:pStyle w:val="BodyText"/>
      </w:pPr>
      <w:r>
        <w:t xml:space="preserve">La presente investigación tiene como objetivo general conocer y comparar el nivel de educación financiera de estudiantes de secundaria y bachillerato del municipio de Autlán de Navarro, Jalisco, a partir de tres dimensiones: conocimiento de conceptos financieros, comportamiento de ahorro y actitud hacia la educación financiera.</w:t>
      </w:r>
    </w:p>
    <w:p>
      <w:pPr>
        <w:pStyle w:val="BodyText"/>
      </w:pPr>
      <w:r>
        <w:t xml:space="preserve">Como objetivos específicos se plantean:</w:t>
      </w:r>
    </w:p>
    <w:p>
      <w:pPr>
        <w:pStyle w:val="Compact"/>
        <w:numPr>
          <w:ilvl w:val="0"/>
          <w:numId w:val="1001"/>
        </w:numPr>
      </w:pPr>
      <w:r>
        <w:t xml:space="preserve">Caracterizar sociodemográficamente a la población encuestada.</w:t>
      </w:r>
    </w:p>
    <w:p>
      <w:pPr>
        <w:pStyle w:val="Compact"/>
        <w:numPr>
          <w:ilvl w:val="0"/>
          <w:numId w:val="1001"/>
        </w:numPr>
      </w:pPr>
      <w:r>
        <w:t xml:space="preserve">Describir los conocimientos, actitudes y prácticas financieras de los estudiantes.</w:t>
      </w:r>
    </w:p>
    <w:p>
      <w:pPr>
        <w:pStyle w:val="Compact"/>
        <w:numPr>
          <w:ilvl w:val="0"/>
          <w:numId w:val="1001"/>
        </w:numPr>
      </w:pPr>
      <w:r>
        <w:t xml:space="preserve">Comparar los puntajes por dimensión entre los niveles de secundaria y bachillerato.</w:t>
      </w:r>
    </w:p>
    <w:p>
      <w:pPr>
        <w:pStyle w:val="Compact"/>
        <w:numPr>
          <w:ilvl w:val="0"/>
          <w:numId w:val="1001"/>
        </w:numPr>
      </w:pPr>
      <w:r>
        <w:t xml:space="preserve">Identificar las preferencias formativas de los estudiantes para el diseño futuro de cursos de educación financiera.</w:t>
      </w:r>
    </w:p>
    <w:p>
      <w:pPr>
        <w:pStyle w:val="FirstParagraph"/>
      </w:pPr>
      <w:r>
        <w:t xml:space="preserve">La hipótesis de trabajo plantea que existen diferencias significativas en el nivel de educación financiera entre los estudiantes de secundaria y los de bachillerato, siendo esperable que los estudiantes de bachillerato presenten un mayor nivel. Esta hipótesis se evalúa mediante pruebas no paramétricas por la naturaleza ordinal de las escalas utilizadas.</w:t>
      </w:r>
    </w:p>
    <w:bookmarkEnd w:id="9"/>
    <w:bookmarkStart w:id="10" w:name="diseño-de-investigación"/>
    <w:p>
      <w:pPr>
        <w:pStyle w:val="Heading2"/>
      </w:pPr>
      <w:r>
        <w:t xml:space="preserve">2. Diseño de investigación</w:t>
      </w:r>
    </w:p>
    <w:p>
      <w:pPr>
        <w:pStyle w:val="FirstParagraph"/>
      </w:pPr>
      <w:r>
        <w:t xml:space="preserve">La investigación se concibe bajo un diseño no experimental, transversal y de campo, debido a que las variables se observan en su contexto natural, sin manipulación deliberada, y la información se recoge en un momento determinado del diagnóstico.</w:t>
      </w:r>
    </w:p>
    <w:p>
      <w:pPr>
        <w:pStyle w:val="BodyText"/>
      </w:pPr>
      <w:r>
        <w:t xml:space="preserve">El estudio se orienta a conocer el nivel de educación financiera de estudiantes de secundaria y bachillerato del municipio de Autlán de Navarro, Jalisco, mediante un cuestionario estructurado. Este diseño resulta pertinente para describir conocimientos, actitudes y prácticas de una población específica y comparar grupos según nivel educativo (Hernández-Sampieri &amp; Mendoza, 2018).</w:t>
      </w:r>
    </w:p>
    <w:p>
      <w:pPr>
        <w:pStyle w:val="BodyText"/>
      </w:pPr>
      <w:r>
        <w:t xml:space="preserve">El enfoque es predominantemente cuantitativo, porque se utilizan ítems con escalas Likert, respuestas dicotómicas y opciones cerradas que permiten codificar, procesar y analizar estadísticamente la información. Se incorpora un componente cualitativo complementario mediante una pregunta abierta sobre la forma en que los estudiantes desean recibir cursos de educación financiera.</w:t>
      </w:r>
    </w:p>
    <w:p>
      <w:pPr>
        <w:pStyle w:val="BodyText"/>
      </w:pPr>
      <w:r>
        <w:t xml:space="preserve">El alcance es descriptivo-comparativo. Es descriptivo porque caracteriza el nivel de conocimientos, actitudes y prácticas financieras; y comparativo porque verifica diferencias entre secundaria y bachillerato. Su propósito fundamental es generar un diagnóstico empírico que sirva de base para diseñar cursos de educación financiera contextualizados.</w:t>
      </w:r>
    </w:p>
    <w:bookmarkEnd w:id="10"/>
    <w:bookmarkStart w:id="14" w:name="población-y-muestra"/>
    <w:p>
      <w:pPr>
        <w:pStyle w:val="Heading2"/>
      </w:pPr>
      <w:r>
        <w:t xml:space="preserve">3. Población y muestra</w:t>
      </w:r>
    </w:p>
    <w:bookmarkStart w:id="11" w:name="población"/>
    <w:p>
      <w:pPr>
        <w:pStyle w:val="Heading3"/>
      </w:pPr>
      <w:r>
        <w:t xml:space="preserve">3.1 Población</w:t>
      </w:r>
    </w:p>
    <w:p>
      <w:pPr>
        <w:pStyle w:val="FirstParagraph"/>
      </w:pPr>
      <w:r>
        <w:t xml:space="preserve">La población objeto de estudio está integrada por estudiantes de secundaria y bachillerato del municipio de Autlán de Navarro, Jalisco:</w:t>
      </w:r>
    </w:p>
    <w:p>
      <w:pPr>
        <w:pStyle w:val="Compact"/>
        <w:numPr>
          <w:ilvl w:val="0"/>
          <w:numId w:val="1002"/>
        </w:numPr>
      </w:pPr>
      <w:r>
        <w:t xml:space="preserve">Bachillerato: 2,339 estudiantes en cuatro instituciones (una pública: Escuela Preparatoria Regional de Autlán; tres privadas: ICEP, CETI y BT).</w:t>
      </w:r>
    </w:p>
    <w:p>
      <w:pPr>
        <w:pStyle w:val="Compact"/>
        <w:numPr>
          <w:ilvl w:val="0"/>
          <w:numId w:val="1002"/>
        </w:numPr>
      </w:pPr>
      <w:r>
        <w:t xml:space="preserve">Secundaria: 3,330 estudiantes en 20 escuelas secundarias técnicas y generales, más telesecundarias.</w:t>
      </w:r>
    </w:p>
    <w:bookmarkEnd w:id="11"/>
    <w:bookmarkStart w:id="12" w:name="tamaño-de-muestra-teórico"/>
    <w:p>
      <w:pPr>
        <w:pStyle w:val="Heading3"/>
      </w:pPr>
      <w:r>
        <w:t xml:space="preserve">3.2 Tamaño de muestra teórico</w:t>
      </w:r>
    </w:p>
    <w:p>
      <w:pPr>
        <w:pStyle w:val="FirstParagraph"/>
      </w:pPr>
      <w:r>
        <w:t xml:space="preserve">El tamaño de muestra se calculó mediante la fórmula para poblaciones finitas:</w:t>
      </w:r>
    </w:p>
    <w:p>
      <w:pPr>
        <w:pStyle w:val="BlockText"/>
      </w:pPr>
      <w:r>
        <w:t xml:space="preserve">n = (N × Z² × p × (1-p)) / (N × E² + Z² × p × (1-p))</w:t>
      </w:r>
    </w:p>
    <w:p>
      <w:pPr>
        <w:pStyle w:val="FirstParagraph"/>
      </w:pPr>
      <w:r>
        <w:t xml:space="preserve">Con un nivel de confianza del 95 % (Z=1.96), error del 5 % y p=0.5, los tamaños mínimos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Nivel educativo</w:t>
            </w:r>
          </w:p>
        </w:tc>
        <w:tc>
          <w:tcPr/>
          <w:p>
            <w:pPr>
              <w:pStyle w:val="Compact"/>
            </w:pPr>
            <w:r>
              <w:t xml:space="preserve">Población (N)</w:t>
            </w:r>
          </w:p>
        </w:tc>
        <w:tc>
          <w:tcPr/>
          <w:p>
            <w:pPr>
              <w:pStyle w:val="Compact"/>
            </w:pPr>
            <w:r>
              <w:t xml:space="preserve">Muestra mínima</w:t>
            </w:r>
          </w:p>
        </w:tc>
      </w:tr>
      <w:tr>
        <w:tc>
          <w:tcPr/>
          <w:p>
            <w:pPr>
              <w:pStyle w:val="Compact"/>
            </w:pPr>
            <w:r>
              <w:t xml:space="preserve">Bachillerato</w:t>
            </w:r>
          </w:p>
        </w:tc>
        <w:tc>
          <w:tcPr/>
          <w:p>
            <w:pPr>
              <w:pStyle w:val="Compact"/>
            </w:pPr>
            <w:r>
              <w:t xml:space="preserve">2,339</w:t>
            </w:r>
          </w:p>
        </w:tc>
        <w:tc>
          <w:tcPr/>
          <w:p>
            <w:pPr>
              <w:pStyle w:val="Compact"/>
            </w:pPr>
            <w:r>
              <w:t xml:space="preserve">331</w:t>
            </w:r>
          </w:p>
        </w:tc>
      </w:tr>
      <w:tr>
        <w:tc>
          <w:tcPr/>
          <w:p>
            <w:pPr>
              <w:pStyle w:val="Compact"/>
            </w:pPr>
            <w:r>
              <w:t xml:space="preserve">Secundaria</w:t>
            </w:r>
          </w:p>
        </w:tc>
        <w:tc>
          <w:tcPr/>
          <w:p>
            <w:pPr>
              <w:pStyle w:val="Compact"/>
            </w:pPr>
            <w:r>
              <w:t xml:space="preserve">3,330</w:t>
            </w:r>
          </w:p>
        </w:tc>
        <w:tc>
          <w:tcPr/>
          <w:p>
            <w:pPr>
              <w:pStyle w:val="Compact"/>
            </w:pPr>
            <w:r>
              <w:t xml:space="preserve">345</w:t>
            </w:r>
          </w:p>
        </w:tc>
      </w:tr>
      <w:tr>
        <w:tc>
          <w:tcPr/>
          <w:p>
            <w:pPr>
              <w:pStyle w:val="Compact"/>
            </w:pPr>
            <w:r>
              <w:rPr>
                <w:b/>
                <w:bCs/>
              </w:rPr>
              <w:t xml:space="preserve">Total</w:t>
            </w:r>
          </w:p>
        </w:tc>
        <w:tc>
          <w:tcPr/>
          <w:p>
            <w:pPr>
              <w:pStyle w:val="Compact"/>
            </w:pPr>
            <w:r>
              <w:rPr>
                <w:b/>
                <w:bCs/>
              </w:rPr>
              <w:t xml:space="preserve">5,669</w:t>
            </w:r>
          </w:p>
        </w:tc>
        <w:tc>
          <w:tcPr/>
          <w:p>
            <w:pPr>
              <w:pStyle w:val="Compact"/>
            </w:pPr>
            <w:r>
              <w:rPr>
                <w:b/>
                <w:bCs/>
              </w:rPr>
              <w:t xml:space="preserve">676</w:t>
            </w:r>
          </w:p>
        </w:tc>
      </w:tr>
    </w:tbl>
    <w:p>
      <w:pPr>
        <w:pStyle w:val="BodyText"/>
      </w:pPr>
      <w:r>
        <w:t xml:space="preserve">El muestreo se plantea como probabilístico estratificado proporcional por nivel educativo e institución escolar, en tanto la muestra se distribuye de acuerdo con la participación relativa de cada escuela en la población total. Este procedimiento favorece la representatividad y permite comparar resultados entre secundaria y bachillerato.</w:t>
      </w:r>
    </w:p>
    <w:bookmarkEnd w:id="12"/>
    <w:bookmarkStart w:id="13" w:name="muestra-real-obtenida"/>
    <w:p>
      <w:pPr>
        <w:pStyle w:val="Heading3"/>
      </w:pPr>
      <w:r>
        <w:t xml:space="preserve">3.3 Muestra real obtenida</w:t>
      </w:r>
    </w:p>
    <w:p>
      <w:pPr>
        <w:pStyle w:val="FirstParagraph"/>
      </w:pPr>
      <w:r>
        <w:t xml:space="preserve">Después de la aplicación del instrumento y del proceso de limpieza y preprocesamiento (ver sección 6), la muestra efectiva quedó integrada por 656 estudiantes: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Muestra teórica</w:t>
            </w:r>
          </w:p>
        </w:tc>
        <w:tc>
          <w:tcPr/>
          <w:p>
            <w:pPr>
              <w:pStyle w:val="Compact"/>
            </w:pPr>
            <w:r>
              <w:t xml:space="preserve">Muestra real</w:t>
            </w:r>
          </w:p>
        </w:tc>
        <w:tc>
          <w:tcPr/>
          <w:p>
            <w:pPr>
              <w:pStyle w:val="Compact"/>
            </w:pPr>
            <w:r>
              <w:t xml:space="preserve">Diferencia</w:t>
            </w:r>
          </w:p>
        </w:tc>
      </w:tr>
      <w:tr>
        <w:tc>
          <w:tcPr/>
          <w:p>
            <w:pPr>
              <w:pStyle w:val="Compact"/>
            </w:pPr>
            <w:r>
              <w:t xml:space="preserve">Bachillerato (Preparatoria)</w:t>
            </w:r>
          </w:p>
        </w:tc>
        <w:tc>
          <w:tcPr/>
          <w:p>
            <w:pPr>
              <w:pStyle w:val="Compact"/>
            </w:pPr>
            <w:r>
              <w:t xml:space="preserve">331</w:t>
            </w:r>
          </w:p>
        </w:tc>
        <w:tc>
          <w:tcPr/>
          <w:p>
            <w:pPr>
              <w:pStyle w:val="Compact"/>
            </w:pPr>
            <w:r>
              <w:t xml:space="preserve">337</w:t>
            </w:r>
          </w:p>
        </w:tc>
        <w:tc>
          <w:tcPr/>
          <w:p>
            <w:pPr>
              <w:pStyle w:val="Compact"/>
            </w:pPr>
            <w:r>
              <w:t xml:space="preserve">+6</w:t>
            </w:r>
          </w:p>
        </w:tc>
      </w:tr>
      <w:tr>
        <w:tc>
          <w:tcPr/>
          <w:p>
            <w:pPr>
              <w:pStyle w:val="Compact"/>
            </w:pPr>
            <w:r>
              <w:t xml:space="preserve">Secundaria (general + telesecundaria)</w:t>
            </w:r>
          </w:p>
        </w:tc>
        <w:tc>
          <w:tcPr/>
          <w:p>
            <w:pPr>
              <w:pStyle w:val="Compact"/>
            </w:pPr>
            <w:r>
              <w:t xml:space="preserve">345</w:t>
            </w:r>
          </w:p>
        </w:tc>
        <w:tc>
          <w:tcPr/>
          <w:p>
            <w:pPr>
              <w:pStyle w:val="Compact"/>
            </w:pPr>
            <w:r>
              <w:t xml:space="preserve">319</w:t>
            </w:r>
          </w:p>
        </w:tc>
        <w:tc>
          <w:tcPr/>
          <w:p>
            <w:pPr>
              <w:pStyle w:val="Compact"/>
            </w:pPr>
            <w:r>
              <w:t xml:space="preserve">-26</w:t>
            </w:r>
          </w:p>
        </w:tc>
      </w:tr>
      <w:tr>
        <w:tc>
          <w:tcPr/>
          <w:p>
            <w:pPr>
              <w:pStyle w:val="Compact"/>
            </w:pPr>
            <w:r>
              <w:t xml:space="preserve">└ Telesecundaria (sub-grupo)</w:t>
            </w:r>
          </w:p>
        </w:tc>
        <w:tc>
          <w:tcPr/>
          <w:p>
            <w:pPr>
              <w:pStyle w:val="Compact"/>
            </w:pPr>
            <w:r>
              <w:t xml:space="preserve">—</w:t>
            </w:r>
          </w:p>
        </w:tc>
        <w:tc>
          <w:tcPr/>
          <w:p>
            <w:pPr>
              <w:pStyle w:val="Compact"/>
            </w:pPr>
            <w:r>
              <w:t xml:space="preserve">95</w:t>
            </w:r>
          </w:p>
        </w:tc>
        <w:tc>
          <w:tcPr/>
          <w:p>
            <w:pPr>
              <w:pStyle w:val="Compact"/>
            </w:pPr>
            <w:r>
              <w:t xml:space="preserve">—</w:t>
            </w:r>
          </w:p>
        </w:tc>
      </w:tr>
      <w:tr>
        <w:tc>
          <w:tcPr/>
          <w:p>
            <w:pPr>
              <w:pStyle w:val="Compact"/>
            </w:pPr>
            <w:r>
              <w:t xml:space="preserve">└ Secundaria general (sub-grupo)</w:t>
            </w:r>
          </w:p>
        </w:tc>
        <w:tc>
          <w:tcPr/>
          <w:p>
            <w:pPr>
              <w:pStyle w:val="Compact"/>
            </w:pPr>
            <w:r>
              <w:t xml:space="preserve">—</w:t>
            </w:r>
          </w:p>
        </w:tc>
        <w:tc>
          <w:tcPr/>
          <w:p>
            <w:pPr>
              <w:pStyle w:val="Compact"/>
            </w:pPr>
            <w:r>
              <w:t xml:space="preserve">224</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676</w:t>
            </w:r>
          </w:p>
        </w:tc>
        <w:tc>
          <w:tcPr/>
          <w:p>
            <w:pPr>
              <w:pStyle w:val="Compact"/>
            </w:pPr>
            <w:r>
              <w:rPr>
                <w:b/>
                <w:bCs/>
              </w:rPr>
              <w:t xml:space="preserve">656</w:t>
            </w:r>
          </w:p>
        </w:tc>
        <w:tc>
          <w:tcPr/>
          <w:p>
            <w:pPr>
              <w:pStyle w:val="Compact"/>
            </w:pPr>
            <w:r>
              <w:rPr>
                <w:b/>
                <w:bCs/>
              </w:rPr>
              <w:t xml:space="preserve">-20</w:t>
            </w:r>
          </w:p>
        </w:tc>
      </w:tr>
    </w:tbl>
    <w:p>
      <w:pPr>
        <w:pStyle w:val="BodyText"/>
      </w:pPr>
      <w:r>
        <w:t xml:space="preserve">La diferencia de 20 registros respecto a la muestra teórica se debe principalmente a 380 cuestionarios que se encontraban en blanco en la base original, de los cuales la mayor parte correspondió al nivel de secundaria. Esta pérdida se documenta como una limitación del estudio (sección 10) y no compromete la validez del muestreo estratificado proporcional, que se mantuvo en el proceso de recolección.</w:t>
      </w:r>
    </w:p>
    <w:bookmarkEnd w:id="13"/>
    <w:bookmarkEnd w:id="14"/>
    <w:bookmarkStart w:id="16" w:name="instrumento"/>
    <w:p>
      <w:pPr>
        <w:pStyle w:val="Heading2"/>
      </w:pPr>
      <w:r>
        <w:t xml:space="preserve">4. Instrumento</w:t>
      </w:r>
    </w:p>
    <w:p>
      <w:pPr>
        <w:pStyle w:val="FirstParagraph"/>
      </w:pPr>
      <w:r>
        <w:t xml:space="preserve">El instrumento utilizado es una encuesta tipo cuestionario dirigida a estudiantes de secundaria y bachillerato. Su objetivo es identificar el dominio de temas básicos de educación financiera y recoger información sobre conocimientos, actitudes, prácticas y preferencias formativas. El cuestionario inicia con datos de identificación y caracterización: edad, fecha, grado, convivencia familiar, tipo de vivienda y existencia de negocio o empresa familiar.</w:t>
      </w:r>
    </w:p>
    <w:p>
      <w:pPr>
        <w:pStyle w:val="BodyText"/>
      </w:pPr>
      <w:r>
        <w:t xml:space="preserve">El cuestionario combina tres tipos de escalas:</w:t>
      </w:r>
    </w:p>
    <w:p>
      <w:pPr>
        <w:pStyle w:val="Compact"/>
        <w:numPr>
          <w:ilvl w:val="0"/>
          <w:numId w:val="1003"/>
        </w:numPr>
      </w:pPr>
      <w:r>
        <w:rPr>
          <w:b/>
          <w:bCs/>
        </w:rPr>
        <w:t xml:space="preserve">Escala Likert de 1 a 5</w:t>
      </w:r>
      <w:r>
        <w:t xml:space="preserve">: valora intensidad de conocimiento, frecuencia o percepción. Anclajes: 1 = No, nunca, muy malo; 2 = Muy poco, casi nunca, malo; 3 = Algo, a veces; 4 = Casi siempre, bueno; 5 = Sí, mucho, siempre, muy bueno.</w:t>
      </w:r>
    </w:p>
    <w:p>
      <w:pPr>
        <w:pStyle w:val="Compact"/>
        <w:numPr>
          <w:ilvl w:val="0"/>
          <w:numId w:val="1003"/>
        </w:numPr>
      </w:pPr>
      <w:r>
        <w:rPr>
          <w:b/>
          <w:bCs/>
        </w:rPr>
        <w:t xml:space="preserve">Preguntas dicotómicas de sí/no</w:t>
      </w:r>
      <w:r>
        <w:t xml:space="preserve">: permiten identificar prácticas concretas, como contar o no con cuenta de ahorro.</w:t>
      </w:r>
    </w:p>
    <w:p>
      <w:pPr>
        <w:pStyle w:val="Compact"/>
        <w:numPr>
          <w:ilvl w:val="0"/>
          <w:numId w:val="1003"/>
        </w:numPr>
      </w:pPr>
      <w:r>
        <w:rPr>
          <w:b/>
          <w:bCs/>
        </w:rPr>
        <w:t xml:space="preserve">Opciones múltiples</w:t>
      </w:r>
      <w:r>
        <w:t xml:space="preserve">: una pregunta para identificar la definición correcta de educación financiera.</w:t>
      </w:r>
    </w:p>
    <w:p>
      <w:pPr>
        <w:pStyle w:val="Compact"/>
        <w:numPr>
          <w:ilvl w:val="0"/>
          <w:numId w:val="1003"/>
        </w:numPr>
      </w:pPr>
      <w:r>
        <w:rPr>
          <w:b/>
          <w:bCs/>
        </w:rPr>
        <w:t xml:space="preserve">Pregunta abierta</w:t>
      </w:r>
      <w:r>
        <w:t xml:space="preserve">: recoge criterios cualitativos para diseñar cursos.</w:t>
      </w:r>
    </w:p>
    <w:p>
      <w:pPr>
        <w:pStyle w:val="FirstParagraph"/>
      </w:pPr>
      <w:r>
        <w:t xml:space="preserve">Las preguntas se organizan según las variables del diagnóstico, alineadas con el marco de la OCDE/INFE que comprende la alfabetización financiera como combinación de conocimientos, actitudes y comportamientos (OECD, 2020).</w:t>
      </w:r>
    </w:p>
    <w:bookmarkStart w:id="15" w:name="tabla-de-preguntas-por-dimensión"/>
    <w:p>
      <w:pPr>
        <w:pStyle w:val="Heading3"/>
      </w:pPr>
      <w:r>
        <w:t xml:space="preserve">4.1 Tabla de preguntas por dimensión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Pregunta (resumen)</w:t>
            </w:r>
          </w:p>
        </w:tc>
        <w:tc>
          <w:tcPr/>
          <w:p>
            <w:pPr>
              <w:pStyle w:val="Compact"/>
            </w:pPr>
            <w:r>
              <w:t xml:space="preserve">Tipo</w:t>
            </w:r>
          </w:p>
        </w:tc>
        <w:tc>
          <w:tcPr/>
          <w:p>
            <w:pPr>
              <w:pStyle w:val="Compact"/>
            </w:pPr>
            <w:r>
              <w:t xml:space="preserve">Dimensión</w:t>
            </w:r>
          </w:p>
        </w:tc>
      </w:tr>
      <w:tr>
        <w:tc>
          <w:tcPr/>
          <w:p>
            <w:pPr>
              <w:pStyle w:val="Compact"/>
            </w:pPr>
            <w:r>
              <w:t xml:space="preserve">p01</w:t>
            </w:r>
          </w:p>
        </w:tc>
        <w:tc>
          <w:tcPr/>
          <w:p>
            <w:pPr>
              <w:pStyle w:val="Compact"/>
            </w:pPr>
            <w:r>
              <w:t xml:space="preserve">¿Has escuchado hablar de educación financiera?</w:t>
            </w:r>
          </w:p>
        </w:tc>
        <w:tc>
          <w:tcPr/>
          <w:p>
            <w:pPr>
              <w:pStyle w:val="Compact"/>
            </w:pPr>
            <w:r>
              <w:t xml:space="preserve">Likert 1-5</w:t>
            </w:r>
          </w:p>
        </w:tc>
        <w:tc>
          <w:tcPr/>
          <w:p>
            <w:pPr>
              <w:pStyle w:val="Compact"/>
            </w:pPr>
            <w:r>
              <w:t xml:space="preserve">Actitud</w:t>
            </w:r>
          </w:p>
        </w:tc>
      </w:tr>
      <w:tr>
        <w:tc>
          <w:tcPr/>
          <w:p>
            <w:pPr>
              <w:pStyle w:val="Compact"/>
            </w:pPr>
            <w:r>
              <w:t xml:space="preserve">p02</w:t>
            </w:r>
          </w:p>
        </w:tc>
        <w:tc>
          <w:tcPr/>
          <w:p>
            <w:pPr>
              <w:pStyle w:val="Compact"/>
            </w:pPr>
            <w:r>
              <w:t xml:space="preserve">¿Conoces qué significa educación financiera?</w:t>
            </w:r>
          </w:p>
        </w:tc>
        <w:tc>
          <w:tcPr/>
          <w:p>
            <w:pPr>
              <w:pStyle w:val="Compact"/>
            </w:pPr>
            <w:r>
              <w:t xml:space="preserve">Likert 1-5</w:t>
            </w:r>
          </w:p>
        </w:tc>
        <w:tc>
          <w:tcPr/>
          <w:p>
            <w:pPr>
              <w:pStyle w:val="Compact"/>
            </w:pPr>
            <w:r>
              <w:t xml:space="preserve">Actitud</w:t>
            </w:r>
          </w:p>
        </w:tc>
      </w:tr>
      <w:tr>
        <w:tc>
          <w:tcPr/>
          <w:p>
            <w:pPr>
              <w:pStyle w:val="Compact"/>
            </w:pPr>
            <w:r>
              <w:t xml:space="preserve">p03</w:t>
            </w:r>
          </w:p>
        </w:tc>
        <w:tc>
          <w:tcPr/>
          <w:p>
            <w:pPr>
              <w:pStyle w:val="Compact"/>
            </w:pPr>
            <w:r>
              <w:t xml:space="preserve">¿Te gustaría aprender diversos temas de educación financiera?</w:t>
            </w:r>
          </w:p>
        </w:tc>
        <w:tc>
          <w:tcPr/>
          <w:p>
            <w:pPr>
              <w:pStyle w:val="Compact"/>
            </w:pPr>
            <w:r>
              <w:t xml:space="preserve">Likert 1-5</w:t>
            </w:r>
          </w:p>
        </w:tc>
        <w:tc>
          <w:tcPr/>
          <w:p>
            <w:pPr>
              <w:pStyle w:val="Compact"/>
            </w:pPr>
            <w:r>
              <w:t xml:space="preserve">Actitud</w:t>
            </w:r>
          </w:p>
        </w:tc>
      </w:tr>
      <w:tr>
        <w:tc>
          <w:tcPr/>
          <w:p>
            <w:pPr>
              <w:pStyle w:val="Compact"/>
            </w:pPr>
            <w:r>
              <w:t xml:space="preserve">p04</w:t>
            </w:r>
          </w:p>
        </w:tc>
        <w:tc>
          <w:tcPr/>
          <w:p>
            <w:pPr>
              <w:pStyle w:val="Compact"/>
            </w:pPr>
            <w:r>
              <w:t xml:space="preserve">¿Consideras importante y necesaria la educación financiera?</w:t>
            </w:r>
          </w:p>
        </w:tc>
        <w:tc>
          <w:tcPr/>
          <w:p>
            <w:pPr>
              <w:pStyle w:val="Compact"/>
            </w:pPr>
            <w:r>
              <w:t xml:space="preserve">Likert 1-5</w:t>
            </w:r>
          </w:p>
        </w:tc>
        <w:tc>
          <w:tcPr/>
          <w:p>
            <w:pPr>
              <w:pStyle w:val="Compact"/>
            </w:pPr>
            <w:r>
              <w:t xml:space="preserve">Actitud</w:t>
            </w:r>
          </w:p>
        </w:tc>
      </w:tr>
      <w:tr>
        <w:tc>
          <w:tcPr/>
          <w:p>
            <w:pPr>
              <w:pStyle w:val="Compact"/>
            </w:pPr>
            <w:r>
              <w:t xml:space="preserve">p05</w:t>
            </w:r>
          </w:p>
        </w:tc>
        <w:tc>
          <w:tcPr/>
          <w:p>
            <w:pPr>
              <w:pStyle w:val="Compact"/>
            </w:pPr>
            <w:r>
              <w:t xml:space="preserve">¿Cuál de las definiciones describe mejor la educación financiera?</w:t>
            </w:r>
          </w:p>
        </w:tc>
        <w:tc>
          <w:tcPr/>
          <w:p>
            <w:pPr>
              <w:pStyle w:val="Compact"/>
            </w:pPr>
            <w:r>
              <w:t xml:space="preserve">Opción múltiple</w:t>
            </w:r>
          </w:p>
        </w:tc>
        <w:tc>
          <w:tcPr/>
          <w:p>
            <w:pPr>
              <w:pStyle w:val="Compact"/>
            </w:pPr>
            <w:r>
              <w:t xml:space="preserve">Conocimiento (standalone)</w:t>
            </w:r>
          </w:p>
        </w:tc>
      </w:tr>
      <w:tr>
        <w:tc>
          <w:tcPr/>
          <w:p>
            <w:pPr>
              <w:pStyle w:val="Compact"/>
            </w:pPr>
            <w:r>
              <w:t xml:space="preserve">p06</w:t>
            </w:r>
          </w:p>
        </w:tc>
        <w:tc>
          <w:tcPr/>
          <w:p>
            <w:pPr>
              <w:pStyle w:val="Compact"/>
            </w:pPr>
            <w:r>
              <w:t xml:space="preserve">¿Sabes qué significa ahorro?</w:t>
            </w:r>
          </w:p>
        </w:tc>
        <w:tc>
          <w:tcPr/>
          <w:p>
            <w:pPr>
              <w:pStyle w:val="Compact"/>
            </w:pPr>
            <w:r>
              <w:t xml:space="preserve">Likert 1-5</w:t>
            </w:r>
          </w:p>
        </w:tc>
        <w:tc>
          <w:tcPr/>
          <w:p>
            <w:pPr>
              <w:pStyle w:val="Compact"/>
            </w:pPr>
            <w:r>
              <w:t xml:space="preserve">Conocimiento</w:t>
            </w:r>
          </w:p>
        </w:tc>
      </w:tr>
      <w:tr>
        <w:tc>
          <w:tcPr/>
          <w:p>
            <w:pPr>
              <w:pStyle w:val="Compact"/>
            </w:pPr>
            <w:r>
              <w:t xml:space="preserve">p07</w:t>
            </w:r>
          </w:p>
        </w:tc>
        <w:tc>
          <w:tcPr/>
          <w:p>
            <w:pPr>
              <w:pStyle w:val="Compact"/>
            </w:pPr>
            <w:r>
              <w:t xml:space="preserve">¿Tienes cuenta de ahorro en algún banco o Caja Popular?</w:t>
            </w:r>
          </w:p>
        </w:tc>
        <w:tc>
          <w:tcPr/>
          <w:p>
            <w:pPr>
              <w:pStyle w:val="Compact"/>
            </w:pPr>
            <w:r>
              <w:t xml:space="preserve">Dicotómica</w:t>
            </w:r>
          </w:p>
        </w:tc>
        <w:tc>
          <w:tcPr/>
          <w:p>
            <w:pPr>
              <w:pStyle w:val="Compact"/>
            </w:pPr>
            <w:r>
              <w:t xml:space="preserve">Comportamiento</w:t>
            </w:r>
          </w:p>
        </w:tc>
      </w:tr>
      <w:tr>
        <w:tc>
          <w:tcPr/>
          <w:p>
            <w:pPr>
              <w:pStyle w:val="Compact"/>
            </w:pPr>
            <w:r>
              <w:t xml:space="preserve">p08</w:t>
            </w:r>
          </w:p>
        </w:tc>
        <w:tc>
          <w:tcPr/>
          <w:p>
            <w:pPr>
              <w:pStyle w:val="Compact"/>
            </w:pPr>
            <w:r>
              <w:t xml:space="preserve">¿Eres constante y responsable al ahorrar?</w:t>
            </w:r>
          </w:p>
        </w:tc>
        <w:tc>
          <w:tcPr/>
          <w:p>
            <w:pPr>
              <w:pStyle w:val="Compact"/>
            </w:pPr>
            <w:r>
              <w:t xml:space="preserve">Likert 1-5</w:t>
            </w:r>
          </w:p>
        </w:tc>
        <w:tc>
          <w:tcPr/>
          <w:p>
            <w:pPr>
              <w:pStyle w:val="Compact"/>
            </w:pPr>
            <w:r>
              <w:t xml:space="preserve">Comportamiento</w:t>
            </w:r>
          </w:p>
        </w:tc>
      </w:tr>
      <w:tr>
        <w:tc>
          <w:tcPr/>
          <w:p>
            <w:pPr>
              <w:pStyle w:val="Compact"/>
            </w:pPr>
            <w:r>
              <w:t xml:space="preserve">p09</w:t>
            </w:r>
          </w:p>
        </w:tc>
        <w:tc>
          <w:tcPr/>
          <w:p>
            <w:pPr>
              <w:pStyle w:val="Compact"/>
            </w:pPr>
            <w:r>
              <w:t xml:space="preserve">Consideras que sacar un crédito en un banco o Caja Popular es…</w:t>
            </w:r>
          </w:p>
        </w:tc>
        <w:tc>
          <w:tcPr/>
          <w:p>
            <w:pPr>
              <w:pStyle w:val="Compact"/>
            </w:pPr>
            <w:r>
              <w:t xml:space="preserve">Likert 1-5</w:t>
            </w:r>
          </w:p>
        </w:tc>
        <w:tc>
          <w:tcPr/>
          <w:p>
            <w:pPr>
              <w:pStyle w:val="Compact"/>
            </w:pPr>
            <w:r>
              <w:t xml:space="preserve">Actitud (standalone)</w:t>
            </w:r>
          </w:p>
        </w:tc>
      </w:tr>
      <w:tr>
        <w:tc>
          <w:tcPr/>
          <w:p>
            <w:pPr>
              <w:pStyle w:val="Compact"/>
            </w:pPr>
            <w:r>
              <w:t xml:space="preserve">p10</w:t>
            </w:r>
          </w:p>
        </w:tc>
        <w:tc>
          <w:tcPr/>
          <w:p>
            <w:pPr>
              <w:pStyle w:val="Compact"/>
            </w:pPr>
            <w:r>
              <w:t xml:space="preserve">¿Sabes lo que es un crédito?</w:t>
            </w:r>
          </w:p>
        </w:tc>
        <w:tc>
          <w:tcPr/>
          <w:p>
            <w:pPr>
              <w:pStyle w:val="Compact"/>
            </w:pPr>
            <w:r>
              <w:t xml:space="preserve">Likert 1-5</w:t>
            </w:r>
          </w:p>
        </w:tc>
        <w:tc>
          <w:tcPr/>
          <w:p>
            <w:pPr>
              <w:pStyle w:val="Compact"/>
            </w:pPr>
            <w:r>
              <w:t xml:space="preserve">Conocimiento</w:t>
            </w:r>
          </w:p>
        </w:tc>
      </w:tr>
      <w:tr>
        <w:tc>
          <w:tcPr/>
          <w:p>
            <w:pPr>
              <w:pStyle w:val="Compact"/>
            </w:pPr>
            <w:r>
              <w:t xml:space="preserve">p11</w:t>
            </w:r>
          </w:p>
        </w:tc>
        <w:tc>
          <w:tcPr/>
          <w:p>
            <w:pPr>
              <w:pStyle w:val="Compact"/>
            </w:pPr>
            <w:r>
              <w:t xml:space="preserve">¿Sabes lo que es un presupuesto?</w:t>
            </w:r>
          </w:p>
        </w:tc>
        <w:tc>
          <w:tcPr/>
          <w:p>
            <w:pPr>
              <w:pStyle w:val="Compact"/>
            </w:pPr>
            <w:r>
              <w:t xml:space="preserve">Likert 1-5</w:t>
            </w:r>
          </w:p>
        </w:tc>
        <w:tc>
          <w:tcPr/>
          <w:p>
            <w:pPr>
              <w:pStyle w:val="Compact"/>
            </w:pPr>
            <w:r>
              <w:t xml:space="preserve">Conocimiento</w:t>
            </w:r>
          </w:p>
        </w:tc>
      </w:tr>
      <w:tr>
        <w:tc>
          <w:tcPr/>
          <w:p>
            <w:pPr>
              <w:pStyle w:val="Compact"/>
            </w:pPr>
            <w:r>
              <w:t xml:space="preserve">p12</w:t>
            </w:r>
          </w:p>
        </w:tc>
        <w:tc>
          <w:tcPr/>
          <w:p>
            <w:pPr>
              <w:pStyle w:val="Compact"/>
            </w:pPr>
            <w:r>
              <w:t xml:space="preserve">¿Conoces qué significa tasa de interés?</w:t>
            </w:r>
          </w:p>
        </w:tc>
        <w:tc>
          <w:tcPr/>
          <w:p>
            <w:pPr>
              <w:pStyle w:val="Compact"/>
            </w:pPr>
            <w:r>
              <w:t xml:space="preserve">Likert 1-5</w:t>
            </w:r>
          </w:p>
        </w:tc>
        <w:tc>
          <w:tcPr/>
          <w:p>
            <w:pPr>
              <w:pStyle w:val="Compact"/>
            </w:pPr>
            <w:r>
              <w:t xml:space="preserve">Conocimiento</w:t>
            </w:r>
          </w:p>
        </w:tc>
      </w:tr>
      <w:tr>
        <w:tc>
          <w:tcPr/>
          <w:p>
            <w:pPr>
              <w:pStyle w:val="Compact"/>
            </w:pPr>
            <w:r>
              <w:t xml:space="preserve">p13</w:t>
            </w:r>
          </w:p>
        </w:tc>
        <w:tc>
          <w:tcPr/>
          <w:p>
            <w:pPr>
              <w:pStyle w:val="Compact"/>
            </w:pPr>
            <w:r>
              <w:t xml:space="preserve">¿Comprendes qué es una inversión?</w:t>
            </w:r>
          </w:p>
        </w:tc>
        <w:tc>
          <w:tcPr/>
          <w:p>
            <w:pPr>
              <w:pStyle w:val="Compact"/>
            </w:pPr>
            <w:r>
              <w:t xml:space="preserve">Likert 1-5</w:t>
            </w:r>
          </w:p>
        </w:tc>
        <w:tc>
          <w:tcPr/>
          <w:p>
            <w:pPr>
              <w:pStyle w:val="Compact"/>
            </w:pPr>
            <w:r>
              <w:t xml:space="preserve">Conocimiento</w:t>
            </w:r>
          </w:p>
        </w:tc>
      </w:tr>
      <w:tr>
        <w:tc>
          <w:tcPr/>
          <w:p>
            <w:pPr>
              <w:pStyle w:val="Compact"/>
            </w:pPr>
            <w:r>
              <w:t xml:space="preserve">p14</w:t>
            </w:r>
          </w:p>
        </w:tc>
        <w:tc>
          <w:tcPr/>
          <w:p>
            <w:pPr>
              <w:pStyle w:val="Compact"/>
            </w:pPr>
            <w:r>
              <w:t xml:space="preserve">¿Entiendes el significado de la palabra inflación?</w:t>
            </w:r>
          </w:p>
        </w:tc>
        <w:tc>
          <w:tcPr/>
          <w:p>
            <w:pPr>
              <w:pStyle w:val="Compact"/>
            </w:pPr>
            <w:r>
              <w:t xml:space="preserve">Likert 1-5</w:t>
            </w:r>
          </w:p>
        </w:tc>
        <w:tc>
          <w:tcPr/>
          <w:p>
            <w:pPr>
              <w:pStyle w:val="Compact"/>
            </w:pPr>
            <w:r>
              <w:t xml:space="preserve">Conocimiento</w:t>
            </w:r>
          </w:p>
        </w:tc>
      </w:tr>
      <w:tr>
        <w:tc>
          <w:tcPr/>
          <w:p>
            <w:pPr>
              <w:pStyle w:val="Compact"/>
            </w:pPr>
            <w:r>
              <w:t xml:space="preserve">p15</w:t>
            </w:r>
          </w:p>
        </w:tc>
        <w:tc>
          <w:tcPr/>
          <w:p>
            <w:pPr>
              <w:pStyle w:val="Compact"/>
            </w:pPr>
            <w:r>
              <w:t xml:space="preserve">¿Entiendes el significado de devaluación del dinero?</w:t>
            </w:r>
          </w:p>
        </w:tc>
        <w:tc>
          <w:tcPr/>
          <w:p>
            <w:pPr>
              <w:pStyle w:val="Compact"/>
            </w:pPr>
            <w:r>
              <w:t xml:space="preserve">Likert 1-5</w:t>
            </w:r>
          </w:p>
        </w:tc>
        <w:tc>
          <w:tcPr/>
          <w:p>
            <w:pPr>
              <w:pStyle w:val="Compact"/>
            </w:pPr>
            <w:r>
              <w:t xml:space="preserve">Conocimiento</w:t>
            </w:r>
          </w:p>
        </w:tc>
      </w:tr>
      <w:tr>
        <w:tc>
          <w:tcPr/>
          <w:p>
            <w:pPr>
              <w:pStyle w:val="Compact"/>
            </w:pPr>
            <w:r>
              <w:t xml:space="preserve">p16</w:t>
            </w:r>
          </w:p>
        </w:tc>
        <w:tc>
          <w:tcPr/>
          <w:p>
            <w:pPr>
              <w:pStyle w:val="Compact"/>
            </w:pPr>
            <w:r>
              <w:t xml:space="preserve">¿Identificas las diferencias entre tarjeta de crédito y débito?</w:t>
            </w:r>
          </w:p>
        </w:tc>
        <w:tc>
          <w:tcPr/>
          <w:p>
            <w:pPr>
              <w:pStyle w:val="Compact"/>
            </w:pPr>
            <w:r>
              <w:t xml:space="preserve">Likert 1-5</w:t>
            </w:r>
          </w:p>
        </w:tc>
        <w:tc>
          <w:tcPr/>
          <w:p>
            <w:pPr>
              <w:pStyle w:val="Compact"/>
            </w:pPr>
            <w:r>
              <w:t xml:space="preserve">Conocimiento</w:t>
            </w:r>
          </w:p>
        </w:tc>
      </w:tr>
      <w:tr>
        <w:tc>
          <w:tcPr/>
          <w:p>
            <w:pPr>
              <w:pStyle w:val="Compact"/>
            </w:pPr>
            <w:r>
              <w:t xml:space="preserve">p17</w:t>
            </w:r>
          </w:p>
        </w:tc>
        <w:tc>
          <w:tcPr/>
          <w:p>
            <w:pPr>
              <w:pStyle w:val="Compact"/>
            </w:pPr>
            <w:r>
              <w:t xml:space="preserve">¿Ahorras fuera de las instituciones financieras (alcancía)?</w:t>
            </w:r>
          </w:p>
        </w:tc>
        <w:tc>
          <w:tcPr/>
          <w:p>
            <w:pPr>
              <w:pStyle w:val="Compact"/>
            </w:pPr>
            <w:r>
              <w:t xml:space="preserve">Dicotómica</w:t>
            </w:r>
          </w:p>
        </w:tc>
        <w:tc>
          <w:tcPr/>
          <w:p>
            <w:pPr>
              <w:pStyle w:val="Compact"/>
            </w:pPr>
            <w:r>
              <w:t xml:space="preserve">Comportamiento</w:t>
            </w:r>
          </w:p>
        </w:tc>
      </w:tr>
      <w:tr>
        <w:tc>
          <w:tcPr/>
          <w:p>
            <w:pPr>
              <w:pStyle w:val="Compact"/>
            </w:pPr>
            <w:r>
              <w:t xml:space="preserve">p18</w:t>
            </w:r>
          </w:p>
        </w:tc>
        <w:tc>
          <w:tcPr/>
          <w:p>
            <w:pPr>
              <w:pStyle w:val="Compact"/>
            </w:pPr>
            <w:r>
              <w:t xml:space="preserve">¿Cómo te gustaría que fueran las clases de educación financiera?</w:t>
            </w:r>
          </w:p>
        </w:tc>
        <w:tc>
          <w:tcPr/>
          <w:p>
            <w:pPr>
              <w:pStyle w:val="Compact"/>
            </w:pPr>
            <w:r>
              <w:t xml:space="preserve">Texto libre</w:t>
            </w:r>
          </w:p>
        </w:tc>
        <w:tc>
          <w:tcPr/>
          <w:p>
            <w:pPr>
              <w:pStyle w:val="Compact"/>
            </w:pPr>
            <w:r>
              <w:t xml:space="preserve">Cualitativa (preferencias)</w:t>
            </w:r>
          </w:p>
        </w:tc>
      </w:tr>
    </w:tbl>
    <w:p>
      <w:pPr>
        <w:pStyle w:val="BodyText"/>
      </w:pPr>
      <w:r>
        <w:t xml:space="preserve">En total el cuestionario contiene: 14 ítems Likert, 2 ítems dicotómicos, 1 opción múltiple y 1 pregunta abierta.</w:t>
      </w:r>
    </w:p>
    <w:bookmarkEnd w:id="15"/>
    <w:bookmarkEnd w:id="16"/>
    <w:bookmarkStart w:id="22" w:name="variables-y-operacionalización"/>
    <w:p>
      <w:pPr>
        <w:pStyle w:val="Heading2"/>
      </w:pPr>
      <w:r>
        <w:t xml:space="preserve">5. Variables y operacionalización</w:t>
      </w:r>
    </w:p>
    <w:p>
      <w:pPr>
        <w:pStyle w:val="FirstParagraph"/>
      </w:pPr>
      <w:r>
        <w:t xml:space="preserve">Siguiendo el marco de la OCDE/INFE (OECD, 2020; OECD, 2018), el nivel de educación financiera se operacionaliza mediante tres dimensiones independientes, cada una construida como un puntaje compuesto a partir de los ítems correspondientes.</w:t>
      </w:r>
    </w:p>
    <w:bookmarkStart w:id="17" w:name="variable-independiente"/>
    <w:p>
      <w:pPr>
        <w:pStyle w:val="Heading3"/>
      </w:pPr>
      <w:r>
        <w:t xml:space="preserve">5.1 Variable independiente</w:t>
      </w:r>
    </w:p>
    <w:p>
      <w:pPr>
        <w:pStyle w:val="Compact"/>
        <w:numPr>
          <w:ilvl w:val="0"/>
          <w:numId w:val="1004"/>
        </w:numPr>
      </w:pPr>
      <w:r>
        <w:rPr>
          <w:b/>
          <w:bCs/>
        </w:rPr>
        <w:t xml:space="preserve">Nivel educativo agrupado</w:t>
      </w:r>
      <w:r>
        <w:t xml:space="preserve"> </w:t>
      </w:r>
      <w:r>
        <w:t xml:space="preserve">(</w:t>
      </w:r>
      <w:r>
        <w:rPr>
          <w:rStyle w:val="VerbatimChar"/>
        </w:rPr>
        <w:t xml:space="preserve">nivel_agrupado</w:t>
      </w:r>
      <w:r>
        <w:t xml:space="preserve">): variable nominal dicotómica con valores</w:t>
      </w:r>
      <w:r>
        <w:t xml:space="preserve"> </w:t>
      </w:r>
      <w:r>
        <w:rPr>
          <w:i/>
          <w:iCs/>
        </w:rPr>
        <w:t xml:space="preserve">Secundaria</w:t>
      </w:r>
      <w:r>
        <w:t xml:space="preserve"> </w:t>
      </w:r>
      <w:r>
        <w:t xml:space="preserve">(incluye secundaria general y telesecundaria, n=319) y</w:t>
      </w:r>
      <w:r>
        <w:t xml:space="preserve"> </w:t>
      </w:r>
      <w:r>
        <w:rPr>
          <w:i/>
          <w:iCs/>
        </w:rPr>
        <w:t xml:space="preserve">Bachillerato</w:t>
      </w:r>
      <w:r>
        <w:t xml:space="preserve"> </w:t>
      </w:r>
      <w:r>
        <w:t xml:space="preserve">(preparatoria, n=337).</w:t>
      </w:r>
    </w:p>
    <w:bookmarkEnd w:id="17"/>
    <w:bookmarkStart w:id="18" w:name="Xc839faf5530e037bc6eab9deaab3c91dc095e97"/>
    <w:p>
      <w:pPr>
        <w:pStyle w:val="Heading3"/>
      </w:pPr>
      <w:r>
        <w:t xml:space="preserve">5.2 Variables dependientes (puntajes compuestos)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Dimensión</w:t>
            </w:r>
          </w:p>
        </w:tc>
        <w:tc>
          <w:tcPr/>
          <w:p>
            <w:pPr>
              <w:pStyle w:val="Compact"/>
            </w:pPr>
            <w:r>
              <w:t xml:space="preserve">Ítems</w:t>
            </w:r>
          </w:p>
        </w:tc>
        <w:tc>
          <w:tcPr/>
          <w:p>
            <w:pPr>
              <w:pStyle w:val="Compact"/>
            </w:pPr>
            <w:r>
              <w:t xml:space="preserve">Tipo de ítem</w:t>
            </w:r>
          </w:p>
        </w:tc>
        <w:tc>
          <w:tcPr/>
          <w:p>
            <w:pPr>
              <w:pStyle w:val="Compact"/>
            </w:pPr>
            <w:r>
              <w:t xml:space="preserve">Construcción del puntaje</w:t>
            </w:r>
          </w:p>
        </w:tc>
        <w:tc>
          <w:tcPr/>
          <w:p>
            <w:pPr>
              <w:pStyle w:val="Compact"/>
            </w:pPr>
            <w:r>
              <w:t xml:space="preserve">Rango</w:t>
            </w:r>
          </w:p>
        </w:tc>
      </w:tr>
      <w:tr>
        <w:tc>
          <w:tcPr/>
          <w:p>
            <w:pPr>
              <w:pStyle w:val="Compact"/>
            </w:pPr>
            <w:r>
              <w:rPr>
                <w:b/>
                <w:bCs/>
              </w:rPr>
              <w:t xml:space="preserve">Conocimiento financiero</w:t>
            </w:r>
          </w:p>
        </w:tc>
        <w:tc>
          <w:tcPr/>
          <w:p>
            <w:pPr>
              <w:pStyle w:val="Compact"/>
            </w:pPr>
            <w:r>
              <w:t xml:space="preserve">p06, p10, p11, p12, p13, p14, p15, p16 (8)</w:t>
            </w:r>
          </w:p>
        </w:tc>
        <w:tc>
          <w:tcPr/>
          <w:p>
            <w:pPr>
              <w:pStyle w:val="Compact"/>
            </w:pPr>
            <w:r>
              <w:t xml:space="preserve">Likert 1-5</w:t>
            </w:r>
          </w:p>
        </w:tc>
        <w:tc>
          <w:tcPr/>
          <w:p>
            <w:pPr>
              <w:pStyle w:val="Compact"/>
            </w:pPr>
            <w:r>
              <w:t xml:space="preserve">Media aritmética de los ítems disponibles</w:t>
            </w:r>
          </w:p>
        </w:tc>
        <w:tc>
          <w:tcPr/>
          <w:p>
            <w:pPr>
              <w:pStyle w:val="Compact"/>
            </w:pPr>
            <w:r>
              <w:t xml:space="preserve">1.00 - 5.00</w:t>
            </w:r>
          </w:p>
        </w:tc>
      </w:tr>
      <w:tr>
        <w:tc>
          <w:tcPr/>
          <w:p>
            <w:pPr>
              <w:pStyle w:val="Compact"/>
            </w:pPr>
            <w:r>
              <w:rPr>
                <w:b/>
                <w:bCs/>
              </w:rPr>
              <w:t xml:space="preserve">Actitud hacia la educación financiera</w:t>
            </w:r>
          </w:p>
        </w:tc>
        <w:tc>
          <w:tcPr/>
          <w:p>
            <w:pPr>
              <w:pStyle w:val="Compact"/>
            </w:pPr>
            <w:r>
              <w:t xml:space="preserve">p01, p02, p03, p04 (4)</w:t>
            </w:r>
          </w:p>
        </w:tc>
        <w:tc>
          <w:tcPr/>
          <w:p>
            <w:pPr>
              <w:pStyle w:val="Compact"/>
            </w:pPr>
            <w:r>
              <w:t xml:space="preserve">Likert 1-5</w:t>
            </w:r>
          </w:p>
        </w:tc>
        <w:tc>
          <w:tcPr/>
          <w:p>
            <w:pPr>
              <w:pStyle w:val="Compact"/>
            </w:pPr>
            <w:r>
              <w:t xml:space="preserve">Media aritmética de los ítems disponibles</w:t>
            </w:r>
          </w:p>
        </w:tc>
        <w:tc>
          <w:tcPr/>
          <w:p>
            <w:pPr>
              <w:pStyle w:val="Compact"/>
            </w:pPr>
            <w:r>
              <w:t xml:space="preserve">1.00 - 5.00</w:t>
            </w:r>
          </w:p>
        </w:tc>
      </w:tr>
      <w:tr>
        <w:tc>
          <w:tcPr/>
          <w:p>
            <w:pPr>
              <w:pStyle w:val="Compact"/>
            </w:pPr>
            <w:r>
              <w:rPr>
                <w:b/>
                <w:bCs/>
              </w:rPr>
              <w:t xml:space="preserve">Comportamiento financiero</w:t>
            </w:r>
          </w:p>
        </w:tc>
        <w:tc>
          <w:tcPr/>
          <w:p>
            <w:pPr>
              <w:pStyle w:val="Compact"/>
            </w:pPr>
            <w:r>
              <w:t xml:space="preserve">p07, p17 (dicotómicas recodificadas 0/1); p08 (Likert 1-5)</w:t>
            </w:r>
          </w:p>
        </w:tc>
        <w:tc>
          <w:tcPr/>
          <w:p>
            <w:pPr>
              <w:pStyle w:val="Compact"/>
            </w:pPr>
            <w:r>
              <w:t xml:space="preserve">Mixto</w:t>
            </w:r>
          </w:p>
        </w:tc>
        <w:tc>
          <w:tcPr/>
          <w:p>
            <w:pPr>
              <w:pStyle w:val="Compact"/>
            </w:pPr>
            <w:r>
              <w:t xml:space="preserve">Suma normalizada: (p07 + p08/5 + p17) / 3</w:t>
            </w:r>
          </w:p>
        </w:tc>
        <w:tc>
          <w:tcPr/>
          <w:p>
            <w:pPr>
              <w:pStyle w:val="Compact"/>
            </w:pPr>
            <w:r>
              <w:t xml:space="preserve">0.00 - 1.00</w:t>
            </w:r>
          </w:p>
        </w:tc>
      </w:tr>
    </w:tbl>
    <w:p>
      <w:pPr>
        <w:pStyle w:val="BodyText"/>
      </w:pPr>
      <w:r>
        <w:t xml:space="preserve">Interpretación: valores más altos en cada puntaje indican mayor nivel en la dimensión correspondiente.</w:t>
      </w:r>
    </w:p>
    <w:bookmarkEnd w:id="18"/>
    <w:bookmarkStart w:id="19" w:name="variables-de-control"/>
    <w:p>
      <w:pPr>
        <w:pStyle w:val="Heading3"/>
      </w:pPr>
      <w:r>
        <w:t xml:space="preserve">5.3 Variables de control</w:t>
      </w:r>
    </w:p>
    <w:p>
      <w:pPr>
        <w:pStyle w:val="Compact"/>
        <w:numPr>
          <w:ilvl w:val="0"/>
          <w:numId w:val="1005"/>
        </w:numPr>
      </w:pPr>
      <w:r>
        <w:rPr>
          <w:b/>
          <w:bCs/>
        </w:rPr>
        <w:t xml:space="preserve">Sexo</w:t>
      </w:r>
      <w:r>
        <w:t xml:space="preserve">: Hombre / Mujer.</w:t>
      </w:r>
    </w:p>
    <w:p>
      <w:pPr>
        <w:pStyle w:val="Compact"/>
        <w:numPr>
          <w:ilvl w:val="0"/>
          <w:numId w:val="1005"/>
        </w:numPr>
      </w:pPr>
      <w:r>
        <w:rPr>
          <w:b/>
          <w:bCs/>
        </w:rPr>
        <w:t xml:space="preserve">Edad</w:t>
      </w:r>
      <w:r>
        <w:t xml:space="preserve">: en años (12 a 17 mayoritarios; un caso de 51 años conservado por decisión).</w:t>
      </w:r>
    </w:p>
    <w:p>
      <w:pPr>
        <w:pStyle w:val="Compact"/>
        <w:numPr>
          <w:ilvl w:val="0"/>
          <w:numId w:val="1005"/>
        </w:numPr>
      </w:pPr>
      <w:r>
        <w:rPr>
          <w:b/>
          <w:bCs/>
        </w:rPr>
        <w:t xml:space="preserve">Tipo de escuela</w:t>
      </w:r>
      <w:r>
        <w:t xml:space="preserve">: Pública / Privada.</w:t>
      </w:r>
    </w:p>
    <w:p>
      <w:pPr>
        <w:pStyle w:val="Compact"/>
        <w:numPr>
          <w:ilvl w:val="0"/>
          <w:numId w:val="1005"/>
        </w:numPr>
      </w:pPr>
      <w:r>
        <w:rPr>
          <w:b/>
          <w:bCs/>
        </w:rPr>
        <w:t xml:space="preserve">Grado</w:t>
      </w:r>
      <w:r>
        <w:t xml:space="preserve">: 1 a 6 según el nivel.</w:t>
      </w:r>
    </w:p>
    <w:bookmarkEnd w:id="19"/>
    <w:bookmarkStart w:id="20" w:name="variable-cualitativa"/>
    <w:p>
      <w:pPr>
        <w:pStyle w:val="Heading3"/>
      </w:pPr>
      <w:r>
        <w:t xml:space="preserve">5.4 Variable cualitativa</w:t>
      </w:r>
    </w:p>
    <w:p>
      <w:pPr>
        <w:pStyle w:val="Compact"/>
        <w:numPr>
          <w:ilvl w:val="0"/>
          <w:numId w:val="1006"/>
        </w:numPr>
      </w:pPr>
      <w:r>
        <w:rPr>
          <w:b/>
          <w:bCs/>
        </w:rPr>
        <w:t xml:space="preserve">Preferencias formativas</w:t>
      </w:r>
      <w:r>
        <w:t xml:space="preserve"> </w:t>
      </w:r>
      <w:r>
        <w:t xml:space="preserve">(</w:t>
      </w:r>
      <w:r>
        <w:rPr>
          <w:rStyle w:val="VerbatimChar"/>
        </w:rPr>
        <w:t xml:space="preserve">p18_como_gustarian_clases</w:t>
      </w:r>
      <w:r>
        <w:t xml:space="preserve"> </w:t>
      </w:r>
      <w:r>
        <w:t xml:space="preserve">y</w:t>
      </w:r>
      <w:r>
        <w:t xml:space="preserve"> </w:t>
      </w:r>
      <w:r>
        <w:rPr>
          <w:rStyle w:val="VerbatimChar"/>
        </w:rPr>
        <w:t xml:space="preserve">p18_categoria</w:t>
      </w:r>
      <w:r>
        <w:t xml:space="preserve">): respuesta abierta categorizada en 7 grupos:</w:t>
      </w:r>
      <w:r>
        <w:t xml:space="preserve"> </w:t>
      </w:r>
      <w:r>
        <w:rPr>
          <w:i/>
          <w:iCs/>
        </w:rPr>
        <w:t xml:space="preserve">Interactivas</w:t>
      </w:r>
      <w:r>
        <w:t xml:space="preserve">,</w:t>
      </w:r>
      <w:r>
        <w:t xml:space="preserve"> </w:t>
      </w:r>
      <w:r>
        <w:rPr>
          <w:i/>
          <w:iCs/>
        </w:rPr>
        <w:t xml:space="preserve">Con expertos</w:t>
      </w:r>
      <w:r>
        <w:t xml:space="preserve">,</w:t>
      </w:r>
      <w:r>
        <w:t xml:space="preserve"> </w:t>
      </w:r>
      <w:r>
        <w:rPr>
          <w:i/>
          <w:iCs/>
        </w:rPr>
        <w:t xml:space="preserve">Explicaciones claras</w:t>
      </w:r>
      <w:r>
        <w:t xml:space="preserve">,</w:t>
      </w:r>
      <w:r>
        <w:t xml:space="preserve"> </w:t>
      </w:r>
      <w:r>
        <w:rPr>
          <w:i/>
          <w:iCs/>
        </w:rPr>
        <w:t xml:space="preserve">Con práctica</w:t>
      </w:r>
      <w:r>
        <w:t xml:space="preserve">,</w:t>
      </w:r>
      <w:r>
        <w:t xml:space="preserve"> </w:t>
      </w:r>
      <w:r>
        <w:rPr>
          <w:i/>
          <w:iCs/>
        </w:rPr>
        <w:t xml:space="preserve">En equipo</w:t>
      </w:r>
      <w:r>
        <w:t xml:space="preserve">,</w:t>
      </w:r>
      <w:r>
        <w:t xml:space="preserve"> </w:t>
      </w:r>
      <w:r>
        <w:rPr>
          <w:i/>
          <w:iCs/>
        </w:rPr>
        <w:t xml:space="preserve">Ahorro/inversión</w:t>
      </w:r>
      <w:r>
        <w:t xml:space="preserve"> </w:t>
      </w:r>
      <w:r>
        <w:t xml:space="preserve">y</w:t>
      </w:r>
      <w:r>
        <w:t xml:space="preserve"> </w:t>
      </w:r>
      <w:r>
        <w:rPr>
          <w:i/>
          <w:iCs/>
        </w:rPr>
        <w:t xml:space="preserve">Otro</w:t>
      </w:r>
      <w:r>
        <w:t xml:space="preserve">.</w:t>
      </w:r>
    </w:p>
    <w:bookmarkEnd w:id="20"/>
    <w:bookmarkStart w:id="21" w:name="X0391d4bf9fd81b68576d76944b00060ec2d17a0"/>
    <w:p>
      <w:pPr>
        <w:pStyle w:val="Heading3"/>
      </w:pPr>
      <w:r>
        <w:t xml:space="preserve">5.5 Ítems standalone (no se integran a puntajes compuestos)</w:t>
      </w:r>
    </w:p>
    <w:p>
      <w:pPr>
        <w:pStyle w:val="Compact"/>
        <w:numPr>
          <w:ilvl w:val="0"/>
          <w:numId w:val="1007"/>
        </w:numPr>
      </w:pPr>
      <w:r>
        <w:rPr>
          <w:b/>
          <w:bCs/>
        </w:rPr>
        <w:t xml:space="preserve">p05</w:t>
      </w:r>
      <w:r>
        <w:t xml:space="preserve"> </w:t>
      </w:r>
      <w:r>
        <w:t xml:space="preserve">(opción múltiple sobre definición de educación financiera): se analiza de forma independiente mediante frecuencias.</w:t>
      </w:r>
    </w:p>
    <w:p>
      <w:pPr>
        <w:pStyle w:val="Compact"/>
        <w:numPr>
          <w:ilvl w:val="0"/>
          <w:numId w:val="1007"/>
        </w:numPr>
      </w:pPr>
      <w:r>
        <w:rPr>
          <w:b/>
          <w:bCs/>
        </w:rPr>
        <w:t xml:space="preserve">p09</w:t>
      </w:r>
      <w:r>
        <w:t xml:space="preserve"> </w:t>
      </w:r>
      <w:r>
        <w:t xml:space="preserve">(opinión sobre crédito): se conserva como ítem Likert individual para análisis descriptivo.</w:t>
      </w:r>
    </w:p>
    <w:bookmarkEnd w:id="21"/>
    <w:bookmarkEnd w:id="22"/>
    <w:bookmarkStart w:id="23" w:name="X82c40de9e89fbc8b858a419f34f08dc2754549b"/>
    <w:p>
      <w:pPr>
        <w:pStyle w:val="Heading2"/>
      </w:pPr>
      <w:r>
        <w:t xml:space="preserve">6. Procedimiento de limpieza y preprocesamiento</w:t>
      </w:r>
    </w:p>
    <w:p>
      <w:pPr>
        <w:pStyle w:val="FirstParagraph"/>
      </w:pPr>
      <w:r>
        <w:t xml:space="preserve">La base original (</w:t>
      </w:r>
      <w:r>
        <w:rPr>
          <w:rStyle w:val="VerbatimChar"/>
        </w:rPr>
        <w:t xml:space="preserve">data/raw/data.csv</w:t>
      </w:r>
      <w:r>
        <w:t xml:space="preserve">) contenía 1036 filas y 32 columnas. El proceso de preprocesamiento se realizó en dos etapas automatizadas (scripts</w:t>
      </w:r>
      <w:r>
        <w:t xml:space="preserve"> </w:t>
      </w:r>
      <w:r>
        <w:rPr>
          <w:rStyle w:val="VerbatimChar"/>
        </w:rPr>
        <w:t xml:space="preserve">src/normalizar.py</w:t>
      </w:r>
      <w:r>
        <w:t xml:space="preserve"> </w:t>
      </w:r>
      <w:r>
        <w:t xml:space="preserve">y</w:t>
      </w:r>
      <w:r>
        <w:t xml:space="preserve"> </w:t>
      </w:r>
      <w:r>
        <w:rPr>
          <w:rStyle w:val="VerbatimChar"/>
        </w:rPr>
        <w:t xml:space="preserve">src/segunda_pasada.py</w:t>
      </w:r>
      <w:r>
        <w:t xml:space="preserve">) aplicando las siguientes decisiones: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Decisión</w:t>
            </w:r>
          </w:p>
        </w:tc>
        <w:tc>
          <w:tcPr/>
          <w:p>
            <w:pPr>
              <w:pStyle w:val="Compact"/>
            </w:pPr>
            <w:r>
              <w:t xml:space="preserve">Cantidad afectada</w:t>
            </w:r>
          </w:p>
        </w:tc>
        <w:tc>
          <w:tcPr/>
          <w:p>
            <w:pPr>
              <w:pStyle w:val="Compact"/>
            </w:pPr>
            <w:r>
              <w:t xml:space="preserve">Criterio</w:t>
            </w:r>
          </w:p>
        </w:tc>
      </w:tr>
      <w:tr>
        <w:tc>
          <w:tcPr/>
          <w:p>
            <w:pPr>
              <w:pStyle w:val="Compact"/>
            </w:pPr>
            <w:r>
              <w:t xml:space="preserve">1</w:t>
            </w:r>
          </w:p>
        </w:tc>
        <w:tc>
          <w:tcPr/>
          <w:p>
            <w:pPr>
              <w:pStyle w:val="Compact"/>
            </w:pPr>
            <w:r>
              <w:t xml:space="preserve">Eliminación de filas completamente vacías</w:t>
            </w:r>
          </w:p>
        </w:tc>
        <w:tc>
          <w:tcPr/>
          <w:p>
            <w:pPr>
              <w:pStyle w:val="Compact"/>
            </w:pPr>
            <w:r>
              <w:t xml:space="preserve">380 filas</w:t>
            </w:r>
          </w:p>
        </w:tc>
        <w:tc>
          <w:tcPr/>
          <w:p>
            <w:pPr>
              <w:pStyle w:val="Compact"/>
            </w:pPr>
            <w:r>
              <w:t xml:space="preserve">Cuestionarios sin responder</w:t>
            </w:r>
          </w:p>
        </w:tc>
      </w:tr>
      <w:tr>
        <w:tc>
          <w:tcPr/>
          <w:p>
            <w:pPr>
              <w:pStyle w:val="Compact"/>
            </w:pPr>
            <w:r>
              <w:t xml:space="preserve">2</w:t>
            </w:r>
          </w:p>
        </w:tc>
        <w:tc>
          <w:tcPr/>
          <w:p>
            <w:pPr>
              <w:pStyle w:val="Compact"/>
            </w:pPr>
            <w:r>
              <w:t xml:space="preserve">Eliminación de 3 columnas vacías finales</w:t>
            </w:r>
          </w:p>
        </w:tc>
        <w:tc>
          <w:tcPr/>
          <w:p>
            <w:pPr>
              <w:pStyle w:val="Compact"/>
            </w:pPr>
            <w:r>
              <w:t xml:space="preserve">3 columnas</w:t>
            </w:r>
          </w:p>
        </w:tc>
        <w:tc>
          <w:tcPr/>
          <w:p>
            <w:pPr>
              <w:pStyle w:val="Compact"/>
            </w:pPr>
            <w:r>
              <w:t xml:space="preserve">Sin información</w:t>
            </w:r>
          </w:p>
        </w:tc>
      </w:tr>
      <w:tr>
        <w:tc>
          <w:tcPr/>
          <w:p>
            <w:pPr>
              <w:pStyle w:val="Compact"/>
            </w:pPr>
            <w:r>
              <w:t xml:space="preserve">3</w:t>
            </w:r>
          </w:p>
        </w:tc>
        <w:tc>
          <w:tcPr/>
          <w:p>
            <w:pPr>
              <w:pStyle w:val="Compact"/>
            </w:pPr>
            <w:r>
              <w:t xml:space="preserve">Reparación de un valor de grado con artefacto</w:t>
            </w:r>
          </w:p>
        </w:tc>
        <w:tc>
          <w:tcPr/>
          <w:p>
            <w:pPr>
              <w:pStyle w:val="Compact"/>
            </w:pPr>
            <w:r>
              <w:t xml:space="preserve">1 caso</w:t>
            </w:r>
          </w:p>
        </w:tc>
        <w:tc>
          <w:tcPr/>
          <w:p>
            <w:pPr>
              <w:pStyle w:val="Compact"/>
            </w:pPr>
            <w:r>
              <w:rPr>
                <w:rStyle w:val="VerbatimChar"/>
              </w:rPr>
              <w:t xml:space="preserve">3B</w:t>
            </w:r>
            <w:r>
              <w:t xml:space="preserve"> </w:t>
            </w:r>
            <w:r>
              <w:t xml:space="preserve">→</w:t>
            </w:r>
            <w:r>
              <w:t xml:space="preserve"> </w:t>
            </w:r>
            <w:r>
              <w:rPr>
                <w:rStyle w:val="VerbatimChar"/>
              </w:rPr>
              <w:t xml:space="preserve">3</w:t>
            </w:r>
            <w:r>
              <w:t xml:space="preserve"> </w:t>
            </w:r>
            <w:r>
              <w:t xml:space="preserve">(B interpretado como el grupo)</w:t>
            </w:r>
          </w:p>
        </w:tc>
      </w:tr>
      <w:tr>
        <w:tc>
          <w:tcPr/>
          <w:p>
            <w:pPr>
              <w:pStyle w:val="Compact"/>
            </w:pPr>
            <w:r>
              <w:t xml:space="preserve">4</w:t>
            </w:r>
          </w:p>
        </w:tc>
        <w:tc>
          <w:tcPr/>
          <w:p>
            <w:pPr>
              <w:pStyle w:val="Compact"/>
            </w:pPr>
            <w:r>
              <w:t xml:space="preserve">Reemplazo de outliers Likert por NaN</w:t>
            </w:r>
          </w:p>
        </w:tc>
        <w:tc>
          <w:tcPr/>
          <w:p>
            <w:pPr>
              <w:pStyle w:val="Compact"/>
            </w:pPr>
            <w:r>
              <w:t xml:space="preserve">4 casos</w:t>
            </w:r>
          </w:p>
        </w:tc>
        <w:tc>
          <w:tcPr/>
          <w:p>
            <w:pPr>
              <w:pStyle w:val="Compact"/>
            </w:pPr>
            <w:r>
              <w:t xml:space="preserve">p06=54, p11=42, p12=55, p14=23 (fuera del rango 1-5)</w:t>
            </w:r>
          </w:p>
        </w:tc>
      </w:tr>
      <w:tr>
        <w:tc>
          <w:tcPr/>
          <w:p>
            <w:pPr>
              <w:pStyle w:val="Compact"/>
            </w:pPr>
            <w:r>
              <w:t xml:space="preserve">5</w:t>
            </w:r>
          </w:p>
        </w:tc>
        <w:tc>
          <w:tcPr/>
          <w:p>
            <w:pPr>
              <w:pStyle w:val="Compact"/>
            </w:pPr>
            <w:r>
              <w:t xml:space="preserve">Reemplazo de fecha con valor anómalo</w:t>
            </w:r>
          </w:p>
        </w:tc>
        <w:tc>
          <w:tcPr/>
          <w:p>
            <w:pPr>
              <w:pStyle w:val="Compact"/>
            </w:pPr>
            <w:r>
              <w:t xml:space="preserve">1 caso</w:t>
            </w:r>
          </w:p>
        </w:tc>
        <w:tc>
          <w:tcPr/>
          <w:p>
            <w:pPr>
              <w:pStyle w:val="Compact"/>
            </w:pPr>
            <w:r>
              <w:rPr>
                <w:rStyle w:val="VerbatimChar"/>
              </w:rPr>
              <w:t xml:space="preserve">3/1/1900</w:t>
            </w:r>
            <w:r>
              <w:t xml:space="preserve"> </w:t>
            </w:r>
            <w:r>
              <w:t xml:space="preserve">→</w:t>
            </w:r>
            <w:r>
              <w:t xml:space="preserve"> </w:t>
            </w:r>
            <w:r>
              <w:rPr>
                <w:rStyle w:val="VerbatimChar"/>
              </w:rPr>
              <w:t xml:space="preserve">6/3/2025</w:t>
            </w:r>
            <w:r>
              <w:t xml:space="preserve"> </w:t>
            </w:r>
            <w:r>
              <w:t xml:space="preserve">(moda de la escuela Salvador Esquer Apodaca)</w:t>
            </w:r>
          </w:p>
        </w:tc>
      </w:tr>
      <w:tr>
        <w:tc>
          <w:tcPr/>
          <w:p>
            <w:pPr>
              <w:pStyle w:val="Compact"/>
            </w:pPr>
            <w:r>
              <w:t xml:space="preserve">6</w:t>
            </w:r>
          </w:p>
        </w:tc>
        <w:tc>
          <w:tcPr/>
          <w:p>
            <w:pPr>
              <w:pStyle w:val="Compact"/>
            </w:pPr>
            <w:r>
              <w:t xml:space="preserve">Reinterpretación de</w:t>
            </w:r>
            <w:r>
              <w:t xml:space="preserve"> </w:t>
            </w:r>
            <w:r>
              <w:rPr>
                <w:rStyle w:val="VerbatimChar"/>
              </w:rPr>
              <w:t xml:space="preserve">c_negocio_familiar</w:t>
            </w:r>
          </w:p>
        </w:tc>
        <w:tc>
          <w:tcPr/>
          <w:p>
            <w:pPr>
              <w:pStyle w:val="Compact"/>
            </w:pPr>
            <w:r>
              <w:t xml:space="preserve">105 valores</w:t>
            </w:r>
          </w:p>
        </w:tc>
        <w:tc>
          <w:tcPr/>
          <w:p>
            <w:pPr>
              <w:pStyle w:val="Compact"/>
            </w:pPr>
            <w:r>
              <w:t xml:space="preserve">1 → Sí, 5 → No, valores de texto → Sí/No</w:t>
            </w:r>
          </w:p>
        </w:tc>
      </w:tr>
      <w:tr>
        <w:tc>
          <w:tcPr/>
          <w:p>
            <w:pPr>
              <w:pStyle w:val="Compact"/>
            </w:pPr>
            <w:r>
              <w:t xml:space="preserve">7</w:t>
            </w:r>
          </w:p>
        </w:tc>
        <w:tc>
          <w:tcPr/>
          <w:p>
            <w:pPr>
              <w:pStyle w:val="Compact"/>
            </w:pPr>
            <w:r>
              <w:t xml:space="preserve">Eliminación de la columna</w:t>
            </w:r>
            <w:r>
              <w:t xml:space="preserve"> </w:t>
            </w:r>
            <w:r>
              <w:rPr>
                <w:rStyle w:val="VerbatimChar"/>
              </w:rPr>
              <w:t xml:space="preserve">grupo</w:t>
            </w:r>
          </w:p>
        </w:tc>
        <w:tc>
          <w:tcPr/>
          <w:p>
            <w:pPr>
              <w:pStyle w:val="Compact"/>
            </w:pPr>
            <w:r>
              <w:t xml:space="preserve">1 columna</w:t>
            </w:r>
          </w:p>
        </w:tc>
        <w:tc>
          <w:tcPr/>
          <w:p>
            <w:pPr>
              <w:pStyle w:val="Compact"/>
            </w:pPr>
            <w:r>
              <w:t xml:space="preserve">Irrelevante para el análisis comparativo</w:t>
            </w:r>
          </w:p>
        </w:tc>
      </w:tr>
      <w:tr>
        <w:tc>
          <w:tcPr/>
          <w:p>
            <w:pPr>
              <w:pStyle w:val="Compact"/>
            </w:pPr>
            <w:r>
              <w:t xml:space="preserve">8</w:t>
            </w:r>
          </w:p>
        </w:tc>
        <w:tc>
          <w:tcPr/>
          <w:p>
            <w:pPr>
              <w:pStyle w:val="Compact"/>
            </w:pPr>
            <w:r>
              <w:t xml:space="preserve">Creación de</w:t>
            </w:r>
            <w:r>
              <w:t xml:space="preserve"> </w:t>
            </w:r>
            <w:r>
              <w:rPr>
                <w:rStyle w:val="VerbatimChar"/>
              </w:rPr>
              <w:t xml:space="preserve">nivel_agrupado</w:t>
            </w:r>
          </w:p>
        </w:tc>
        <w:tc>
          <w:tcPr/>
          <w:p>
            <w:pPr>
              <w:pStyle w:val="Compact"/>
            </w:pPr>
            <w:r>
              <w:t xml:space="preserve">1 columna nueva</w:t>
            </w:r>
          </w:p>
        </w:tc>
        <w:tc>
          <w:tcPr/>
          <w:p>
            <w:pPr>
              <w:pStyle w:val="Compact"/>
            </w:pPr>
            <w:r>
              <w:t xml:space="preserve">Agrupa Secundaria + Telesecundaria vs Preparatoria</w:t>
            </w:r>
          </w:p>
        </w:tc>
      </w:tr>
      <w:tr>
        <w:tc>
          <w:tcPr/>
          <w:p>
            <w:pPr>
              <w:pStyle w:val="Compact"/>
            </w:pPr>
            <w:r>
              <w:t xml:space="preserve">9</w:t>
            </w:r>
          </w:p>
        </w:tc>
        <w:tc>
          <w:tcPr/>
          <w:p>
            <w:pPr>
              <w:pStyle w:val="Compact"/>
            </w:pPr>
            <w:r>
              <w:t xml:space="preserve">Creación de</w:t>
            </w:r>
            <w:r>
              <w:t xml:space="preserve"> </w:t>
            </w:r>
            <w:r>
              <w:rPr>
                <w:rStyle w:val="VerbatimChar"/>
              </w:rPr>
              <w:t xml:space="preserve">p18_categoria</w:t>
            </w:r>
          </w:p>
        </w:tc>
        <w:tc>
          <w:tcPr/>
          <w:p>
            <w:pPr>
              <w:pStyle w:val="Compact"/>
            </w:pPr>
            <w:r>
              <w:t xml:space="preserve">1 columna nueva</w:t>
            </w:r>
          </w:p>
        </w:tc>
        <w:tc>
          <w:tcPr/>
          <w:p>
            <w:pPr>
              <w:pStyle w:val="Compact"/>
            </w:pPr>
            <w:r>
              <w:t xml:space="preserve">7 grupos a partir de las 34 respuestas verbatim</w:t>
            </w:r>
          </w:p>
        </w:tc>
      </w:tr>
    </w:tbl>
    <w:p>
      <w:pPr>
        <w:pStyle w:val="BodyText"/>
      </w:pPr>
      <w:r>
        <w:t xml:space="preserve">Resultado: base final</w:t>
      </w:r>
      <w:r>
        <w:t xml:space="preserve"> </w:t>
      </w:r>
      <w:r>
        <w:rPr>
          <w:rStyle w:val="VerbatimChar"/>
        </w:rPr>
        <w:t xml:space="preserve">data/processed/data_analisis.csv</w:t>
      </w:r>
      <w:r>
        <w:t xml:space="preserve"> </w:t>
      </w:r>
      <w:r>
        <w:t xml:space="preserve">con 656 filas y 30 columnas, sin valores perdidos críticos para el análisis. El detalle auditable de cada transformación se conserva en</w:t>
      </w:r>
      <w:r>
        <w:t xml:space="preserve"> </w:t>
      </w:r>
      <w:r>
        <w:rPr>
          <w:rStyle w:val="VerbatimChar"/>
        </w:rPr>
        <w:t xml:space="preserve">transformaciones_log.csv</w:t>
      </w:r>
      <w:r>
        <w:t xml:space="preserve"> </w:t>
      </w:r>
      <w:r>
        <w:t xml:space="preserve">(en esta misma carpeta</w:t>
      </w:r>
      <w:r>
        <w:t xml:space="preserve"> </w:t>
      </w:r>
      <w:r>
        <w:rPr>
          <w:rStyle w:val="VerbatimChar"/>
        </w:rPr>
        <w:t xml:space="preserve">docs/</w:t>
      </w:r>
      <w:r>
        <w:t xml:space="preserve">).</w:t>
      </w:r>
    </w:p>
    <w:bookmarkEnd w:id="23"/>
    <w:bookmarkStart w:id="29" w:name="análisis-estadístico"/>
    <w:p>
      <w:pPr>
        <w:pStyle w:val="Heading2"/>
      </w:pPr>
      <w:r>
        <w:t xml:space="preserve">7. Análisis estadístico</w:t>
      </w:r>
    </w:p>
    <w:p>
      <w:pPr>
        <w:pStyle w:val="FirstParagraph"/>
      </w:pPr>
      <w:r>
        <w:t xml:space="preserve">El análisis se desarrolla en cinco etapas, alineadas con prácticas reportadas en estudios similares de educación financiera en adolescentes (New Taipei City, 2019; BBVA Edufin, 2022; FLSADO, 2025) y con el marco de la OCDE/INFE (2020).</w:t>
      </w:r>
    </w:p>
    <w:bookmarkStart w:id="24" w:name="estadística-descriptiva"/>
    <w:p>
      <w:pPr>
        <w:pStyle w:val="Heading3"/>
      </w:pPr>
      <w:r>
        <w:t xml:space="preserve">7.1 Estadística descriptiva</w:t>
      </w:r>
    </w:p>
    <w:p>
      <w:pPr>
        <w:pStyle w:val="FirstParagraph"/>
      </w:pPr>
      <w:r>
        <w:t xml:space="preserve">Se obtienen frecuencias absolutas y relativas, así como la moda como medida de tendencia central, para todos los ítems del cuestionario. Se elaboran tablas cruzadas por</w:t>
      </w:r>
      <w:r>
        <w:t xml:space="preserve"> </w:t>
      </w:r>
      <w:r>
        <w:rPr>
          <w:rStyle w:val="VerbatimChar"/>
        </w:rPr>
        <w:t xml:space="preserve">nivel_agrupado</w:t>
      </w:r>
      <w:r>
        <w:t xml:space="preserve"> </w:t>
      </w:r>
      <w:r>
        <w:t xml:space="preserve">(Secundaria vs Bachillerato) para cada variable de interés. Este análisis permite caracterizar la muestra y detectar tendencias generales.</w:t>
      </w:r>
    </w:p>
    <w:bookmarkEnd w:id="24"/>
    <w:bookmarkStart w:id="25" w:name="consistencia-interna-alfa-de-cronbach"/>
    <w:p>
      <w:pPr>
        <w:pStyle w:val="Heading3"/>
      </w:pPr>
      <w:r>
        <w:t xml:space="preserve">7.2 Consistencia interna — Alfa de Cronbach</w:t>
      </w:r>
    </w:p>
    <w:p>
      <w:pPr>
        <w:pStyle w:val="FirstParagraph"/>
      </w:pPr>
      <w:r>
        <w:t xml:space="preserve">Se evalúa la fiabilidad del instrumento mediante el coeficiente Alfa de Cronbach:</w:t>
      </w:r>
    </w:p>
    <w:p>
      <w:pPr>
        <w:pStyle w:val="Compact"/>
        <w:numPr>
          <w:ilvl w:val="0"/>
          <w:numId w:val="1008"/>
        </w:numPr>
      </w:pPr>
      <w:r>
        <w:rPr>
          <w:b/>
          <w:bCs/>
        </w:rPr>
        <w:t xml:space="preserve">Alfa global</w:t>
      </w:r>
      <w:r>
        <w:t xml:space="preserve">: sobre los 14 ítems Likert (p01, p02, p03, p04, p06, p08, p09, p10, p11, p12, p13, p14, p15, p16).</w:t>
      </w:r>
    </w:p>
    <w:p>
      <w:pPr>
        <w:pStyle w:val="Compact"/>
        <w:numPr>
          <w:ilvl w:val="0"/>
          <w:numId w:val="1008"/>
        </w:numPr>
      </w:pPr>
      <w:r>
        <w:rPr>
          <w:b/>
          <w:bCs/>
        </w:rPr>
        <w:t xml:space="preserve">Alfa por subescala</w:t>
      </w:r>
      <w:r>
        <w:t xml:space="preserve">:</w:t>
      </w:r>
    </w:p>
    <w:p>
      <w:pPr>
        <w:pStyle w:val="Compact"/>
        <w:numPr>
          <w:ilvl w:val="1"/>
          <w:numId w:val="1009"/>
        </w:numPr>
      </w:pPr>
      <w:r>
        <w:t xml:space="preserve">Conocimiento: 8 ítems (p06, p10, p11, p12, p13, p14, p15, p16).</w:t>
      </w:r>
    </w:p>
    <w:p>
      <w:pPr>
        <w:pStyle w:val="Compact"/>
        <w:numPr>
          <w:ilvl w:val="1"/>
          <w:numId w:val="1009"/>
        </w:numPr>
      </w:pPr>
      <w:r>
        <w:t xml:space="preserve">Actitud: 4 ítems (p01, p02, p03, p04).</w:t>
      </w:r>
    </w:p>
    <w:p>
      <w:pPr>
        <w:pStyle w:val="Compact"/>
        <w:numPr>
          <w:ilvl w:val="1"/>
          <w:numId w:val="1009"/>
        </w:numPr>
      </w:pPr>
      <w:r>
        <w:t xml:space="preserve">Comportamiento: no se calcula alfa por tener un solo ítem Likert (p08).</w:t>
      </w:r>
    </w:p>
    <w:p>
      <w:pPr>
        <w:pStyle w:val="FirstParagraph"/>
      </w:pPr>
      <w:r>
        <w:t xml:space="preserve">Umbral de aceptación: α ≥ 0.70 para estudios exploratorios y diagnósticos (Tavakol &amp; Dennick, 2011). Si algún alfa resultara inferior, se documenta el hallazgo y se identifican los ítems con correlaciones ítem-total más bajas para revisión.</w:t>
      </w:r>
    </w:p>
    <w:bookmarkEnd w:id="25"/>
    <w:bookmarkStart w:id="26" w:name="Xe6bbaa156d1a4c9e7b492f64c6dceeeeead2150"/>
    <w:p>
      <w:pPr>
        <w:pStyle w:val="Heading3"/>
      </w:pPr>
      <w:r>
        <w:t xml:space="preserve">7.3 Concordancia de patrones — Test de Friedman</w:t>
      </w:r>
    </w:p>
    <w:p>
      <w:pPr>
        <w:pStyle w:val="FirstParagraph"/>
      </w:pPr>
      <w:r>
        <w:t xml:space="preserve">La metodología original propuso el Coeficiente W de Kendall. Sin embargo, este estadístico mide el grado de concordancia entre múltiples evaluadores que califican los mismos objetos, condición que no se cumple en este estudio: cada estudiante es un único respondedor (auto-reporte), no hay múltiples jueces. Por lo tanto, W de Kendall no es aplicable al diseño.</w:t>
      </w:r>
    </w:p>
    <w:p>
      <w:pPr>
        <w:pStyle w:val="BodyText"/>
      </w:pPr>
      <w:r>
        <w:t xml:space="preserve">En su lugar se aplica el</w:t>
      </w:r>
      <w:r>
        <w:t xml:space="preserve"> </w:t>
      </w:r>
      <w:r>
        <w:rPr>
          <w:b/>
          <w:bCs/>
        </w:rPr>
        <w:t xml:space="preserve">Test de Friedman</w:t>
      </w:r>
      <w:r>
        <w:t xml:space="preserve">, que es la prueba equivalente para muestras relacionadas y evalúa si los 14 ítems Likert presentan distribuciones similares dentro de cada respondedor. Se aplica por separado para los grupos Secundaria y Bachillerato. Un valor p significativo indica que al menos un ítem difiere sistemáticamente del resto.</w:t>
      </w:r>
    </w:p>
    <w:bookmarkEnd w:id="26"/>
    <w:bookmarkStart w:id="27" w:name="prueba-de-hipótesis-u-de-mann-whitney"/>
    <w:p>
      <w:pPr>
        <w:pStyle w:val="Heading3"/>
      </w:pPr>
      <w:r>
        <w:t xml:space="preserve">7.4 Prueba de hipótesis — U de Mann-Whitney</w:t>
      </w:r>
    </w:p>
    <w:p>
      <w:pPr>
        <w:pStyle w:val="FirstParagraph"/>
      </w:pPr>
      <w:r>
        <w:t xml:space="preserve">Para verificar la hipótesis de diferencias entre niveles educativos se aplica la prueba no paramétrica U de Mann-Whitney, adecuada para comparar distribuciones de variables ordinales o con supuestos de normalidad no cumplidos (Siegel &amp; Castellan, 1988).</w:t>
      </w:r>
    </w:p>
    <w:p>
      <w:pPr>
        <w:pStyle w:val="Compact"/>
        <w:numPr>
          <w:ilvl w:val="0"/>
          <w:numId w:val="1010"/>
        </w:numPr>
      </w:pPr>
      <w:r>
        <w:rPr>
          <w:b/>
          <w:bCs/>
        </w:rPr>
        <w:t xml:space="preserve">Hipótesis nula (H₀)</w:t>
      </w:r>
      <w:r>
        <w:t xml:space="preserve">: las distribuciones de los puntajes son iguales entre estudiantes de secundaria y bachillerato.</w:t>
      </w:r>
    </w:p>
    <w:p>
      <w:pPr>
        <w:pStyle w:val="Compact"/>
        <w:numPr>
          <w:ilvl w:val="0"/>
          <w:numId w:val="1010"/>
        </w:numPr>
      </w:pPr>
      <w:r>
        <w:rPr>
          <w:b/>
          <w:bCs/>
        </w:rPr>
        <w:t xml:space="preserve">Hipótesis alternativa (H₁)</w:t>
      </w:r>
      <w:r>
        <w:t xml:space="preserve">: las distribuciones de los puntajes difieren entre los dos grupos.</w:t>
      </w:r>
    </w:p>
    <w:p>
      <w:pPr>
        <w:pStyle w:val="Compact"/>
        <w:numPr>
          <w:ilvl w:val="0"/>
          <w:numId w:val="1010"/>
        </w:numPr>
      </w:pPr>
      <w:r>
        <w:rPr>
          <w:b/>
          <w:bCs/>
        </w:rPr>
        <w:t xml:space="preserve">Nivel de significancia</w:t>
      </w:r>
      <w:r>
        <w:t xml:space="preserve">: α = 0.05.</w:t>
      </w:r>
    </w:p>
    <w:p>
      <w:pPr>
        <w:pStyle w:val="Compact"/>
        <w:numPr>
          <w:ilvl w:val="0"/>
          <w:numId w:val="1010"/>
        </w:numPr>
      </w:pPr>
      <w:r>
        <w:rPr>
          <w:b/>
          <w:bCs/>
        </w:rPr>
        <w:t xml:space="preserve">Tipo de prueba</w:t>
      </w:r>
      <w:r>
        <w:t xml:space="preserve">: dos colas (conservadora, defendible para un estudio descriptivo-comparativo exploratorio).</w:t>
      </w:r>
    </w:p>
    <w:p>
      <w:pPr>
        <w:pStyle w:val="Compact"/>
        <w:numPr>
          <w:ilvl w:val="0"/>
          <w:numId w:val="1010"/>
        </w:numPr>
      </w:pPr>
      <w:r>
        <w:rPr>
          <w:b/>
          <w:bCs/>
        </w:rPr>
        <w:t xml:space="preserve">Aplicación</w:t>
      </w:r>
      <w:r>
        <w:t xml:space="preserve">: a cada uno de los tres puntajes compuestos (Conocimiento, Comportamiento, Actitud).</w:t>
      </w:r>
    </w:p>
    <w:p>
      <w:pPr>
        <w:pStyle w:val="FirstParagraph"/>
      </w:pPr>
      <w:r>
        <w:t xml:space="preserve">Se reporta el estadístico U, el valor p y, como medida de tamaño del efecto, la r de Rosenthal (r = Z / √N).</w:t>
      </w:r>
    </w:p>
    <w:bookmarkEnd w:id="27"/>
    <w:bookmarkStart w:id="28" w:name="X03a7c36e30d7fa636495258ef423a3c8991353a"/>
    <w:p>
      <w:pPr>
        <w:pStyle w:val="Heading3"/>
      </w:pPr>
      <w:r>
        <w:t xml:space="preserve">7.5 Análisis cualitativo de preferencias formativas (P18)</w:t>
      </w:r>
    </w:p>
    <w:p>
      <w:pPr>
        <w:pStyle w:val="FirstParagraph"/>
      </w:pPr>
      <w:r>
        <w:t xml:space="preserve">La pregunta abierta se analiza en dos niveles:</w:t>
      </w:r>
    </w:p>
    <w:p>
      <w:pPr>
        <w:pStyle w:val="Compact"/>
        <w:numPr>
          <w:ilvl w:val="0"/>
          <w:numId w:val="1011"/>
        </w:numPr>
      </w:pPr>
      <w:r>
        <w:rPr>
          <w:b/>
          <w:bCs/>
        </w:rPr>
        <w:t xml:space="preserve">Frecuencias de p18_categoria</w:t>
      </w:r>
      <w:r>
        <w:t xml:space="preserve">: tabla de frecuencias absolutas y relativas para los 7 grupos.</w:t>
      </w:r>
    </w:p>
    <w:p>
      <w:pPr>
        <w:pStyle w:val="Compact"/>
        <w:numPr>
          <w:ilvl w:val="0"/>
          <w:numId w:val="1011"/>
        </w:numPr>
      </w:pPr>
      <w:r>
        <w:rPr>
          <w:b/>
          <w:bCs/>
        </w:rPr>
        <w:t xml:space="preserve">Listado verbatim</w:t>
      </w:r>
      <w:r>
        <w:t xml:space="preserve">: tabla con las 34 respuestas textuales y su frecuencia de aparición.</w:t>
      </w:r>
    </w:p>
    <w:p>
      <w:pPr>
        <w:pStyle w:val="Compact"/>
        <w:numPr>
          <w:ilvl w:val="0"/>
          <w:numId w:val="1011"/>
        </w:numPr>
      </w:pPr>
      <w:r>
        <w:rPr>
          <w:b/>
          <w:bCs/>
        </w:rPr>
        <w:t xml:space="preserve">Citas representativas</w:t>
      </w:r>
      <w:r>
        <w:t xml:space="preserve">: se seleccionan 2 a 3 citas textuales de los grupos con mayor frecuencia para ilustrar cualitativamente las preferencias de los estudiantes.</w:t>
      </w:r>
    </w:p>
    <w:bookmarkEnd w:id="28"/>
    <w:bookmarkEnd w:id="29"/>
    <w:bookmarkStart w:id="32" w:name="software"/>
    <w:p>
      <w:pPr>
        <w:pStyle w:val="Heading2"/>
      </w:pPr>
      <w:r>
        <w:t xml:space="preserve">8. Software</w:t>
      </w:r>
    </w:p>
    <w:p>
      <w:pPr>
        <w:pStyle w:val="FirstParagraph"/>
      </w:pPr>
      <w:r>
        <w:t xml:space="preserve">El análisis estadístico se realiza en el programa</w:t>
      </w:r>
      <w:r>
        <w:t xml:space="preserve"> </w:t>
      </w:r>
      <w:r>
        <w:rPr>
          <w:i/>
          <w:iCs/>
        </w:rPr>
        <w:t xml:space="preserve">Statistical Package for the Social Sciences</w:t>
      </w:r>
      <w:r>
        <w:t xml:space="preserve"> </w:t>
      </w:r>
      <w:r>
        <w:t xml:space="preserve">(SPSS) v.26 o superior, software de referencia en ciencias sociales que permite ejecutar las pruebas descritas de manera directa.</w:t>
      </w:r>
    </w:p>
    <w:bookmarkStart w:id="30" w:name="importación-del-dataset"/>
    <w:p>
      <w:pPr>
        <w:pStyle w:val="Heading3"/>
      </w:pPr>
      <w:r>
        <w:t xml:space="preserve">8.1 Importación del dataset</w:t>
      </w:r>
    </w:p>
    <w:p>
      <w:pPr>
        <w:pStyle w:val="Compact"/>
        <w:numPr>
          <w:ilvl w:val="0"/>
          <w:numId w:val="1012"/>
        </w:numPr>
      </w:pPr>
      <w:r>
        <w:t xml:space="preserve">Archivo de entrada:</w:t>
      </w:r>
      <w:r>
        <w:t xml:space="preserve"> </w:t>
      </w:r>
      <w:r>
        <w:rPr>
          <w:rStyle w:val="VerbatimChar"/>
        </w:rPr>
        <w:t xml:space="preserve">data/processed/data_analisis.csv</w:t>
      </w:r>
      <w:r>
        <w:t xml:space="preserve"> </w:t>
      </w:r>
      <w:r>
        <w:t xml:space="preserve">con separador</w:t>
      </w:r>
      <w:r>
        <w:t xml:space="preserve"> </w:t>
      </w:r>
      <w:r>
        <w:rPr>
          <w:rStyle w:val="VerbatimChar"/>
        </w:rPr>
        <w:t xml:space="preserve">;</w:t>
      </w:r>
      <w:r>
        <w:t xml:space="preserve"> </w:t>
      </w:r>
      <w:r>
        <w:t xml:space="preserve">y codificación UTF-8.</w:t>
      </w:r>
    </w:p>
    <w:p>
      <w:pPr>
        <w:pStyle w:val="Compact"/>
        <w:numPr>
          <w:ilvl w:val="0"/>
          <w:numId w:val="1012"/>
        </w:numPr>
      </w:pPr>
      <w:r>
        <w:t xml:space="preserve">En SPSS:</w:t>
      </w:r>
      <w:r>
        <w:t xml:space="preserve"> </w:t>
      </w:r>
      <w:r>
        <w:rPr>
          <w:i/>
          <w:iCs/>
        </w:rPr>
        <w:t xml:space="preserve">Archivo &gt; Importar datos &gt; Datos de texto</w:t>
      </w:r>
      <w:r>
        <w:t xml:space="preserve"> </w:t>
      </w:r>
      <w:r>
        <w:t xml:space="preserve">y seguir el asistente definiendo el delimitador.</w:t>
      </w:r>
    </w:p>
    <w:bookmarkEnd w:id="30"/>
    <w:bookmarkStart w:id="31" w:name="sintaxis-spss-sugerida"/>
    <w:p>
      <w:pPr>
        <w:pStyle w:val="Heading3"/>
      </w:pPr>
      <w:r>
        <w:t xml:space="preserve">8.2 Sintaxis SPSS sugerida</w:t>
      </w:r>
    </w:p>
    <w:p>
      <w:pPr>
        <w:pStyle w:val="SourceCode"/>
      </w:pPr>
      <w:r>
        <w:rPr>
          <w:rStyle w:val="VerbatimChar"/>
        </w:rPr>
        <w:t xml:space="preserve">FREQUENCIES VARIABLES=p01 p02 p03 p04 p06 p08 p09 p10 p11 p12 p13 p14 p15 p16 p18_categoria</w:t>
      </w:r>
      <w:r>
        <w:br/>
      </w:r>
      <w:r>
        <w:rPr>
          <w:rStyle w:val="VerbatimChar"/>
        </w:rPr>
        <w:t xml:space="preserve">  /ORDER=ANALYSIS.</w:t>
      </w:r>
      <w:r>
        <w:br/>
      </w:r>
      <w:r>
        <w:br/>
      </w:r>
      <w:r>
        <w:rPr>
          <w:rStyle w:val="VerbatimChar"/>
        </w:rPr>
        <w:t xml:space="preserve">RELIABILITY</w:t>
      </w:r>
      <w:r>
        <w:br/>
      </w:r>
      <w:r>
        <w:rPr>
          <w:rStyle w:val="VerbatimChar"/>
        </w:rPr>
        <w:t xml:space="preserve">  /VARIABLES=p01 p02 p03 p04 p06 p08 p09 p10 p11 p12 p13 p14 p15 p16</w:t>
      </w:r>
      <w:r>
        <w:br/>
      </w:r>
      <w:r>
        <w:rPr>
          <w:rStyle w:val="VerbatimChar"/>
        </w:rPr>
        <w:t xml:space="preserve">  /SCALE('TODOS_LOS_LIKERT') ALL</w:t>
      </w:r>
      <w:r>
        <w:br/>
      </w:r>
      <w:r>
        <w:rPr>
          <w:rStyle w:val="VerbatimChar"/>
        </w:rPr>
        <w:t xml:space="preserve">  /MODEL=ALPHA.</w:t>
      </w:r>
      <w:r>
        <w:br/>
      </w:r>
      <w:r>
        <w:br/>
      </w:r>
      <w:r>
        <w:rPr>
          <w:rStyle w:val="VerbatimChar"/>
        </w:rPr>
        <w:t xml:space="preserve">RELIABILITY</w:t>
      </w:r>
      <w:r>
        <w:br/>
      </w:r>
      <w:r>
        <w:rPr>
          <w:rStyle w:val="VerbatimChar"/>
        </w:rPr>
        <w:t xml:space="preserve">  /VARIABLES=p06 p10 p11 p12 p13 p14 p15 p16</w:t>
      </w:r>
      <w:r>
        <w:br/>
      </w:r>
      <w:r>
        <w:rPr>
          <w:rStyle w:val="VerbatimChar"/>
        </w:rPr>
        <w:t xml:space="preserve">  /SCALE('CONOCIMIENTO') ALL</w:t>
      </w:r>
      <w:r>
        <w:br/>
      </w:r>
      <w:r>
        <w:rPr>
          <w:rStyle w:val="VerbatimChar"/>
        </w:rPr>
        <w:t xml:space="preserve">  /MODEL=ALPHA.</w:t>
      </w:r>
      <w:r>
        <w:br/>
      </w:r>
      <w:r>
        <w:br/>
      </w:r>
      <w:r>
        <w:rPr>
          <w:rStyle w:val="VerbatimChar"/>
        </w:rPr>
        <w:t xml:space="preserve">RELIABILITY</w:t>
      </w:r>
      <w:r>
        <w:br/>
      </w:r>
      <w:r>
        <w:rPr>
          <w:rStyle w:val="VerbatimChar"/>
        </w:rPr>
        <w:t xml:space="preserve">  /VARIABLES=p01 p02 p03 p04</w:t>
      </w:r>
      <w:r>
        <w:br/>
      </w:r>
      <w:r>
        <w:rPr>
          <w:rStyle w:val="VerbatimChar"/>
        </w:rPr>
        <w:t xml:space="preserve">  /SCALE('ACTITUD') ALL</w:t>
      </w:r>
      <w:r>
        <w:br/>
      </w:r>
      <w:r>
        <w:rPr>
          <w:rStyle w:val="VerbatimChar"/>
        </w:rPr>
        <w:t xml:space="preserve">  /MODEL=ALPHA.</w:t>
      </w:r>
      <w:r>
        <w:br/>
      </w:r>
      <w:r>
        <w:br/>
      </w:r>
      <w:r>
        <w:rPr>
          <w:rStyle w:val="VerbatimChar"/>
        </w:rPr>
        <w:t xml:space="preserve">NPAR TESTS</w:t>
      </w:r>
      <w:r>
        <w:br/>
      </w:r>
      <w:r>
        <w:rPr>
          <w:rStyle w:val="VerbatimChar"/>
        </w:rPr>
        <w:t xml:space="preserve">  /FRIEDMAN=p01 p02 p03 p04 p06 p08 p09 p10 p11 p12 p13 p14 p15 p16 WITH nivel_agrupado(1)</w:t>
      </w:r>
      <w:r>
        <w:br/>
      </w:r>
      <w:r>
        <w:rPr>
          <w:rStyle w:val="VerbatimChar"/>
        </w:rPr>
        <w:t xml:space="preserve">  /MISSING ANALYSIS.</w:t>
      </w:r>
      <w:r>
        <w:br/>
      </w:r>
      <w:r>
        <w:br/>
      </w:r>
      <w:r>
        <w:rPr>
          <w:rStyle w:val="VerbatimChar"/>
        </w:rPr>
        <w:t xml:space="preserve">NPAR TESTS</w:t>
      </w:r>
      <w:r>
        <w:br/>
      </w:r>
      <w:r>
        <w:rPr>
          <w:rStyle w:val="VerbatimChar"/>
        </w:rPr>
        <w:t xml:space="preserve">  /M-W= puntaje_conocimiento puntaje_actitud puntaje_comportamiento BY nivel_agrupado(1 2)</w:t>
      </w:r>
      <w:r>
        <w:br/>
      </w:r>
      <w:r>
        <w:rPr>
          <w:rStyle w:val="VerbatimChar"/>
        </w:rPr>
        <w:t xml:space="preserve">  /MISSING ANALYSIS.</w:t>
      </w:r>
    </w:p>
    <w:p>
      <w:pPr>
        <w:pStyle w:val="FirstParagraph"/>
      </w:pPr>
      <w:r>
        <w:t xml:space="preserve">(Los puntajes compuestos se calculan previamente con</w:t>
      </w:r>
      <w:r>
        <w:t xml:space="preserve"> </w:t>
      </w:r>
      <w:r>
        <w:rPr>
          <w:rStyle w:val="VerbatimChar"/>
        </w:rPr>
        <w:t xml:space="preserve">COMPUTE</w:t>
      </w:r>
      <w:r>
        <w:t xml:space="preserve"> </w:t>
      </w:r>
      <w:r>
        <w:t xml:space="preserve">o</w:t>
      </w:r>
      <w:r>
        <w:t xml:space="preserve"> </w:t>
      </w:r>
      <w:r>
        <w:rPr>
          <w:rStyle w:val="VerbatimChar"/>
        </w:rPr>
        <w:t xml:space="preserve">AGGREGATE</w:t>
      </w:r>
      <w:r>
        <w:t xml:space="preserve"> </w:t>
      </w:r>
      <w:r>
        <w:t xml:space="preserve">a partir de los ítems de cada dimensión según la operacionalización de la sección 5.)</w:t>
      </w:r>
    </w:p>
    <w:p>
      <w:pPr>
        <w:pStyle w:val="BodyText"/>
      </w:pPr>
      <w:r>
        <w:t xml:space="preserve">Como alternativa de respaldo, los análisis pueden replicarse en Python (pandas + scipy.stats) si SPSS no estuviera disponible.</w:t>
      </w:r>
    </w:p>
    <w:bookmarkEnd w:id="31"/>
    <w:bookmarkEnd w:id="32"/>
    <w:bookmarkStart w:id="33" w:name="consideraciones-éticas"/>
    <w:p>
      <w:pPr>
        <w:pStyle w:val="Heading2"/>
      </w:pPr>
      <w:r>
        <w:t xml:space="preserve">9. Consideraciones éticas</w:t>
      </w:r>
    </w:p>
    <w:p>
      <w:pPr>
        <w:pStyle w:val="FirstParagraph"/>
      </w:pPr>
      <w:r>
        <w:t xml:space="preserve">La investigación se realizó siguiendo principios éticos básicos de investigación con seres humanos:</w:t>
      </w:r>
    </w:p>
    <w:p>
      <w:pPr>
        <w:pStyle w:val="Compact"/>
        <w:numPr>
          <w:ilvl w:val="0"/>
          <w:numId w:val="1013"/>
        </w:numPr>
      </w:pPr>
      <w:r>
        <w:rPr>
          <w:b/>
          <w:bCs/>
        </w:rPr>
        <w:t xml:space="preserve">Participación voluntaria</w:t>
      </w:r>
      <w:r>
        <w:t xml:space="preserve">: los estudiantes respondieron el cuestionario de forma libre, sin coerción.</w:t>
      </w:r>
    </w:p>
    <w:p>
      <w:pPr>
        <w:pStyle w:val="Compact"/>
        <w:numPr>
          <w:ilvl w:val="0"/>
          <w:numId w:val="1013"/>
        </w:numPr>
      </w:pPr>
      <w:r>
        <w:rPr>
          <w:b/>
          <w:bCs/>
        </w:rPr>
        <w:t xml:space="preserve">Anonimato</w:t>
      </w:r>
      <w:r>
        <w:t xml:space="preserve">: la base analítica no incluye nombres ni datos que permitan identificar individualmente a los participantes; la variable</w:t>
      </w:r>
      <w:r>
        <w:t xml:space="preserve"> </w:t>
      </w:r>
      <w:r>
        <w:rPr>
          <w:rStyle w:val="VerbatimChar"/>
        </w:rPr>
        <w:t xml:space="preserve">nombre_escuela</w:t>
      </w:r>
      <w:r>
        <w:t xml:space="preserve"> </w:t>
      </w:r>
      <w:r>
        <w:t xml:space="preserve">se refiere a la institución educativa, no al alumno.</w:t>
      </w:r>
    </w:p>
    <w:p>
      <w:pPr>
        <w:pStyle w:val="Compact"/>
        <w:numPr>
          <w:ilvl w:val="0"/>
          <w:numId w:val="1013"/>
        </w:numPr>
      </w:pPr>
      <w:r>
        <w:rPr>
          <w:b/>
          <w:bCs/>
        </w:rPr>
        <w:t xml:space="preserve">Sin riesgo</w:t>
      </w:r>
      <w:r>
        <w:t xml:space="preserve">: el cuestionario no aborda temas sensibles, no genera estrés ni exposición social para los participantes.</w:t>
      </w:r>
    </w:p>
    <w:p>
      <w:pPr>
        <w:pStyle w:val="Compact"/>
        <w:numPr>
          <w:ilvl w:val="0"/>
          <w:numId w:val="1013"/>
        </w:numPr>
      </w:pPr>
      <w:r>
        <w:rPr>
          <w:b/>
          <w:bCs/>
        </w:rPr>
        <w:t xml:space="preserve">Uso académico</w:t>
      </w:r>
      <w:r>
        <w:t xml:space="preserve">: los datos se utilizan exclusivamente con fines de investigación y formación en el marco del presente estudio.</w:t>
      </w:r>
    </w:p>
    <w:p>
      <w:pPr>
        <w:pStyle w:val="Compact"/>
        <w:numPr>
          <w:ilvl w:val="0"/>
          <w:numId w:val="1013"/>
        </w:numPr>
      </w:pPr>
      <w:r>
        <w:rPr>
          <w:b/>
          <w:bCs/>
        </w:rPr>
        <w:t xml:space="preserve">No manipulación</w:t>
      </w:r>
      <w:r>
        <w:t xml:space="preserve">: al ser un diseño no experimental, no se intervino sobre los estudiantes ni sobre su entorno.</w:t>
      </w:r>
    </w:p>
    <w:bookmarkEnd w:id="33"/>
    <w:bookmarkStart w:id="34" w:name="limitaciones"/>
    <w:p>
      <w:pPr>
        <w:pStyle w:val="Heading2"/>
      </w:pPr>
      <w:r>
        <w:t xml:space="preserve">10. Limitaciones</w:t>
      </w:r>
    </w:p>
    <w:p>
      <w:pPr>
        <w:pStyle w:val="FirstParagraph"/>
      </w:pPr>
      <w:r>
        <w:t xml:space="preserve">El estudio presenta las siguientes limitaciones, que deben considerarse al interpretar los resultados:</w:t>
      </w:r>
    </w:p>
    <w:p>
      <w:pPr>
        <w:pStyle w:val="Compact"/>
        <w:numPr>
          <w:ilvl w:val="0"/>
          <w:numId w:val="1014"/>
        </w:numPr>
      </w:pPr>
      <w:r>
        <w:rPr>
          <w:b/>
          <w:bCs/>
        </w:rPr>
        <w:t xml:space="preserve">Muestra efectiva ligeramente menor que la teórica</w:t>
      </w:r>
      <w:r>
        <w:t xml:space="preserve">: se obtuvieron 656 cuestionarios válidos frente a los 676 planeados, principalmente por 380 formularios en blanco; la mayor pérdida se concentró en el nivel secundaria (-26).</w:t>
      </w:r>
    </w:p>
    <w:p>
      <w:pPr>
        <w:pStyle w:val="Compact"/>
        <w:numPr>
          <w:ilvl w:val="0"/>
          <w:numId w:val="1014"/>
        </w:numPr>
      </w:pPr>
      <w:r>
        <w:rPr>
          <w:b/>
          <w:bCs/>
        </w:rPr>
        <w:t xml:space="preserve">Caracteres acentuados perdidos en la fuente</w:t>
      </w:r>
      <w:r>
        <w:t xml:space="preserve">: el archivo original contenía caracteres de reemplazo (U+FFFD) que impidieron restaurar acentos perdidos; las etiquetas en español se reconstruyeron manualmente.</w:t>
      </w:r>
    </w:p>
    <w:p>
      <w:pPr>
        <w:pStyle w:val="Compact"/>
        <w:numPr>
          <w:ilvl w:val="0"/>
          <w:numId w:val="1014"/>
        </w:numPr>
      </w:pPr>
      <w:r>
        <w:rPr>
          <w:b/>
          <w:bCs/>
        </w:rPr>
        <w:t xml:space="preserve">Outliers demográficos conservados</w:t>
      </w:r>
      <w:r>
        <w:t xml:space="preserve">: un caso con edad=51 años se conservó en el análisis por decisión metodológica, al no poder confirmar si se trata de un error o de un estudiante adulto reinscrito.</w:t>
      </w:r>
    </w:p>
    <w:p>
      <w:pPr>
        <w:pStyle w:val="Compact"/>
        <w:numPr>
          <w:ilvl w:val="0"/>
          <w:numId w:val="1014"/>
        </w:numPr>
      </w:pPr>
      <w:r>
        <w:rPr>
          <w:b/>
          <w:bCs/>
        </w:rPr>
        <w:t xml:space="preserve">Cuatro ítems Likert convertidos a NaN</w:t>
      </w:r>
      <w:r>
        <w:t xml:space="preserve">: p06, p11, p12 y p14 perdieron 1 caso cada uno por valores fuera de rango (54, 42, 55, 23); el impacto sobre los puntajes compuestos es despreciable.</w:t>
      </w:r>
    </w:p>
    <w:p>
      <w:pPr>
        <w:pStyle w:val="Compact"/>
        <w:numPr>
          <w:ilvl w:val="0"/>
          <w:numId w:val="1014"/>
        </w:numPr>
      </w:pPr>
      <w:r>
        <w:rPr>
          <w:b/>
          <w:bCs/>
        </w:rPr>
        <w:t xml:space="preserve">Alcance descriptivo-comparativo</w:t>
      </w:r>
      <w:r>
        <w:t xml:space="preserve">: el diseño no permite inferir relaciones causales entre nivel educativo y educación financiera, solo describe y compara los grupos.</w:t>
      </w:r>
    </w:p>
    <w:p>
      <w:pPr>
        <w:pStyle w:val="Compact"/>
        <w:numPr>
          <w:ilvl w:val="0"/>
          <w:numId w:val="1014"/>
        </w:numPr>
      </w:pPr>
      <w:r>
        <w:rPr>
          <w:b/>
          <w:bCs/>
        </w:rPr>
        <w:t xml:space="preserve">Auto-reporte</w:t>
      </w:r>
      <w:r>
        <w:t xml:space="preserve">: la información proviene de lo que los estudiantes declaran, por lo que es susceptible a sesgo de deseabilidad social o de desconocimiento de los propios hábitos.</w:t>
      </w:r>
    </w:p>
    <w:p>
      <w:pPr>
        <w:pStyle w:val="Compact"/>
        <w:numPr>
          <w:ilvl w:val="0"/>
          <w:numId w:val="1014"/>
        </w:numPr>
      </w:pPr>
      <w:r>
        <w:rPr>
          <w:b/>
          <w:bCs/>
        </w:rPr>
        <w:t xml:space="preserve">Diseño transversal</w:t>
      </w:r>
      <w:r>
        <w:t xml:space="preserve">: la medición se realizó en un único momento, por lo que no se capturan cambios ni evolución temporal en los niveles de educación financiera.</w:t>
      </w:r>
    </w:p>
    <w:bookmarkEnd w:id="34"/>
    <w:bookmarkStart w:id="35" w:name="referencias"/>
    <w:p>
      <w:pPr>
        <w:pStyle w:val="Heading2"/>
      </w:pPr>
      <w:r>
        <w:t xml:space="preserve">Referencias</w:t>
      </w:r>
    </w:p>
    <w:p>
      <w:pPr>
        <w:pStyle w:val="Compact"/>
        <w:numPr>
          <w:ilvl w:val="0"/>
          <w:numId w:val="1015"/>
        </w:numPr>
      </w:pPr>
      <w:r>
        <w:t xml:space="preserve">Hernández-Sampieri, R. &amp; Mendoza, C. (2018).</w:t>
      </w:r>
      <w:r>
        <w:t xml:space="preserve"> </w:t>
      </w:r>
      <w:r>
        <w:rPr>
          <w:i/>
          <w:iCs/>
        </w:rPr>
        <w:t xml:space="preserve">Metodología de la investigación: las rutas cuantitativa, cualitativa y mixta</w:t>
      </w:r>
      <w:r>
        <w:t xml:space="preserve">. McGraw-Hill.</w:t>
      </w:r>
    </w:p>
    <w:p>
      <w:pPr>
        <w:pStyle w:val="Compact"/>
        <w:numPr>
          <w:ilvl w:val="0"/>
          <w:numId w:val="1015"/>
        </w:numPr>
      </w:pPr>
      <w:r>
        <w:t xml:space="preserve">OECD (2018).</w:t>
      </w:r>
      <w:r>
        <w:t xml:space="preserve"> </w:t>
      </w:r>
      <w:r>
        <w:rPr>
          <w:i/>
          <w:iCs/>
        </w:rPr>
        <w:t xml:space="preserve">PISA 2018 Financial Literacy Framework</w:t>
      </w:r>
      <w:r>
        <w:t xml:space="preserve">. OECD Publishing.</w:t>
      </w:r>
    </w:p>
    <w:p>
      <w:pPr>
        <w:pStyle w:val="Compact"/>
        <w:numPr>
          <w:ilvl w:val="0"/>
          <w:numId w:val="1015"/>
        </w:numPr>
      </w:pPr>
      <w:r>
        <w:t xml:space="preserve">OECD (2020).</w:t>
      </w:r>
      <w:r>
        <w:t xml:space="preserve"> </w:t>
      </w:r>
      <w:r>
        <w:rPr>
          <w:i/>
          <w:iCs/>
        </w:rPr>
        <w:t xml:space="preserve">OECD/INFE 2020 International Survey of Adult Financial Literacy</w:t>
      </w:r>
      <w:r>
        <w:t xml:space="preserve">. OECD Publishing.</w:t>
      </w:r>
    </w:p>
    <w:p>
      <w:pPr>
        <w:pStyle w:val="Compact"/>
        <w:numPr>
          <w:ilvl w:val="0"/>
          <w:numId w:val="1015"/>
        </w:numPr>
      </w:pPr>
      <w:r>
        <w:t xml:space="preserve">Siegel, S. &amp; Castellan, N. J. (1988).</w:t>
      </w:r>
      <w:r>
        <w:t xml:space="preserve"> </w:t>
      </w:r>
      <w:r>
        <w:rPr>
          <w:i/>
          <w:iCs/>
        </w:rPr>
        <w:t xml:space="preserve">Nonparametric statistics for the behavioral sciences</w:t>
      </w:r>
      <w:r>
        <w:t xml:space="preserve"> </w:t>
      </w:r>
      <w:r>
        <w:t xml:space="preserve">(2nd ed.). McGraw-Hill.</w:t>
      </w:r>
    </w:p>
    <w:p>
      <w:pPr>
        <w:pStyle w:val="Compact"/>
        <w:numPr>
          <w:ilvl w:val="0"/>
          <w:numId w:val="1015"/>
        </w:numPr>
      </w:pPr>
      <w:r>
        <w:t xml:space="preserve">Tavakol, M. &amp; Dennick, R. (2011). Making sense of Cronbach’s alpha.</w:t>
      </w:r>
      <w:r>
        <w:t xml:space="preserve"> </w:t>
      </w:r>
      <w:r>
        <w:rPr>
          <w:i/>
          <w:iCs/>
        </w:rPr>
        <w:t xml:space="preserve">International Journal of Medical Education</w:t>
      </w:r>
      <w:r>
        <w:t xml:space="preserve">, 2, 53-55. https://doi.org/10.5116/ijme.4dfb.8dfd</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autoRedefine/>
    <w:uiPriority w:val="39"/>
    <w:unhideWhenUsed/>
    <w:rsid w:val="00000001"/>
    <w:pPr>
      <w:spacing w:after="100"/>
      <w:ind w:left="0"/>
    </w:pPr>
    <w:rPr>
      <w:rFonts w:ascii="Calibri" w:hAnsi="Calibri" w:cs="Calibri"/>
      <w:sz w:val="22"/>
    </w:rPr>
  </w:style>
  <w:style w:type="paragraph" w:styleId="TOC2">
    <w:name w:val="toc 2"/>
    <w:basedOn w:val="Normal"/>
    <w:next w:val="Normal"/>
    <w:autoRedefine/>
    <w:uiPriority w:val="39"/>
    <w:unhideWhenUsed/>
    <w:rsid w:val="00000002"/>
    <w:pPr>
      <w:spacing w:after="100"/>
      <w:ind w:left="220"/>
    </w:pPr>
    <w:rPr>
      <w:rFonts w:ascii="Calibri" w:hAnsi="Calibri" w:cs="Calibri"/>
      <w:sz w:val="22"/>
    </w:rPr>
  </w:style>
  <w:style w:type="paragraph" w:styleId="TOC3">
    <w:name w:val="toc 3"/>
    <w:basedOn w:val="Normal"/>
    <w:next w:val="Normal"/>
    <w:autoRedefine/>
    <w:uiPriority w:val="39"/>
    <w:unhideWhenUsed/>
    <w:rsid w:val="00000003"/>
    <w:pPr>
      <w:spacing w:after="100"/>
      <w:ind w:left="440"/>
    </w:pPr>
    <w:rPr>
      <w:rFonts w:ascii="Calibri" w:hAnsi="Calibri" w:cs="Calibri"/>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2026-06-06T22:46:09Z</dcterms:created>
  <dcterms:modified xsi:type="dcterms:W3CDTF">2026-06-06T22:46:09Z</dcterms:modified>
</cp:coreProperties>
</file>

<file path=docProps/custom.xml><?xml version="1.0" encoding="utf-8"?>
<Properties xmlns="http://schemas.openxmlformats.org/officeDocument/2006/custom-properties" xmlns:vt="http://schemas.openxmlformats.org/officeDocument/2006/docPropsVTypes"/>
</file>