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A2FE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9"/>
          <w:szCs w:val="9"/>
        </w:rPr>
      </w:pPr>
    </w:p>
    <w:p w14:paraId="39519A4E" w14:textId="77777777" w:rsidR="00F948CD" w:rsidRDefault="00F948CD">
      <w:pPr>
        <w:ind w:left="7905"/>
        <w:rPr>
          <w:sz w:val="20"/>
          <w:szCs w:val="20"/>
        </w:rPr>
      </w:pPr>
    </w:p>
    <w:p w14:paraId="0A996660" w14:textId="77777777" w:rsidR="00F948CD" w:rsidRDefault="00F948CD">
      <w:pPr>
        <w:pStyle w:val="Heading1"/>
        <w:ind w:left="0"/>
        <w:rPr>
          <w:b w:val="0"/>
          <w:bCs w:val="0"/>
          <w:sz w:val="18"/>
          <w:szCs w:val="18"/>
        </w:rPr>
      </w:pPr>
    </w:p>
    <w:p w14:paraId="39F921A7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258CE706" w14:textId="77777777" w:rsidR="00F948CD" w:rsidRDefault="00F948CD">
      <w:pPr>
        <w:spacing w:line="20" w:lineRule="auto"/>
        <w:ind w:left="-960"/>
        <w:rPr>
          <w:rFonts w:ascii="Arial" w:eastAsia="Arial" w:hAnsi="Arial" w:cs="Arial"/>
          <w:sz w:val="2"/>
          <w:szCs w:val="2"/>
        </w:rPr>
      </w:pPr>
    </w:p>
    <w:p w14:paraId="2987A57A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3E3FA0F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BFCE8E3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07F4BB1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E87AFA1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6695D4D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32D1417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36863E9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6CDCC45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02238BF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BE7F4BD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CA4F284" w14:textId="77777777" w:rsidR="00F948CD" w:rsidRDefault="00000000">
      <w:pPr>
        <w:pStyle w:val="Heading2"/>
        <w:ind w:left="2587"/>
      </w:pPr>
      <w:r>
        <w:t>UNITED STATES BANKRUPTCY COURT</w:t>
      </w:r>
    </w:p>
    <w:p w14:paraId="1EF89589" w14:textId="77777777" w:rsidR="00F948CD" w:rsidRDefault="00000000">
      <w:pPr>
        <w:pStyle w:val="Heading2"/>
        <w:ind w:left="2587"/>
      </w:pPr>
      <w:proofErr w:type="gramStart"/>
      <w:r>
        <w:t>{{ District</w:t>
      </w:r>
      <w:proofErr w:type="gramEnd"/>
      <w:r>
        <w:t xml:space="preserve"> }} DISTRICT OF FLORIDA</w:t>
      </w:r>
    </w:p>
    <w:p w14:paraId="418D6B9B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965F40B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75048EE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E0A7A66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0"/>
          <w:szCs w:val="20"/>
        </w:rPr>
      </w:pPr>
    </w:p>
    <w:p w14:paraId="2A8DB7F0" w14:textId="77777777" w:rsidR="00E3399E" w:rsidRDefault="00E3399E" w:rsidP="00E3399E">
      <w:pPr>
        <w:pBdr>
          <w:top w:val="nil"/>
          <w:left w:val="nil"/>
          <w:bottom w:val="nil"/>
          <w:right w:val="nil"/>
          <w:between w:val="nil"/>
        </w:pBdr>
        <w:spacing w:before="275"/>
        <w:ind w:left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re:</w:t>
      </w:r>
    </w:p>
    <w:p w14:paraId="19D62A76" w14:textId="77777777" w:rsidR="00E3399E" w:rsidRDefault="00E3399E" w:rsidP="00E3399E">
      <w:pPr>
        <w:pBdr>
          <w:top w:val="nil"/>
          <w:left w:val="nil"/>
          <w:bottom w:val="nil"/>
          <w:right w:val="nil"/>
          <w:between w:val="nil"/>
        </w:pBdr>
        <w:ind w:left="61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Case No: </w:t>
      </w: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CaseNumber</w:t>
      </w:r>
      <w:proofErr w:type="spellEnd"/>
      <w:proofErr w:type="gramEnd"/>
      <w:r>
        <w:rPr>
          <w:color w:val="000000"/>
          <w:sz w:val="24"/>
          <w:szCs w:val="24"/>
        </w:rPr>
        <w:t xml:space="preserve"> }}</w:t>
      </w:r>
    </w:p>
    <w:p w14:paraId="4827B427" w14:textId="1146582A" w:rsidR="00E3399E" w:rsidRDefault="00E3399E" w:rsidP="00E3399E">
      <w:pPr>
        <w:pBdr>
          <w:top w:val="nil"/>
          <w:left w:val="nil"/>
          <w:bottom w:val="nil"/>
          <w:right w:val="nil"/>
          <w:between w:val="nil"/>
        </w:pBdr>
        <w:tabs>
          <w:tab w:val="left" w:pos="6119"/>
        </w:tabs>
        <w:ind w:left="359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 w:rsidR="003F7908">
        <w:rPr>
          <w:color w:val="000000"/>
          <w:sz w:val="24"/>
          <w:szCs w:val="24"/>
        </w:rPr>
        <w:t>Header</w:t>
      </w:r>
      <w:r>
        <w:rPr>
          <w:color w:val="000000"/>
          <w:sz w:val="24"/>
          <w:szCs w:val="24"/>
        </w:rPr>
        <w:t>DebtorName</w:t>
      </w:r>
      <w:proofErr w:type="spellEnd"/>
      <w:proofErr w:type="gramEnd"/>
      <w:r>
        <w:rPr>
          <w:color w:val="000000"/>
          <w:sz w:val="24"/>
          <w:szCs w:val="24"/>
        </w:rPr>
        <w:t xml:space="preserve"> }},</w:t>
      </w:r>
      <w:r>
        <w:rPr>
          <w:color w:val="000000"/>
          <w:sz w:val="24"/>
          <w:szCs w:val="24"/>
        </w:rPr>
        <w:tab/>
        <w:t xml:space="preserve">Chapter </w:t>
      </w: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ChapterNumber</w:t>
      </w:r>
      <w:proofErr w:type="spellEnd"/>
      <w:proofErr w:type="gramEnd"/>
      <w:r>
        <w:rPr>
          <w:color w:val="000000"/>
          <w:sz w:val="24"/>
          <w:szCs w:val="24"/>
        </w:rPr>
        <w:t xml:space="preserve"> }}</w:t>
      </w:r>
    </w:p>
    <w:p w14:paraId="36371A5B" w14:textId="77777777" w:rsidR="00E3399E" w:rsidRDefault="00E3399E" w:rsidP="00E3399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AFAD4E5" w14:textId="77777777" w:rsidR="00E3399E" w:rsidRDefault="00E3399E" w:rsidP="00E3399E">
      <w:pPr>
        <w:pBdr>
          <w:top w:val="nil"/>
          <w:left w:val="nil"/>
          <w:bottom w:val="nil"/>
          <w:right w:val="nil"/>
          <w:between w:val="nil"/>
        </w:pBdr>
        <w:tabs>
          <w:tab w:val="left" w:pos="1799"/>
          <w:tab w:val="left" w:pos="3239"/>
        </w:tabs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ab/>
        <w:t>Debtor.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/</w:t>
      </w:r>
    </w:p>
    <w:p w14:paraId="4125F7A0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206"/>
        <w:rPr>
          <w:b/>
          <w:bCs/>
          <w:color w:val="000000"/>
          <w:sz w:val="24"/>
          <w:szCs w:val="24"/>
        </w:rPr>
      </w:pPr>
    </w:p>
    <w:p w14:paraId="689990C3" w14:textId="77777777" w:rsidR="00F948CD" w:rsidRDefault="00000000">
      <w:pPr>
        <w:pStyle w:val="Heading2"/>
        <w:ind w:left="2591"/>
      </w:pPr>
      <w:r>
        <w:t>ORDER GRANTING DEBTOR’S</w:t>
      </w:r>
    </w:p>
    <w:p w14:paraId="6653684C" w14:textId="77777777" w:rsidR="00F948CD" w:rsidRDefault="00000000">
      <w:pPr>
        <w:ind w:right="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EX-PARTE MOTION TO DELAY DISCHARGE</w:t>
      </w:r>
    </w:p>
    <w:p w14:paraId="28D5152F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127"/>
        <w:rPr>
          <w:b/>
          <w:bCs/>
          <w:color w:val="000000"/>
          <w:sz w:val="24"/>
          <w:szCs w:val="24"/>
        </w:rPr>
      </w:pPr>
    </w:p>
    <w:p w14:paraId="119A834B" w14:textId="57CAE9B3" w:rsidR="00F948CD" w:rsidRDefault="00000000">
      <w:pPr>
        <w:spacing w:line="480" w:lineRule="auto"/>
        <w:ind w:left="360" w:right="355" w:firstLine="719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THIS MATTER </w:t>
      </w:r>
      <w:r>
        <w:rPr>
          <w:sz w:val="24"/>
          <w:szCs w:val="24"/>
        </w:rPr>
        <w:t xml:space="preserve">came before the court on </w:t>
      </w:r>
      <w:r>
        <w:rPr>
          <w:i/>
          <w:iCs/>
          <w:sz w:val="24"/>
          <w:szCs w:val="24"/>
        </w:rPr>
        <w:t xml:space="preserve">Debtor’s Ex </w:t>
      </w:r>
      <w:proofErr w:type="spellStart"/>
      <w:r>
        <w:rPr>
          <w:i/>
          <w:iCs/>
          <w:sz w:val="24"/>
          <w:szCs w:val="24"/>
        </w:rPr>
        <w:t>Parte</w:t>
      </w:r>
      <w:proofErr w:type="spellEnd"/>
      <w:r>
        <w:rPr>
          <w:i/>
          <w:iCs/>
          <w:sz w:val="24"/>
          <w:szCs w:val="24"/>
        </w:rPr>
        <w:t xml:space="preserve"> Motion to Delay Discharge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Dkt</w:t>
      </w:r>
      <w:proofErr w:type="spellEnd"/>
      <w:r>
        <w:rPr>
          <w:sz w:val="24"/>
          <w:szCs w:val="24"/>
        </w:rPr>
        <w:t xml:space="preserve">. No. 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DocketNumb</w:t>
      </w:r>
      <w:r w:rsidR="007B3805">
        <w:rPr>
          <w:sz w:val="24"/>
          <w:szCs w:val="24"/>
        </w:rPr>
        <w:t>er</w:t>
      </w:r>
      <w:proofErr w:type="spellEnd"/>
      <w:proofErr w:type="gramEnd"/>
      <w:r>
        <w:rPr>
          <w:sz w:val="24"/>
          <w:szCs w:val="24"/>
        </w:rPr>
        <w:t xml:space="preserve"> }}; the “Motion”). With the Court having reviewed the content of the Motion, the Court file in this case, and for good cause shown, it is</w:t>
      </w:r>
    </w:p>
    <w:p w14:paraId="6FAB9834" w14:textId="77777777" w:rsidR="00F948CD" w:rsidRDefault="00000000">
      <w:pPr>
        <w:spacing w:before="1"/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ORDERED </w:t>
      </w:r>
      <w:r>
        <w:rPr>
          <w:sz w:val="24"/>
          <w:szCs w:val="24"/>
        </w:rPr>
        <w:t>that:</w:t>
      </w:r>
    </w:p>
    <w:p w14:paraId="24FAF96E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  <w:sz w:val="24"/>
          <w:szCs w:val="24"/>
        </w:rPr>
      </w:pPr>
    </w:p>
    <w:p w14:paraId="4B3FB239" w14:textId="73861480" w:rsidR="00F948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ind w:hanging="722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Motion to Delay Discharge (</w:t>
      </w:r>
      <w:proofErr w:type="spellStart"/>
      <w:r>
        <w:rPr>
          <w:color w:val="000000"/>
          <w:sz w:val="24"/>
          <w:szCs w:val="24"/>
        </w:rPr>
        <w:t>Dkt</w:t>
      </w:r>
      <w:proofErr w:type="spellEnd"/>
      <w:r>
        <w:rPr>
          <w:sz w:val="24"/>
          <w:szCs w:val="24"/>
        </w:rPr>
        <w:t xml:space="preserve">. </w:t>
      </w:r>
      <w:proofErr w:type="gramStart"/>
      <w:r>
        <w:rPr>
          <w:color w:val="000000"/>
          <w:sz w:val="24"/>
          <w:szCs w:val="24"/>
        </w:rPr>
        <w:t>N</w:t>
      </w:r>
      <w:r>
        <w:rPr>
          <w:sz w:val="24"/>
          <w:szCs w:val="24"/>
        </w:rPr>
        <w:t>o.</w:t>
      </w:r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DocketNumb</w:t>
      </w:r>
      <w:r w:rsidR="007B3805">
        <w:rPr>
          <w:color w:val="000000"/>
          <w:sz w:val="24"/>
          <w:szCs w:val="24"/>
        </w:rPr>
        <w:t>er</w:t>
      </w:r>
      <w:proofErr w:type="spellEnd"/>
      <w:proofErr w:type="gramEnd"/>
      <w:r>
        <w:rPr>
          <w:color w:val="000000"/>
          <w:sz w:val="24"/>
          <w:szCs w:val="24"/>
        </w:rPr>
        <w:t xml:space="preserve"> }}) is </w:t>
      </w:r>
      <w:r>
        <w:rPr>
          <w:b/>
          <w:bCs/>
          <w:color w:val="000000"/>
          <w:sz w:val="24"/>
          <w:szCs w:val="24"/>
        </w:rPr>
        <w:t>GRANTED.</w:t>
      </w:r>
    </w:p>
    <w:p w14:paraId="65A51690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24"/>
          <w:szCs w:val="24"/>
        </w:rPr>
      </w:pPr>
    </w:p>
    <w:p w14:paraId="095F74B2" w14:textId="77777777" w:rsidR="00F948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499" w:lineRule="auto"/>
        <w:ind w:left="358" w:right="356" w:firstLine="0"/>
        <w:jc w:val="both"/>
      </w:pPr>
      <w:r>
        <w:rPr>
          <w:color w:val="000000"/>
          <w:sz w:val="24"/>
          <w:szCs w:val="24"/>
        </w:rPr>
        <w:t xml:space="preserve">The request for the Delay of Discharge is GRANTED for thirty (30) days from this order’s </w:t>
      </w:r>
      <w:r>
        <w:rPr>
          <w:color w:val="000000"/>
          <w:sz w:val="24"/>
          <w:szCs w:val="24"/>
        </w:rPr>
        <w:lastRenderedPageBreak/>
        <w:t xml:space="preserve">entry date to enable the </w:t>
      </w:r>
      <w:proofErr w:type="gramStart"/>
      <w:r>
        <w:rPr>
          <w:color w:val="000000"/>
          <w:sz w:val="24"/>
          <w:szCs w:val="24"/>
        </w:rPr>
        <w:t xml:space="preserve">{{ </w:t>
      </w:r>
      <w:proofErr w:type="spellStart"/>
      <w:r>
        <w:rPr>
          <w:color w:val="000000"/>
          <w:sz w:val="24"/>
          <w:szCs w:val="24"/>
        </w:rPr>
        <w:t>WhyExtensionNeeded</w:t>
      </w:r>
      <w:proofErr w:type="spellEnd"/>
      <w:proofErr w:type="gramEnd"/>
      <w:r>
        <w:rPr>
          <w:color w:val="000000"/>
          <w:sz w:val="24"/>
          <w:szCs w:val="24"/>
        </w:rPr>
        <w:t xml:space="preserve"> }}.</w:t>
      </w:r>
    </w:p>
    <w:p w14:paraId="2E0C9719" w14:textId="77777777" w:rsidR="00F948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499" w:lineRule="auto"/>
        <w:ind w:left="358" w:right="356" w:firstLine="0"/>
        <w:jc w:val="both"/>
      </w:pPr>
      <w:proofErr w:type="gramStart"/>
      <w:r>
        <w:rPr>
          <w:color w:val="000000"/>
          <w:sz w:val="24"/>
          <w:szCs w:val="24"/>
        </w:rPr>
        <w:t>In the event that</w:t>
      </w:r>
      <w:proofErr w:type="gramEnd"/>
      <w:r>
        <w:rPr>
          <w:color w:val="000000"/>
          <w:sz w:val="24"/>
          <w:szCs w:val="24"/>
        </w:rPr>
        <w:t xml:space="preserve"> the </w:t>
      </w:r>
      <w:proofErr w:type="gramStart"/>
      <w:r>
        <w:rPr>
          <w:color w:val="000000"/>
          <w:sz w:val="24"/>
          <w:szCs w:val="24"/>
        </w:rPr>
        <w:t>aforementioned purpose</w:t>
      </w:r>
      <w:proofErr w:type="gramEnd"/>
      <w:r>
        <w:rPr>
          <w:color w:val="000000"/>
          <w:sz w:val="24"/>
          <w:szCs w:val="24"/>
        </w:rPr>
        <w:t xml:space="preserve"> of delaying the discharge is not met on or before </w:t>
      </w:r>
      <w:proofErr w:type="gramStart"/>
      <w:r>
        <w:rPr>
          <w:color w:val="000000"/>
          <w:sz w:val="24"/>
          <w:szCs w:val="24"/>
        </w:rPr>
        <w:t>{{ OldDischargeabilityDatePlus30 }</w:t>
      </w:r>
      <w:proofErr w:type="gramEnd"/>
      <w:r>
        <w:rPr>
          <w:color w:val="000000"/>
          <w:sz w:val="24"/>
          <w:szCs w:val="24"/>
        </w:rPr>
        <w:t>}, but all other requirements have been met, the Order of Discharge shall be entered.</w:t>
      </w:r>
    </w:p>
    <w:p w14:paraId="340D6A08" w14:textId="77777777" w:rsidR="00F948CD" w:rsidRDefault="00000000">
      <w:pPr>
        <w:tabs>
          <w:tab w:val="left" w:pos="1080"/>
        </w:tabs>
        <w:spacing w:line="499" w:lineRule="auto"/>
        <w:ind w:left="358" w:right="356"/>
        <w:jc w:val="center"/>
        <w:rPr>
          <w:b/>
          <w:bCs/>
        </w:rPr>
      </w:pPr>
      <w:r>
        <w:rPr>
          <w:b/>
          <w:bCs/>
        </w:rPr>
        <w:t>###</w:t>
      </w:r>
    </w:p>
    <w:p w14:paraId="01A9877B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sz w:val="24"/>
          <w:szCs w:val="24"/>
        </w:rPr>
      </w:pPr>
    </w:p>
    <w:p w14:paraId="5FBF339A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i/>
          <w:iCs/>
          <w:sz w:val="24"/>
          <w:szCs w:val="24"/>
        </w:rPr>
      </w:pPr>
    </w:p>
    <w:p w14:paraId="452B8472" w14:textId="77777777" w:rsidR="00F948CD" w:rsidRDefault="00000000">
      <w:pPr>
        <w:pStyle w:val="Heading2"/>
        <w:ind w:right="0" w:firstLine="358"/>
        <w:jc w:val="left"/>
        <w:rPr>
          <w:u w:val="single"/>
        </w:rPr>
      </w:pPr>
      <w:r>
        <w:rPr>
          <w:u w:val="single"/>
        </w:rPr>
        <w:t>Submitted by:</w:t>
      </w:r>
    </w:p>
    <w:p w14:paraId="3184E521" w14:textId="77777777" w:rsidR="00F948CD" w:rsidRDefault="00000000">
      <w:pPr>
        <w:pBdr>
          <w:top w:val="nil"/>
          <w:left w:val="nil"/>
          <w:bottom w:val="nil"/>
          <w:right w:val="nil"/>
          <w:between w:val="nil"/>
        </w:pBdr>
        <w:ind w:left="288" w:right="705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Chad T. Van Horn, Esq.</w:t>
      </w:r>
    </w:p>
    <w:p w14:paraId="5256E30D" w14:textId="77777777" w:rsidR="00F948CD" w:rsidRDefault="00000000">
      <w:pPr>
        <w:pBdr>
          <w:top w:val="nil"/>
          <w:left w:val="nil"/>
          <w:bottom w:val="nil"/>
          <w:right w:val="nil"/>
          <w:between w:val="nil"/>
        </w:pBdr>
        <w:spacing w:before="46"/>
        <w:ind w:left="358" w:right="73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Florida Bar No. 64500</w:t>
      </w:r>
    </w:p>
    <w:p w14:paraId="6A514F2C" w14:textId="77777777" w:rsidR="00F948CD" w:rsidRDefault="00000000" w:rsidP="00E3399E">
      <w:pPr>
        <w:pStyle w:val="Heading2"/>
        <w:spacing w:before="48" w:line="273" w:lineRule="auto"/>
        <w:ind w:right="0"/>
        <w:jc w:val="left"/>
      </w:pPr>
      <w:r>
        <w:t>VAN HORN LAW GROUP, P.A.</w:t>
      </w:r>
    </w:p>
    <w:p w14:paraId="4C5748F0" w14:textId="77777777" w:rsidR="00F948CD" w:rsidRDefault="00000000">
      <w:pPr>
        <w:pBdr>
          <w:top w:val="nil"/>
          <w:left w:val="nil"/>
          <w:bottom w:val="nil"/>
          <w:right w:val="nil"/>
          <w:between w:val="nil"/>
        </w:pBdr>
        <w:spacing w:before="48" w:line="280" w:lineRule="auto"/>
        <w:ind w:left="358" w:right="66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500 NE 4th Street, Suite 200 Fort Lauderdale, FL 33301 Telephone: (954) 765-3166</w:t>
      </w:r>
    </w:p>
    <w:p w14:paraId="4B9605FD" w14:textId="77777777" w:rsidR="00F948CD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358" w:right="65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Facsimile: (954) 756-7103 Email: </w:t>
      </w:r>
      <w:hyperlink r:id="rId8">
        <w:r w:rsidR="00F948CD">
          <w:rPr>
            <w:color w:val="000000"/>
            <w:sz w:val="24"/>
            <w:szCs w:val="24"/>
          </w:rPr>
          <w:t>Chad@cvhlawgroup.com</w:t>
        </w:r>
      </w:hyperlink>
    </w:p>
    <w:p w14:paraId="55709CD7" w14:textId="77777777" w:rsidR="00F948CD" w:rsidRDefault="00F948CD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  <w:sz w:val="24"/>
          <w:szCs w:val="24"/>
        </w:rPr>
      </w:pPr>
    </w:p>
    <w:p w14:paraId="5C3DCD74" w14:textId="77777777" w:rsidR="00F948CD" w:rsidRDefault="00000000">
      <w:pPr>
        <w:ind w:left="360" w:right="609" w:hanging="2"/>
        <w:rPr>
          <w:i/>
          <w:iCs/>
          <w:sz w:val="24"/>
          <w:szCs w:val="24"/>
        </w:rPr>
        <w:sectPr w:rsidR="00F948CD">
          <w:headerReference w:type="default" r:id="rId9"/>
          <w:footerReference w:type="default" r:id="rId10"/>
          <w:pgSz w:w="12240" w:h="15840"/>
          <w:pgMar w:top="1339" w:right="1080" w:bottom="475" w:left="1080" w:header="230" w:footer="302" w:gutter="0"/>
          <w:pgNumType w:start="1"/>
          <w:cols w:space="720"/>
        </w:sectPr>
      </w:pPr>
      <w:r>
        <w:rPr>
          <w:i/>
          <w:iCs/>
          <w:sz w:val="24"/>
          <w:szCs w:val="24"/>
        </w:rPr>
        <w:t>Attorney Chad Van Horn is directed to serve a copy of this order on interested parties who are non-CM/ECF users and file a proof of service within 3 days of entry of the order.</w:t>
      </w:r>
    </w:p>
    <w:p w14:paraId="49FFC3D1" w14:textId="77777777" w:rsidR="00F948CD" w:rsidRDefault="00F948CD">
      <w:pPr>
        <w:spacing w:before="1"/>
        <w:ind w:right="2591"/>
        <w:rPr>
          <w:b/>
          <w:bCs/>
          <w:i/>
          <w:iCs/>
          <w:sz w:val="24"/>
          <w:szCs w:val="24"/>
        </w:rPr>
      </w:pPr>
    </w:p>
    <w:sectPr w:rsidR="00F948CD">
      <w:headerReference w:type="default" r:id="rId11"/>
      <w:footerReference w:type="default" r:id="rId12"/>
      <w:type w:val="continuous"/>
      <w:pgSz w:w="12240" w:h="15840"/>
      <w:pgMar w:top="1339" w:right="1080" w:bottom="475" w:left="1080" w:header="230" w:footer="3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85252" w14:textId="77777777" w:rsidR="0050569F" w:rsidRDefault="0050569F">
      <w:r>
        <w:separator/>
      </w:r>
    </w:p>
  </w:endnote>
  <w:endnote w:type="continuationSeparator" w:id="0">
    <w:p w14:paraId="667EFA7E" w14:textId="77777777" w:rsidR="0050569F" w:rsidRDefault="0050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C2753D2-3EC4-419F-99C2-9CDA05D490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DB1BC8-DE6C-4B45-9D16-FB787D9DA8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70FF479-D0EE-4686-82ED-85F385D50F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120AA" w14:textId="77777777" w:rsidR="00F948C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0F7FAEE" wp14:editId="34625A46">
              <wp:simplePos x="0" y="0"/>
              <wp:positionH relativeFrom="column">
                <wp:posOffset>2861818</wp:posOffset>
              </wp:positionH>
              <wp:positionV relativeFrom="paragraph">
                <wp:posOffset>9720734</wp:posOffset>
              </wp:positionV>
              <wp:extent cx="678815" cy="200025"/>
              <wp:effectExtent l="0" t="0" r="0" b="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16118" y="3689513"/>
                        <a:ext cx="6597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8ADDA" w14:textId="77777777" w:rsidR="00F948CD" w:rsidRDefault="00000000">
                          <w:pPr>
                            <w:spacing w:before="11"/>
                            <w:ind w:left="20" w:firstLine="4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000000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color w:val="000000"/>
                            </w:rPr>
                            <w:t xml:space="preserve"> 1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 xml:space="preserve">of </w:t>
                          </w:r>
                          <w:r>
                            <w:rPr>
                              <w:b/>
                              <w:color w:val="000000"/>
                            </w:rPr>
                            <w:t xml:space="preserve"> NUMPAGES</w:t>
                          </w:r>
                          <w:proofErr w:type="gramEnd"/>
                          <w:r>
                            <w:rPr>
                              <w:b/>
                              <w:color w:val="000000"/>
                            </w:rPr>
                            <w:t xml:space="preserve">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2861818</wp:posOffset>
              </wp:positionH>
              <wp:positionV relativeFrom="paragraph">
                <wp:posOffset>9720734</wp:posOffset>
              </wp:positionV>
              <wp:extent cx="678815" cy="200025"/>
              <wp:effectExtent b="0" l="0" r="0" t="0"/>
              <wp:wrapNone/>
              <wp:docPr id="1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81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EDF1" w14:textId="77777777" w:rsidR="00F948C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3C2DF2CA" wp14:editId="49C81489">
              <wp:simplePos x="0" y="0"/>
              <wp:positionH relativeFrom="column">
                <wp:posOffset>2861818</wp:posOffset>
              </wp:positionH>
              <wp:positionV relativeFrom="paragraph">
                <wp:posOffset>9720734</wp:posOffset>
              </wp:positionV>
              <wp:extent cx="678815" cy="200025"/>
              <wp:effectExtent l="0" t="0" r="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16118" y="3689513"/>
                        <a:ext cx="6597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84055" w14:textId="77777777" w:rsidR="00F948CD" w:rsidRDefault="00000000">
                          <w:pPr>
                            <w:spacing w:before="11"/>
                            <w:ind w:left="20" w:firstLine="4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000000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color w:val="000000"/>
                            </w:rPr>
                            <w:t xml:space="preserve"> 2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 xml:space="preserve">of </w:t>
                          </w:r>
                          <w:r>
                            <w:rPr>
                              <w:b/>
                              <w:color w:val="000000"/>
                            </w:rPr>
                            <w:t xml:space="preserve"> NUMPAGES</w:t>
                          </w:r>
                          <w:proofErr w:type="gramEnd"/>
                          <w:r>
                            <w:rPr>
                              <w:b/>
                              <w:color w:val="000000"/>
                            </w:rPr>
                            <w:t xml:space="preserve">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2861818</wp:posOffset>
              </wp:positionH>
              <wp:positionV relativeFrom="paragraph">
                <wp:posOffset>9720734</wp:posOffset>
              </wp:positionV>
              <wp:extent cx="678815" cy="200025"/>
              <wp:effectExtent b="0" l="0" r="0" t="0"/>
              <wp:wrapNone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815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B543B" w14:textId="77777777" w:rsidR="0050569F" w:rsidRDefault="0050569F">
      <w:r>
        <w:separator/>
      </w:r>
    </w:p>
  </w:footnote>
  <w:footnote w:type="continuationSeparator" w:id="0">
    <w:p w14:paraId="4413D26E" w14:textId="77777777" w:rsidR="0050569F" w:rsidRDefault="00505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20B14" w14:textId="77777777" w:rsidR="00F948CD" w:rsidRDefault="00F948C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FCC5" w14:textId="77777777" w:rsidR="00F948CD" w:rsidRDefault="00F948C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B702D"/>
    <w:multiLevelType w:val="multilevel"/>
    <w:tmpl w:val="8F7C0A7A"/>
    <w:lvl w:ilvl="0">
      <w:start w:val="1"/>
      <w:numFmt w:val="decimal"/>
      <w:lvlText w:val="%1."/>
      <w:lvlJc w:val="left"/>
      <w:pPr>
        <w:ind w:left="1080" w:hanging="72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980" w:hanging="723"/>
      </w:pPr>
    </w:lvl>
    <w:lvl w:ilvl="2">
      <w:numFmt w:val="bullet"/>
      <w:lvlText w:val="•"/>
      <w:lvlJc w:val="left"/>
      <w:pPr>
        <w:ind w:left="2880" w:hanging="723"/>
      </w:pPr>
    </w:lvl>
    <w:lvl w:ilvl="3">
      <w:numFmt w:val="bullet"/>
      <w:lvlText w:val="•"/>
      <w:lvlJc w:val="left"/>
      <w:pPr>
        <w:ind w:left="3780" w:hanging="723"/>
      </w:pPr>
    </w:lvl>
    <w:lvl w:ilvl="4">
      <w:numFmt w:val="bullet"/>
      <w:lvlText w:val="•"/>
      <w:lvlJc w:val="left"/>
      <w:pPr>
        <w:ind w:left="4680" w:hanging="723"/>
      </w:pPr>
    </w:lvl>
    <w:lvl w:ilvl="5">
      <w:numFmt w:val="bullet"/>
      <w:lvlText w:val="•"/>
      <w:lvlJc w:val="left"/>
      <w:pPr>
        <w:ind w:left="5580" w:hanging="723"/>
      </w:pPr>
    </w:lvl>
    <w:lvl w:ilvl="6">
      <w:numFmt w:val="bullet"/>
      <w:lvlText w:val="•"/>
      <w:lvlJc w:val="left"/>
      <w:pPr>
        <w:ind w:left="6480" w:hanging="723"/>
      </w:pPr>
    </w:lvl>
    <w:lvl w:ilvl="7">
      <w:numFmt w:val="bullet"/>
      <w:lvlText w:val="•"/>
      <w:lvlJc w:val="left"/>
      <w:pPr>
        <w:ind w:left="7380" w:hanging="723"/>
      </w:pPr>
    </w:lvl>
    <w:lvl w:ilvl="8">
      <w:numFmt w:val="bullet"/>
      <w:lvlText w:val="•"/>
      <w:lvlJc w:val="left"/>
      <w:pPr>
        <w:ind w:left="8280" w:hanging="723"/>
      </w:pPr>
    </w:lvl>
  </w:abstractNum>
  <w:num w:numId="1" w16cid:durableId="63283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8CD"/>
    <w:rsid w:val="00284EF5"/>
    <w:rsid w:val="003902CA"/>
    <w:rsid w:val="003F7908"/>
    <w:rsid w:val="0050569F"/>
    <w:rsid w:val="00511203"/>
    <w:rsid w:val="007B3805"/>
    <w:rsid w:val="00840770"/>
    <w:rsid w:val="00AF45F6"/>
    <w:rsid w:val="00B32D9D"/>
    <w:rsid w:val="00E3399E"/>
    <w:rsid w:val="00F9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D5AD"/>
  <w15:docId w15:val="{4E692124-D058-4162-9C95-98EC4466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8"/>
      <w:ind w:left="420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unhideWhenUsed/>
    <w:qFormat/>
    <w:pPr>
      <w:ind w:left="358" w:right="2591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D277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72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77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729"/>
    <w:rPr>
      <w:rFonts w:ascii="Times New Roman" w:eastAsia="Times New Roman" w:hAnsi="Times New Roman" w:cs="Times New Roman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d@cvhlawgroup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66H5uCdbAGE1xpH4b5s8bR1tKA==">CgMxLjA4AHIhMVZ4X2lKeE5jejdKTDNIdy1VQnJSdE14UEZfbXQ1Z2pJ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John Raymound L. Javier</cp:lastModifiedBy>
  <cp:revision>5</cp:revision>
  <dcterms:created xsi:type="dcterms:W3CDTF">2026-01-29T18:50:00Z</dcterms:created>
  <dcterms:modified xsi:type="dcterms:W3CDTF">2026-04-06T13:14:00Z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LTSC; modified using iText® Core 7.2.3 (AGPL version) ©2000-2022 iText Group NV; modified using iText® Core 7.2.3 (AGPL version) ©2000-2022 iText Group NV</vt:lpwstr>
  </property>
</Properties>
</file>