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B5523" w14:textId="77777777" w:rsidR="0057104E" w:rsidRDefault="0057104E" w:rsidP="0057104E">
      <w:pPr>
        <w:widowControl w:val="0"/>
        <w:autoSpaceDE w:val="0"/>
        <w:autoSpaceDN w:val="0"/>
        <w:adjustRightInd w:val="0"/>
        <w:jc w:val="right"/>
        <w:rPr>
          <w:rFonts w:ascii="Times New Roman" w:hAnsi="Times New Roman" w:cs="Times New Roman"/>
        </w:rPr>
      </w:pPr>
      <w:r>
        <w:rPr>
          <w:rFonts w:ascii="Times New Roman" w:hAnsi="Times New Roman" w:cs="Times New Roman"/>
        </w:rPr>
        <w:t>Joseph Barbati</w:t>
      </w:r>
    </w:p>
    <w:p w14:paraId="461DF8A8" w14:textId="77777777" w:rsidR="0057104E" w:rsidRDefault="0057104E" w:rsidP="0057104E">
      <w:pPr>
        <w:widowControl w:val="0"/>
        <w:autoSpaceDE w:val="0"/>
        <w:autoSpaceDN w:val="0"/>
        <w:adjustRightInd w:val="0"/>
        <w:jc w:val="right"/>
        <w:rPr>
          <w:rFonts w:ascii="Times New Roman" w:hAnsi="Times New Roman" w:cs="Times New Roman"/>
        </w:rPr>
      </w:pPr>
      <w:r>
        <w:rPr>
          <w:rFonts w:ascii="Times New Roman" w:hAnsi="Times New Roman" w:cs="Times New Roman"/>
        </w:rPr>
        <w:t>CS 378</w:t>
      </w:r>
    </w:p>
    <w:p w14:paraId="06D90FD0" w14:textId="77777777" w:rsidR="0057104E" w:rsidRDefault="0057104E" w:rsidP="0057104E">
      <w:pPr>
        <w:widowControl w:val="0"/>
        <w:autoSpaceDE w:val="0"/>
        <w:autoSpaceDN w:val="0"/>
        <w:adjustRightInd w:val="0"/>
        <w:jc w:val="center"/>
        <w:rPr>
          <w:rFonts w:ascii="Times New Roman" w:hAnsi="Times New Roman" w:cs="Times New Roman"/>
        </w:rPr>
      </w:pPr>
      <w:r>
        <w:rPr>
          <w:rFonts w:ascii="Times New Roman" w:hAnsi="Times New Roman" w:cs="Times New Roman"/>
        </w:rPr>
        <w:t>Assignment 1</w:t>
      </w:r>
    </w:p>
    <w:p w14:paraId="50405CAD" w14:textId="77777777" w:rsidR="0057104E" w:rsidRDefault="0057104E" w:rsidP="0057104E">
      <w:pPr>
        <w:widowControl w:val="0"/>
        <w:autoSpaceDE w:val="0"/>
        <w:autoSpaceDN w:val="0"/>
        <w:adjustRightInd w:val="0"/>
        <w:jc w:val="center"/>
        <w:rPr>
          <w:rFonts w:ascii="Times New Roman" w:hAnsi="Times New Roman" w:cs="Times New Roman"/>
        </w:rPr>
      </w:pPr>
      <w:r>
        <w:rPr>
          <w:rFonts w:ascii="Times New Roman" w:hAnsi="Times New Roman" w:cs="Times New Roman"/>
        </w:rPr>
        <w:t>Data Exploration and Preprocessing</w:t>
      </w:r>
    </w:p>
    <w:p w14:paraId="503048F1" w14:textId="77777777" w:rsidR="0057104E" w:rsidRDefault="0057104E" w:rsidP="0057104E">
      <w:pPr>
        <w:widowControl w:val="0"/>
        <w:autoSpaceDE w:val="0"/>
        <w:autoSpaceDN w:val="0"/>
        <w:adjustRightInd w:val="0"/>
        <w:rPr>
          <w:rFonts w:ascii="Times New Roman" w:hAnsi="Times New Roman" w:cs="Times New Roman"/>
        </w:rPr>
      </w:pPr>
      <w:r>
        <w:rPr>
          <w:rFonts w:ascii="Times New Roman" w:hAnsi="Times New Roman" w:cs="Times New Roman"/>
        </w:rPr>
        <w:t>1a. Poker Hand Dataset</w:t>
      </w:r>
    </w:p>
    <w:p w14:paraId="676B1533" w14:textId="77777777" w:rsidR="0057104E" w:rsidRDefault="0057104E" w:rsidP="0057104E">
      <w:pPr>
        <w:widowControl w:val="0"/>
        <w:autoSpaceDE w:val="0"/>
        <w:autoSpaceDN w:val="0"/>
        <w:adjustRightInd w:val="0"/>
        <w:rPr>
          <w:rFonts w:ascii="Times New Roman" w:hAnsi="Times New Roman" w:cs="Times New Roman"/>
        </w:rPr>
      </w:pPr>
      <w:r>
        <w:rPr>
          <w:rFonts w:ascii="Times New Roman" w:hAnsi="Times New Roman" w:cs="Times New Roman"/>
        </w:rPr>
        <w:t>1b. Dataset of poker hands</w:t>
      </w:r>
    </w:p>
    <w:p w14:paraId="12192297" w14:textId="77777777" w:rsidR="0057104E" w:rsidRDefault="0057104E" w:rsidP="0057104E">
      <w:pPr>
        <w:widowControl w:val="0"/>
        <w:autoSpaceDE w:val="0"/>
        <w:autoSpaceDN w:val="0"/>
        <w:adjustRightInd w:val="0"/>
        <w:ind w:firstLine="720"/>
        <w:rPr>
          <w:rFonts w:ascii="Times New Roman" w:hAnsi="Times New Roman" w:cs="Times New Roman"/>
        </w:rPr>
      </w:pPr>
      <w:r>
        <w:rPr>
          <w:rFonts w:ascii="Times New Roman" w:hAnsi="Times New Roman" w:cs="Times New Roman"/>
        </w:rPr>
        <w:t>• 1 table</w:t>
      </w:r>
    </w:p>
    <w:p w14:paraId="6950C542" w14:textId="552696E7" w:rsidR="0057104E" w:rsidRDefault="00E842A5" w:rsidP="0057104E">
      <w:pPr>
        <w:widowControl w:val="0"/>
        <w:autoSpaceDE w:val="0"/>
        <w:autoSpaceDN w:val="0"/>
        <w:adjustRightInd w:val="0"/>
        <w:ind w:firstLine="720"/>
        <w:rPr>
          <w:rFonts w:ascii="Times New Roman" w:hAnsi="Times New Roman" w:cs="Times New Roman"/>
        </w:rPr>
      </w:pPr>
      <w:r>
        <w:rPr>
          <w:rFonts w:ascii="Times New Roman" w:hAnsi="Times New Roman" w:cs="Times New Roman"/>
        </w:rPr>
        <w:t>• 10</w:t>
      </w:r>
      <w:r w:rsidR="0057104E">
        <w:rPr>
          <w:rFonts w:ascii="Times New Roman" w:hAnsi="Times New Roman" w:cs="Times New Roman"/>
        </w:rPr>
        <w:t xml:space="preserve"> attributes</w:t>
      </w:r>
    </w:p>
    <w:p w14:paraId="5AAC5CFA" w14:textId="77777777" w:rsidR="0057104E" w:rsidRDefault="0057104E" w:rsidP="0057104E">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o 5 cards per hand</w:t>
      </w:r>
    </w:p>
    <w:p w14:paraId="2177C128" w14:textId="77777777" w:rsidR="0057104E" w:rsidRDefault="0057104E" w:rsidP="0057104E">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o 2 attributes for each card (suit – ordinal, 1-4; rank – numerical, 1-13)</w:t>
      </w:r>
    </w:p>
    <w:p w14:paraId="6AB84401" w14:textId="3B910BB9" w:rsidR="0057104E" w:rsidRDefault="0057104E" w:rsidP="0057104E">
      <w:pPr>
        <w:widowControl w:val="0"/>
        <w:autoSpaceDE w:val="0"/>
        <w:autoSpaceDN w:val="0"/>
        <w:adjustRightInd w:val="0"/>
        <w:ind w:firstLine="720"/>
        <w:rPr>
          <w:rFonts w:ascii="Times New Roman" w:hAnsi="Times New Roman" w:cs="Times New Roman"/>
        </w:rPr>
      </w:pPr>
      <w:r>
        <w:rPr>
          <w:rFonts w:ascii="Times New Roman" w:hAnsi="Times New Roman" w:cs="Times New Roman"/>
        </w:rPr>
        <w:t>•</w:t>
      </w:r>
      <w:r w:rsidR="001210F1">
        <w:rPr>
          <w:rFonts w:ascii="Times New Roman" w:hAnsi="Times New Roman" w:cs="Times New Roman"/>
        </w:rPr>
        <w:t xml:space="preserve"> 1,000,0</w:t>
      </w:r>
      <w:r>
        <w:rPr>
          <w:rFonts w:ascii="Times New Roman" w:hAnsi="Times New Roman" w:cs="Times New Roman"/>
        </w:rPr>
        <w:t>0</w:t>
      </w:r>
      <w:r w:rsidR="001210F1">
        <w:rPr>
          <w:rFonts w:ascii="Times New Roman" w:hAnsi="Times New Roman" w:cs="Times New Roman"/>
        </w:rPr>
        <w:t>0</w:t>
      </w:r>
      <w:r>
        <w:rPr>
          <w:rFonts w:ascii="Times New Roman" w:hAnsi="Times New Roman" w:cs="Times New Roman"/>
        </w:rPr>
        <w:t xml:space="preserve"> instances</w:t>
      </w:r>
    </w:p>
    <w:p w14:paraId="4CC4F7D9" w14:textId="4477ED24" w:rsidR="00410841" w:rsidRDefault="0057104E" w:rsidP="00920660">
      <w:pPr>
        <w:rPr>
          <w:rFonts w:ascii="Times New Roman" w:hAnsi="Times New Roman" w:cs="Times New Roman"/>
        </w:rPr>
      </w:pPr>
      <w:r>
        <w:rPr>
          <w:rFonts w:ascii="Times New Roman" w:hAnsi="Times New Roman" w:cs="Times New Roman"/>
        </w:rPr>
        <w:t xml:space="preserve">1c. </w:t>
      </w:r>
      <w:r w:rsidR="007C4F6A">
        <w:rPr>
          <w:rFonts w:ascii="Times New Roman" w:hAnsi="Times New Roman" w:cs="Times New Roman"/>
        </w:rPr>
        <w:t xml:space="preserve">Classification is the perfect </w:t>
      </w:r>
      <w:r w:rsidR="004C0E00">
        <w:rPr>
          <w:rFonts w:ascii="Times New Roman" w:hAnsi="Times New Roman" w:cs="Times New Roman"/>
        </w:rPr>
        <w:t>data mining application for this dataset.</w:t>
      </w:r>
      <w:r w:rsidR="00E842A5">
        <w:rPr>
          <w:rFonts w:ascii="Times New Roman" w:hAnsi="Times New Roman" w:cs="Times New Roman"/>
        </w:rPr>
        <w:t xml:space="preserve"> We are given 5 cards for each instance of a poker hand. Classifying it by what poker hand the cards give you (i.e. pair, flush, etc.) is exactly what this dataset needs.</w:t>
      </w:r>
    </w:p>
    <w:p w14:paraId="6F4FCDCF" w14:textId="77777777" w:rsidR="0057104E" w:rsidRDefault="0057104E" w:rsidP="0057104E">
      <w:pPr>
        <w:rPr>
          <w:rFonts w:ascii="Times New Roman" w:hAnsi="Times New Roman" w:cs="Times New Roman"/>
        </w:rPr>
      </w:pPr>
    </w:p>
    <w:p w14:paraId="3FEF0445" w14:textId="53D07874" w:rsidR="00D06365" w:rsidRPr="002B5F70" w:rsidRDefault="0057104E" w:rsidP="002B5F70">
      <w:pPr>
        <w:rPr>
          <w:rFonts w:ascii="Times New Roman" w:hAnsi="Times New Roman" w:cs="Times New Roman"/>
        </w:rPr>
      </w:pPr>
      <w:r>
        <w:rPr>
          <w:rFonts w:ascii="Times New Roman" w:hAnsi="Times New Roman" w:cs="Times New Roman"/>
        </w:rPr>
        <w:t xml:space="preserve">2a. </w:t>
      </w:r>
      <w:r w:rsidR="00E55AF7">
        <w:rPr>
          <w:rFonts w:ascii="Times New Roman" w:hAnsi="Times New Roman" w:cs="Times New Roman"/>
        </w:rPr>
        <w:t xml:space="preserve">Looking at </w:t>
      </w:r>
      <w:r w:rsidR="002B5F70">
        <w:rPr>
          <w:rFonts w:ascii="Times New Roman" w:hAnsi="Times New Roman" w:cs="Times New Roman"/>
        </w:rPr>
        <w:t>C</w:t>
      </w:r>
      <w:r w:rsidR="00F45F8F">
        <w:rPr>
          <w:rFonts w:ascii="Times New Roman" w:hAnsi="Times New Roman" w:cs="Times New Roman"/>
        </w:rPr>
        <w:t>1</w:t>
      </w:r>
      <w:r w:rsidR="00E55AF7">
        <w:rPr>
          <w:rFonts w:ascii="Times New Roman" w:hAnsi="Times New Roman" w:cs="Times New Roman"/>
        </w:rPr>
        <w:t xml:space="preserve"> attribute</w:t>
      </w:r>
      <w:r w:rsidR="00F45F8F">
        <w:rPr>
          <w:rFonts w:ascii="Times New Roman" w:hAnsi="Times New Roman" w:cs="Times New Roman"/>
        </w:rPr>
        <w:t xml:space="preserve"> (Rank of first ca</w:t>
      </w:r>
      <w:r w:rsidR="002B5F70">
        <w:rPr>
          <w:rFonts w:ascii="Times New Roman" w:hAnsi="Times New Roman" w:cs="Times New Roman"/>
        </w:rPr>
        <w:t>rd)</w:t>
      </w:r>
    </w:p>
    <w:p w14:paraId="4698CF48" w14:textId="77777777" w:rsidR="0018338C" w:rsidRPr="00C82A94" w:rsidRDefault="00D06365"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Pr>
          <w:rFonts w:ascii="Times New Roman" w:hAnsi="Times New Roman" w:cs="Times New Roman"/>
          <w:color w:val="000000" w:themeColor="text1"/>
        </w:rPr>
        <w:tab/>
      </w:r>
      <w:r w:rsidR="0018338C" w:rsidRPr="00C82A94">
        <w:rPr>
          <w:rFonts w:ascii="Courier New" w:hAnsi="Courier New" w:cs="Courier New"/>
          <w:color w:val="000000" w:themeColor="text1"/>
        </w:rPr>
        <w:t>Mean: 6.997927</w:t>
      </w:r>
    </w:p>
    <w:p w14:paraId="6F54DE8F" w14:textId="614E6131"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Pr>
          <w:rFonts w:ascii="Courier New" w:hAnsi="Courier New" w:cs="Courier New"/>
          <w:color w:val="000000" w:themeColor="text1"/>
        </w:rPr>
        <w:t>Median: 7</w:t>
      </w:r>
    </w:p>
    <w:p w14:paraId="25EB1940" w14:textId="7E8EAEB3"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1s: 77252</w:t>
      </w:r>
    </w:p>
    <w:p w14:paraId="4734651F" w14:textId="42D0F8F8"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2s: 76877</w:t>
      </w:r>
    </w:p>
    <w:p w14:paraId="40182AEE" w14:textId="65EC2A51"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3s: 76808</w:t>
      </w:r>
    </w:p>
    <w:p w14:paraId="7A33D00A" w14:textId="302058AB"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4s: 77098</w:t>
      </w:r>
    </w:p>
    <w:p w14:paraId="30C0F8D5" w14:textId="63F65988"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5s: 76877</w:t>
      </w:r>
    </w:p>
    <w:p w14:paraId="7616DE1D" w14:textId="7CD5A632"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6s: 77282</w:t>
      </w:r>
    </w:p>
    <w:p w14:paraId="6653FD76" w14:textId="2B55CCAB"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7s: 76581</w:t>
      </w:r>
    </w:p>
    <w:p w14:paraId="3F2F8CAE" w14:textId="15998361"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8s: 76838</w:t>
      </w:r>
    </w:p>
    <w:p w14:paraId="1E34CFDF" w14:textId="3D51F01D"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9s: 76435</w:t>
      </w:r>
    </w:p>
    <w:p w14:paraId="6B175DA0" w14:textId="0B755424"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10s: 76884</w:t>
      </w:r>
    </w:p>
    <w:p w14:paraId="7A6FA521" w14:textId="2F29A71F"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11s: 77232</w:t>
      </w:r>
    </w:p>
    <w:p w14:paraId="281ED34F" w14:textId="6BFD1305"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12s: 76918</w:t>
      </w:r>
    </w:p>
    <w:p w14:paraId="419D3BF7" w14:textId="66CFA0F3"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Pr="00C82A94">
        <w:rPr>
          <w:rFonts w:ascii="Courier New" w:hAnsi="Courier New" w:cs="Courier New"/>
          <w:color w:val="000000" w:themeColor="text1"/>
        </w:rPr>
        <w:tab/>
      </w:r>
      <w:r w:rsidR="0018338C" w:rsidRPr="00C82A94">
        <w:rPr>
          <w:rFonts w:ascii="Courier New" w:hAnsi="Courier New" w:cs="Courier New"/>
          <w:color w:val="000000" w:themeColor="text1"/>
        </w:rPr>
        <w:t>13s: 76918</w:t>
      </w:r>
    </w:p>
    <w:p w14:paraId="48124A65" w14:textId="580C6A88"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0018338C" w:rsidRPr="00C82A94">
        <w:rPr>
          <w:rFonts w:ascii="Courier New" w:hAnsi="Courier New" w:cs="Courier New"/>
          <w:color w:val="000000" w:themeColor="text1"/>
        </w:rPr>
        <w:t>Mode: 6</w:t>
      </w:r>
    </w:p>
    <w:p w14:paraId="637A6C1F" w14:textId="35CDFA3E" w:rsidR="00C82A94"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Pr>
          <w:rFonts w:ascii="Courier New" w:hAnsi="Courier New" w:cs="Courier New"/>
          <w:color w:val="000000" w:themeColor="text1"/>
        </w:rPr>
        <w:t>Range: 12</w:t>
      </w:r>
    </w:p>
    <w:p w14:paraId="6BAE76AD" w14:textId="0FDAB5B4"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Pr>
          <w:rFonts w:ascii="Courier New" w:hAnsi="Courier New" w:cs="Courier New"/>
          <w:color w:val="000000" w:themeColor="text1"/>
        </w:rPr>
        <w:t>Q1: 4</w:t>
      </w:r>
    </w:p>
    <w:p w14:paraId="1F0BB493" w14:textId="5424D08A"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Pr>
          <w:rFonts w:ascii="Courier New" w:hAnsi="Courier New" w:cs="Courier New"/>
          <w:color w:val="000000" w:themeColor="text1"/>
        </w:rPr>
        <w:t>Q3: 10</w:t>
      </w:r>
    </w:p>
    <w:p w14:paraId="1F1B35CF" w14:textId="5C34477A" w:rsidR="0018338C"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C82A94">
        <w:rPr>
          <w:rFonts w:ascii="Courier New" w:hAnsi="Courier New" w:cs="Courier New"/>
          <w:color w:val="000000" w:themeColor="text1"/>
        </w:rPr>
        <w:tab/>
      </w:r>
      <w:r w:rsidR="0018338C" w:rsidRPr="00C82A94">
        <w:rPr>
          <w:rFonts w:ascii="Courier New" w:hAnsi="Courier New" w:cs="Courier New"/>
          <w:color w:val="000000" w:themeColor="text1"/>
        </w:rPr>
        <w:t>Variance: 14.0128507154</w:t>
      </w:r>
    </w:p>
    <w:p w14:paraId="209EDCF9" w14:textId="5CA6F493" w:rsidR="000A40C8" w:rsidRPr="00C82A94" w:rsidRDefault="00C82A94" w:rsidP="0018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sidRPr="00C82A94">
        <w:rPr>
          <w:rFonts w:ascii="Courier New" w:hAnsi="Courier New" w:cs="Courier New"/>
          <w:color w:val="000000" w:themeColor="text1"/>
        </w:rPr>
        <w:tab/>
      </w:r>
      <w:r w:rsidR="0018338C" w:rsidRPr="00C82A94">
        <w:rPr>
          <w:rFonts w:ascii="Courier New" w:hAnsi="Courier New" w:cs="Courier New"/>
          <w:color w:val="000000" w:themeColor="text1"/>
        </w:rPr>
        <w:t>Std Dev: 3.74337424197</w:t>
      </w:r>
    </w:p>
    <w:p w14:paraId="6EEFE31B" w14:textId="77777777" w:rsidR="006716C6" w:rsidRDefault="006716C6"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73C340AC" w14:textId="31FFDA44" w:rsidR="000A40C8" w:rsidRDefault="000A40C8"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2b. There don’t seem to be any quality issues with this data, barring any input errors. </w:t>
      </w:r>
      <w:r w:rsidR="00A63D46">
        <w:rPr>
          <w:rFonts w:ascii="Times New Roman" w:hAnsi="Times New Roman" w:cs="Times New Roman"/>
          <w:color w:val="000000" w:themeColor="text1"/>
        </w:rPr>
        <w:t>T</w:t>
      </w:r>
      <w:r w:rsidR="008B1721">
        <w:rPr>
          <w:rFonts w:ascii="Times New Roman" w:hAnsi="Times New Roman" w:cs="Times New Roman"/>
          <w:color w:val="000000" w:themeColor="text1"/>
        </w:rPr>
        <w:t>here is no missing data, and no</w:t>
      </w:r>
      <w:r w:rsidR="008E4DB5">
        <w:rPr>
          <w:rFonts w:ascii="Times New Roman" w:hAnsi="Times New Roman" w:cs="Times New Roman"/>
          <w:color w:val="000000" w:themeColor="text1"/>
        </w:rPr>
        <w:t xml:space="preserve"> unknown values.</w:t>
      </w:r>
    </w:p>
    <w:p w14:paraId="7F0190A0" w14:textId="77777777" w:rsidR="00CB6840" w:rsidRDefault="00CB6840"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7A163BDD" w14:textId="590F7353" w:rsidR="00CB6840" w:rsidRDefault="00CB6840"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2c. </w:t>
      </w:r>
      <w:r w:rsidR="005D1D59">
        <w:rPr>
          <w:rFonts w:ascii="Times New Roman" w:hAnsi="Times New Roman" w:cs="Times New Roman"/>
          <w:color w:val="000000" w:themeColor="text1"/>
        </w:rPr>
        <w:t>As each number is important, representing a specific suit and rank, it is important not to mess with these values as they will skew the distribution of classes of poker hands.</w:t>
      </w:r>
      <w:r w:rsidR="00FF30A8">
        <w:rPr>
          <w:rFonts w:ascii="Times New Roman" w:hAnsi="Times New Roman" w:cs="Times New Roman"/>
          <w:color w:val="000000" w:themeColor="text1"/>
        </w:rPr>
        <w:t xml:space="preserve"> Therefore, I would say data </w:t>
      </w:r>
      <w:r w:rsidR="00AE5581">
        <w:rPr>
          <w:rFonts w:ascii="Times New Roman" w:hAnsi="Times New Roman" w:cs="Times New Roman"/>
          <w:color w:val="000000" w:themeColor="text1"/>
        </w:rPr>
        <w:t>smoothing</w:t>
      </w:r>
      <w:r w:rsidR="00FF30A8">
        <w:rPr>
          <w:rFonts w:ascii="Times New Roman" w:hAnsi="Times New Roman" w:cs="Times New Roman"/>
          <w:color w:val="000000" w:themeColor="text1"/>
        </w:rPr>
        <w:t xml:space="preserve"> is not necessary.</w:t>
      </w:r>
      <w:r w:rsidR="00AE5581">
        <w:rPr>
          <w:rFonts w:ascii="Times New Roman" w:hAnsi="Times New Roman" w:cs="Times New Roman"/>
          <w:color w:val="000000" w:themeColor="text1"/>
        </w:rPr>
        <w:t xml:space="preserve"> Data reduction </w:t>
      </w:r>
      <w:r w:rsidR="00445521">
        <w:rPr>
          <w:rFonts w:ascii="Times New Roman" w:hAnsi="Times New Roman" w:cs="Times New Roman"/>
          <w:color w:val="000000" w:themeColor="text1"/>
        </w:rPr>
        <w:t xml:space="preserve">by data compression </w:t>
      </w:r>
      <w:r w:rsidR="00AE5581">
        <w:rPr>
          <w:rFonts w:ascii="Times New Roman" w:hAnsi="Times New Roman" w:cs="Times New Roman"/>
          <w:color w:val="000000" w:themeColor="text1"/>
        </w:rPr>
        <w:t>would be the</w:t>
      </w:r>
      <w:r w:rsidR="00646ECA">
        <w:rPr>
          <w:rFonts w:ascii="Times New Roman" w:hAnsi="Times New Roman" w:cs="Times New Roman"/>
          <w:color w:val="000000" w:themeColor="text1"/>
        </w:rPr>
        <w:t xml:space="preserve"> best choice for preprocessing </w:t>
      </w:r>
      <w:r w:rsidR="00AE5581">
        <w:rPr>
          <w:rFonts w:ascii="Times New Roman" w:hAnsi="Times New Roman" w:cs="Times New Roman"/>
          <w:color w:val="000000" w:themeColor="text1"/>
        </w:rPr>
        <w:t xml:space="preserve">as </w:t>
      </w:r>
      <w:r w:rsidR="00445521">
        <w:rPr>
          <w:rFonts w:ascii="Times New Roman" w:hAnsi="Times New Roman" w:cs="Times New Roman"/>
          <w:color w:val="000000" w:themeColor="text1"/>
        </w:rPr>
        <w:t>1M tuples is a lot to work with.</w:t>
      </w:r>
    </w:p>
    <w:p w14:paraId="69244520" w14:textId="77777777" w:rsidR="00DB467A" w:rsidRDefault="00DB467A"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2F7CD722" w14:textId="77777777" w:rsidR="00DB467A" w:rsidRDefault="00DB467A"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p>
    <w:p w14:paraId="63560C84" w14:textId="154FB49A" w:rsidR="00DB467A" w:rsidRDefault="005E13C0" w:rsidP="00FA6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lastRenderedPageBreak/>
        <w:t>2c.</w:t>
      </w:r>
      <w:r>
        <w:rPr>
          <w:rFonts w:ascii="Times New Roman" w:hAnsi="Times New Roman" w:cs="Times New Roman"/>
          <w:color w:val="000000" w:themeColor="text1"/>
        </w:rPr>
        <w:tab/>
      </w:r>
    </w:p>
    <w:p w14:paraId="34BA9E93" w14:textId="3EC7C1F2" w:rsidR="005E13C0" w:rsidRDefault="002C67B4"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noProof/>
        </w:rPr>
        <w:drawing>
          <wp:inline distT="0" distB="0" distL="0" distR="0" wp14:anchorId="1068270D" wp14:editId="64342BA1">
            <wp:extent cx="5521506" cy="2345690"/>
            <wp:effectExtent l="0" t="0" r="1587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606D9F" w14:textId="77777777" w:rsidR="00197EAE" w:rsidRDefault="00197EAE"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555F1D9D" w14:textId="624E3697" w:rsidR="007A7370" w:rsidRDefault="00196614"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D91182B" wp14:editId="7923EFEC">
            <wp:extent cx="5521506" cy="2664097"/>
            <wp:effectExtent l="0" t="0" r="15875"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53FC36" w14:textId="0B404D7B" w:rsidR="006A7B50" w:rsidRDefault="009E293D"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rFonts w:ascii="Times New Roman" w:hAnsi="Times New Roman" w:cs="Times New Roman"/>
          <w:color w:val="000000" w:themeColor="text1"/>
        </w:rPr>
        <w:tab/>
        <w:t xml:space="preserve">The above means would replace all values in the above </w:t>
      </w:r>
      <w:r w:rsidR="001A1EE6">
        <w:rPr>
          <w:rFonts w:ascii="Times New Roman" w:hAnsi="Times New Roman" w:cs="Times New Roman"/>
          <w:color w:val="000000" w:themeColor="text1"/>
        </w:rPr>
        <w:t>equi-depth</w:t>
      </w:r>
      <w:r>
        <w:rPr>
          <w:rFonts w:ascii="Times New Roman" w:hAnsi="Times New Roman" w:cs="Times New Roman"/>
          <w:color w:val="000000" w:themeColor="text1"/>
        </w:rPr>
        <w:t xml:space="preserve"> to perform data smoothing.</w:t>
      </w:r>
    </w:p>
    <w:p w14:paraId="199B5530" w14:textId="77777777" w:rsidR="00F6039C" w:rsidRDefault="00F6039C"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500074E4" w14:textId="6D76F311" w:rsidR="00E805B5" w:rsidRDefault="00FD19BF" w:rsidP="006A7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2F06949" wp14:editId="3F48880B">
            <wp:extent cx="2250259" cy="2128339"/>
            <wp:effectExtent l="0" t="0" r="10795"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EB4858">
        <w:rPr>
          <w:rFonts w:ascii="Times New Roman" w:hAnsi="Times New Roman" w:cs="Times New Roman"/>
          <w:noProof/>
          <w:color w:val="000000" w:themeColor="text1"/>
        </w:rPr>
        <w:drawing>
          <wp:inline distT="0" distB="0" distL="0" distR="0" wp14:anchorId="197580BC" wp14:editId="0809889C">
            <wp:extent cx="2642054" cy="2169160"/>
            <wp:effectExtent l="0" t="0" r="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BCB1E8" w14:textId="09E5ECA4" w:rsidR="009E293D" w:rsidRDefault="009E293D" w:rsidP="009E29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rFonts w:ascii="Times New Roman" w:hAnsi="Times New Roman" w:cs="Times New Roman"/>
          <w:color w:val="000000" w:themeColor="text1"/>
        </w:rPr>
        <w:t xml:space="preserve">The above means would replace all values in the above </w:t>
      </w:r>
      <w:r>
        <w:rPr>
          <w:rFonts w:ascii="Times New Roman" w:hAnsi="Times New Roman" w:cs="Times New Roman"/>
          <w:color w:val="000000" w:themeColor="text1"/>
        </w:rPr>
        <w:t>equi-width histogram</w:t>
      </w:r>
      <w:r>
        <w:rPr>
          <w:rFonts w:ascii="Times New Roman" w:hAnsi="Times New Roman" w:cs="Times New Roman"/>
          <w:color w:val="000000" w:themeColor="text1"/>
        </w:rPr>
        <w:t xml:space="preserve"> to perform data smoothing.</w:t>
      </w:r>
    </w:p>
    <w:p w14:paraId="4C74C900" w14:textId="77777777" w:rsidR="009E293D" w:rsidRDefault="009E293D" w:rsidP="006A7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374FF026" w14:textId="77777777" w:rsidR="009E293D" w:rsidRDefault="009E293D" w:rsidP="006A7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245A2928" w14:textId="258B58E4" w:rsidR="00197EAE" w:rsidRDefault="0068068C"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DDDF758" wp14:editId="242CE4C1">
            <wp:extent cx="5521506" cy="2517140"/>
            <wp:effectExtent l="0" t="0" r="1587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A93900" w14:textId="77777777" w:rsidR="00BB0EEB" w:rsidRDefault="00BB0EEB"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14750A2E" w14:textId="77777777" w:rsidR="00924BAE" w:rsidRDefault="00924BAE"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1B317002" w14:textId="29D33ADC" w:rsidR="00924BAE" w:rsidRDefault="00536BEA"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785CF02" wp14:editId="3A0158F3">
            <wp:extent cx="5521506" cy="2427333"/>
            <wp:effectExtent l="0" t="0" r="15875"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A02F19" w14:textId="77777777" w:rsidR="00311B21" w:rsidRDefault="00311B21" w:rsidP="00311B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6"/>
        <w:rPr>
          <w:rFonts w:ascii="Times New Roman" w:hAnsi="Times New Roman" w:cs="Times New Roman"/>
          <w:color w:val="000000" w:themeColor="text1"/>
        </w:rPr>
      </w:pPr>
    </w:p>
    <w:p w14:paraId="0A3BA050" w14:textId="3EAEF82B" w:rsidR="00311B21" w:rsidRPr="00311B21" w:rsidRDefault="00BC69EE" w:rsidP="00BC69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3b. </w:t>
      </w:r>
      <w:r w:rsidR="006D065C">
        <w:rPr>
          <w:rFonts w:ascii="Times New Roman" w:hAnsi="Times New Roman" w:cs="Times New Roman"/>
          <w:color w:val="000000" w:themeColor="text1"/>
        </w:rPr>
        <w:t>C1 – C5 all have around the same distributions</w:t>
      </w:r>
      <w:r w:rsidR="00D7022A">
        <w:rPr>
          <w:rFonts w:ascii="Times New Roman" w:hAnsi="Times New Roman" w:cs="Times New Roman"/>
          <w:color w:val="000000" w:themeColor="text1"/>
        </w:rPr>
        <w:t xml:space="preserve"> (similar to what is seen in 2a).</w:t>
      </w:r>
      <w:r w:rsidR="00292C84">
        <w:rPr>
          <w:rFonts w:ascii="Times New Roman" w:hAnsi="Times New Roman" w:cs="Times New Roman"/>
          <w:color w:val="000000" w:themeColor="text1"/>
        </w:rPr>
        <w:t xml:space="preserve"> S1 – S5 have virtually identical distributions, with an equal number of 1’s, 2’s, 3’s, and 4’s throughout S1 to S5. These observations are to be expected as each card is just as likely to be chosen the any other card at any given point when choosing from a 52 card deck.</w:t>
      </w:r>
      <w:bookmarkStart w:id="0" w:name="_GoBack"/>
      <w:bookmarkEnd w:id="0"/>
    </w:p>
    <w:sectPr w:rsidR="00311B21" w:rsidRPr="00311B21" w:rsidSect="0083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53A70"/>
    <w:multiLevelType w:val="hybridMultilevel"/>
    <w:tmpl w:val="2C92376A"/>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18"/>
    <w:rsid w:val="000149C8"/>
    <w:rsid w:val="00021C31"/>
    <w:rsid w:val="000869EB"/>
    <w:rsid w:val="000A40C8"/>
    <w:rsid w:val="001210F1"/>
    <w:rsid w:val="00122F6A"/>
    <w:rsid w:val="0018338C"/>
    <w:rsid w:val="00196614"/>
    <w:rsid w:val="00197EAE"/>
    <w:rsid w:val="001A1EE6"/>
    <w:rsid w:val="001E5A12"/>
    <w:rsid w:val="00221924"/>
    <w:rsid w:val="00241422"/>
    <w:rsid w:val="00244FC0"/>
    <w:rsid w:val="00292C84"/>
    <w:rsid w:val="002A22F5"/>
    <w:rsid w:val="002B5F70"/>
    <w:rsid w:val="002C1091"/>
    <w:rsid w:val="002C67B4"/>
    <w:rsid w:val="00311B21"/>
    <w:rsid w:val="00395DD1"/>
    <w:rsid w:val="00401E10"/>
    <w:rsid w:val="00410841"/>
    <w:rsid w:val="004264A3"/>
    <w:rsid w:val="00445521"/>
    <w:rsid w:val="004610FF"/>
    <w:rsid w:val="00481A04"/>
    <w:rsid w:val="004C0E00"/>
    <w:rsid w:val="004D485C"/>
    <w:rsid w:val="00536BEA"/>
    <w:rsid w:val="0057104E"/>
    <w:rsid w:val="005D1D59"/>
    <w:rsid w:val="005E13C0"/>
    <w:rsid w:val="005E5567"/>
    <w:rsid w:val="00646ECA"/>
    <w:rsid w:val="006716C6"/>
    <w:rsid w:val="0068068C"/>
    <w:rsid w:val="006A7B50"/>
    <w:rsid w:val="006D065C"/>
    <w:rsid w:val="007A3FDB"/>
    <w:rsid w:val="007A7370"/>
    <w:rsid w:val="007C4F6A"/>
    <w:rsid w:val="00832D14"/>
    <w:rsid w:val="00832F8F"/>
    <w:rsid w:val="00840609"/>
    <w:rsid w:val="008B1721"/>
    <w:rsid w:val="008E4DB5"/>
    <w:rsid w:val="008F2F62"/>
    <w:rsid w:val="009027F7"/>
    <w:rsid w:val="0091336A"/>
    <w:rsid w:val="00920660"/>
    <w:rsid w:val="00924BAE"/>
    <w:rsid w:val="00937D31"/>
    <w:rsid w:val="00956A4A"/>
    <w:rsid w:val="009A35FA"/>
    <w:rsid w:val="009C59A2"/>
    <w:rsid w:val="009E293D"/>
    <w:rsid w:val="00A13D02"/>
    <w:rsid w:val="00A15120"/>
    <w:rsid w:val="00A247C6"/>
    <w:rsid w:val="00A63D46"/>
    <w:rsid w:val="00A92B82"/>
    <w:rsid w:val="00AE5581"/>
    <w:rsid w:val="00AE73CF"/>
    <w:rsid w:val="00B47B18"/>
    <w:rsid w:val="00BB0EEB"/>
    <w:rsid w:val="00BB74E3"/>
    <w:rsid w:val="00BC5F64"/>
    <w:rsid w:val="00BC69EE"/>
    <w:rsid w:val="00C16776"/>
    <w:rsid w:val="00C27EE0"/>
    <w:rsid w:val="00C42936"/>
    <w:rsid w:val="00C43DA7"/>
    <w:rsid w:val="00C82A94"/>
    <w:rsid w:val="00CA0192"/>
    <w:rsid w:val="00CB6840"/>
    <w:rsid w:val="00D06365"/>
    <w:rsid w:val="00D7022A"/>
    <w:rsid w:val="00D76A7B"/>
    <w:rsid w:val="00D843E9"/>
    <w:rsid w:val="00DB467A"/>
    <w:rsid w:val="00DE625F"/>
    <w:rsid w:val="00DE7CAB"/>
    <w:rsid w:val="00DF472B"/>
    <w:rsid w:val="00E003B3"/>
    <w:rsid w:val="00E356EA"/>
    <w:rsid w:val="00E55AF7"/>
    <w:rsid w:val="00E805B5"/>
    <w:rsid w:val="00E81974"/>
    <w:rsid w:val="00E842A5"/>
    <w:rsid w:val="00EB4858"/>
    <w:rsid w:val="00F1101D"/>
    <w:rsid w:val="00F45F8F"/>
    <w:rsid w:val="00F6039C"/>
    <w:rsid w:val="00FA631A"/>
    <w:rsid w:val="00FD19BF"/>
    <w:rsid w:val="00FF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971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Equal</a:t>
            </a:r>
            <a:r>
              <a:rPr lang="en-US" baseline="0"/>
              <a:t> Frequency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to 2</c:v>
                </c:pt>
              </c:strCache>
            </c:strRef>
          </c:tx>
          <c:spPr>
            <a:solidFill>
              <a:schemeClr val="accent1"/>
            </a:solidFill>
            <a:ln>
              <a:noFill/>
            </a:ln>
            <a:effectLst/>
          </c:spPr>
          <c:invertIfNegative val="0"/>
          <c:cat>
            <c:strRef>
              <c:f>Sheet1!$A$2</c:f>
              <c:strCache>
                <c:ptCount val="1"/>
                <c:pt idx="0">
                  <c:v>Freq</c:v>
                </c:pt>
              </c:strCache>
            </c:strRef>
          </c:cat>
          <c:val>
            <c:numRef>
              <c:f>Sheet1!$B$2</c:f>
              <c:numCache>
                <c:formatCode>General</c:formatCode>
                <c:ptCount val="1"/>
                <c:pt idx="0">
                  <c:v>10.0</c:v>
                </c:pt>
              </c:numCache>
            </c:numRef>
          </c:val>
        </c:ser>
        <c:ser>
          <c:idx val="1"/>
          <c:order val="1"/>
          <c:tx>
            <c:strRef>
              <c:f>Sheet1!$C$1</c:f>
              <c:strCache>
                <c:ptCount val="1"/>
                <c:pt idx="0">
                  <c:v>2 to 3</c:v>
                </c:pt>
              </c:strCache>
            </c:strRef>
          </c:tx>
          <c:spPr>
            <a:solidFill>
              <a:schemeClr val="accent2"/>
            </a:solidFill>
            <a:ln>
              <a:noFill/>
            </a:ln>
            <a:effectLst/>
          </c:spPr>
          <c:invertIfNegative val="0"/>
          <c:cat>
            <c:strRef>
              <c:f>Sheet1!$A$2</c:f>
              <c:strCache>
                <c:ptCount val="1"/>
                <c:pt idx="0">
                  <c:v>Freq</c:v>
                </c:pt>
              </c:strCache>
            </c:strRef>
          </c:cat>
          <c:val>
            <c:numRef>
              <c:f>Sheet1!$C$2</c:f>
              <c:numCache>
                <c:formatCode>General</c:formatCode>
                <c:ptCount val="1"/>
                <c:pt idx="0">
                  <c:v>10.0</c:v>
                </c:pt>
              </c:numCache>
            </c:numRef>
          </c:val>
        </c:ser>
        <c:ser>
          <c:idx val="2"/>
          <c:order val="2"/>
          <c:tx>
            <c:strRef>
              <c:f>Sheet1!$D$1</c:f>
              <c:strCache>
                <c:ptCount val="1"/>
                <c:pt idx="0">
                  <c:v>3 to 4</c:v>
                </c:pt>
              </c:strCache>
            </c:strRef>
          </c:tx>
          <c:spPr>
            <a:solidFill>
              <a:schemeClr val="accent3"/>
            </a:solidFill>
            <a:ln>
              <a:noFill/>
            </a:ln>
            <a:effectLst/>
          </c:spPr>
          <c:invertIfNegative val="0"/>
          <c:cat>
            <c:strRef>
              <c:f>Sheet1!$A$2</c:f>
              <c:strCache>
                <c:ptCount val="1"/>
                <c:pt idx="0">
                  <c:v>Freq</c:v>
                </c:pt>
              </c:strCache>
            </c:strRef>
          </c:cat>
          <c:val>
            <c:numRef>
              <c:f>Sheet1!$D$2</c:f>
              <c:numCache>
                <c:formatCode>General</c:formatCode>
                <c:ptCount val="1"/>
                <c:pt idx="0">
                  <c:v>10.0</c:v>
                </c:pt>
              </c:numCache>
            </c:numRef>
          </c:val>
        </c:ser>
        <c:ser>
          <c:idx val="3"/>
          <c:order val="3"/>
          <c:tx>
            <c:strRef>
              <c:f>Sheet1!$E$1</c:f>
              <c:strCache>
                <c:ptCount val="1"/>
                <c:pt idx="0">
                  <c:v>4 to 5</c:v>
                </c:pt>
              </c:strCache>
            </c:strRef>
          </c:tx>
          <c:spPr>
            <a:solidFill>
              <a:schemeClr val="accent4"/>
            </a:solidFill>
            <a:ln>
              <a:noFill/>
            </a:ln>
            <a:effectLst/>
          </c:spPr>
          <c:invertIfNegative val="0"/>
          <c:cat>
            <c:strRef>
              <c:f>Sheet1!$A$2</c:f>
              <c:strCache>
                <c:ptCount val="1"/>
                <c:pt idx="0">
                  <c:v>Freq</c:v>
                </c:pt>
              </c:strCache>
            </c:strRef>
          </c:cat>
          <c:val>
            <c:numRef>
              <c:f>Sheet1!$E$2</c:f>
              <c:numCache>
                <c:formatCode>General</c:formatCode>
                <c:ptCount val="1"/>
                <c:pt idx="0">
                  <c:v>10.0</c:v>
                </c:pt>
              </c:numCache>
            </c:numRef>
          </c:val>
        </c:ser>
        <c:ser>
          <c:idx val="4"/>
          <c:order val="4"/>
          <c:tx>
            <c:strRef>
              <c:f>Sheet1!$F$1</c:f>
              <c:strCache>
                <c:ptCount val="1"/>
                <c:pt idx="0">
                  <c:v>5 to 7</c:v>
                </c:pt>
              </c:strCache>
            </c:strRef>
          </c:tx>
          <c:spPr>
            <a:solidFill>
              <a:schemeClr val="accent5"/>
            </a:solidFill>
            <a:ln>
              <a:noFill/>
            </a:ln>
            <a:effectLst/>
          </c:spPr>
          <c:invertIfNegative val="0"/>
          <c:cat>
            <c:strRef>
              <c:f>Sheet1!$A$2</c:f>
              <c:strCache>
                <c:ptCount val="1"/>
                <c:pt idx="0">
                  <c:v>Freq</c:v>
                </c:pt>
              </c:strCache>
            </c:strRef>
          </c:cat>
          <c:val>
            <c:numRef>
              <c:f>Sheet1!$F$2</c:f>
              <c:numCache>
                <c:formatCode>General</c:formatCode>
                <c:ptCount val="1"/>
                <c:pt idx="0">
                  <c:v>10.0</c:v>
                </c:pt>
              </c:numCache>
            </c:numRef>
          </c:val>
        </c:ser>
        <c:ser>
          <c:idx val="5"/>
          <c:order val="5"/>
          <c:tx>
            <c:strRef>
              <c:f>Sheet1!$G$1</c:f>
              <c:strCache>
                <c:ptCount val="1"/>
                <c:pt idx="0">
                  <c:v>7 to 9</c:v>
                </c:pt>
              </c:strCache>
            </c:strRef>
          </c:tx>
          <c:spPr>
            <a:solidFill>
              <a:schemeClr val="accent6"/>
            </a:solidFill>
            <a:ln>
              <a:noFill/>
            </a:ln>
            <a:effectLst/>
          </c:spPr>
          <c:invertIfNegative val="0"/>
          <c:cat>
            <c:strRef>
              <c:f>Sheet1!$A$2</c:f>
              <c:strCache>
                <c:ptCount val="1"/>
                <c:pt idx="0">
                  <c:v>Freq</c:v>
                </c:pt>
              </c:strCache>
            </c:strRef>
          </c:cat>
          <c:val>
            <c:numRef>
              <c:f>Sheet1!$G$2</c:f>
              <c:numCache>
                <c:formatCode>General</c:formatCode>
                <c:ptCount val="1"/>
                <c:pt idx="0">
                  <c:v>10.0</c:v>
                </c:pt>
              </c:numCache>
            </c:numRef>
          </c:val>
        </c:ser>
        <c:ser>
          <c:idx val="6"/>
          <c:order val="6"/>
          <c:tx>
            <c:strRef>
              <c:f>Sheet1!$H$1</c:f>
              <c:strCache>
                <c:ptCount val="1"/>
                <c:pt idx="0">
                  <c:v>9 to 10</c:v>
                </c:pt>
              </c:strCache>
            </c:strRef>
          </c:tx>
          <c:spPr>
            <a:solidFill>
              <a:schemeClr val="accent1">
                <a:lumMod val="60000"/>
              </a:schemeClr>
            </a:solidFill>
            <a:ln>
              <a:noFill/>
            </a:ln>
            <a:effectLst/>
          </c:spPr>
          <c:invertIfNegative val="0"/>
          <c:cat>
            <c:strRef>
              <c:f>Sheet1!$A$2</c:f>
              <c:strCache>
                <c:ptCount val="1"/>
                <c:pt idx="0">
                  <c:v>Freq</c:v>
                </c:pt>
              </c:strCache>
            </c:strRef>
          </c:cat>
          <c:val>
            <c:numRef>
              <c:f>Sheet1!$H$2</c:f>
              <c:numCache>
                <c:formatCode>General</c:formatCode>
                <c:ptCount val="1"/>
                <c:pt idx="0">
                  <c:v>10.0</c:v>
                </c:pt>
              </c:numCache>
            </c:numRef>
          </c:val>
        </c:ser>
        <c:ser>
          <c:idx val="7"/>
          <c:order val="7"/>
          <c:tx>
            <c:strRef>
              <c:f>Sheet1!$I$1</c:f>
              <c:strCache>
                <c:ptCount val="1"/>
                <c:pt idx="0">
                  <c:v>10 to 11</c:v>
                </c:pt>
              </c:strCache>
            </c:strRef>
          </c:tx>
          <c:spPr>
            <a:solidFill>
              <a:schemeClr val="accent2">
                <a:lumMod val="60000"/>
              </a:schemeClr>
            </a:solidFill>
            <a:ln>
              <a:noFill/>
            </a:ln>
            <a:effectLst/>
          </c:spPr>
          <c:invertIfNegative val="0"/>
          <c:cat>
            <c:strRef>
              <c:f>Sheet1!$A$2</c:f>
              <c:strCache>
                <c:ptCount val="1"/>
                <c:pt idx="0">
                  <c:v>Freq</c:v>
                </c:pt>
              </c:strCache>
            </c:strRef>
          </c:cat>
          <c:val>
            <c:numRef>
              <c:f>Sheet1!$I$2</c:f>
              <c:numCache>
                <c:formatCode>General</c:formatCode>
                <c:ptCount val="1"/>
                <c:pt idx="0">
                  <c:v>10.0</c:v>
                </c:pt>
              </c:numCache>
            </c:numRef>
          </c:val>
        </c:ser>
        <c:ser>
          <c:idx val="8"/>
          <c:order val="8"/>
          <c:tx>
            <c:strRef>
              <c:f>Sheet1!$J$1</c:f>
              <c:strCache>
                <c:ptCount val="1"/>
                <c:pt idx="0">
                  <c:v>11 to 12</c:v>
                </c:pt>
              </c:strCache>
            </c:strRef>
          </c:tx>
          <c:spPr>
            <a:solidFill>
              <a:schemeClr val="accent3">
                <a:lumMod val="60000"/>
              </a:schemeClr>
            </a:solidFill>
            <a:ln>
              <a:noFill/>
            </a:ln>
            <a:effectLst/>
          </c:spPr>
          <c:invertIfNegative val="0"/>
          <c:cat>
            <c:strRef>
              <c:f>Sheet1!$A$2</c:f>
              <c:strCache>
                <c:ptCount val="1"/>
                <c:pt idx="0">
                  <c:v>Freq</c:v>
                </c:pt>
              </c:strCache>
            </c:strRef>
          </c:cat>
          <c:val>
            <c:numRef>
              <c:f>Sheet1!$J$2</c:f>
              <c:numCache>
                <c:formatCode>General</c:formatCode>
                <c:ptCount val="1"/>
                <c:pt idx="0">
                  <c:v>10.0</c:v>
                </c:pt>
              </c:numCache>
            </c:numRef>
          </c:val>
        </c:ser>
        <c:ser>
          <c:idx val="9"/>
          <c:order val="9"/>
          <c:tx>
            <c:strRef>
              <c:f>Sheet1!$K$1</c:f>
              <c:strCache>
                <c:ptCount val="1"/>
                <c:pt idx="0">
                  <c:v>12 to 13</c:v>
                </c:pt>
              </c:strCache>
            </c:strRef>
          </c:tx>
          <c:spPr>
            <a:solidFill>
              <a:schemeClr val="accent4">
                <a:lumMod val="60000"/>
              </a:schemeClr>
            </a:solidFill>
            <a:ln>
              <a:noFill/>
            </a:ln>
            <a:effectLst/>
          </c:spPr>
          <c:invertIfNegative val="0"/>
          <c:cat>
            <c:strRef>
              <c:f>Sheet1!$A$2</c:f>
              <c:strCache>
                <c:ptCount val="1"/>
                <c:pt idx="0">
                  <c:v>Freq</c:v>
                </c:pt>
              </c:strCache>
            </c:strRef>
          </c:cat>
          <c:val>
            <c:numRef>
              <c:f>Sheet1!$K$2</c:f>
              <c:numCache>
                <c:formatCode>General</c:formatCode>
                <c:ptCount val="1"/>
                <c:pt idx="0">
                  <c:v>10.0</c:v>
                </c:pt>
              </c:numCache>
            </c:numRef>
          </c:val>
        </c:ser>
        <c:dLbls>
          <c:showLegendKey val="0"/>
          <c:showVal val="0"/>
          <c:showCatName val="0"/>
          <c:showSerName val="0"/>
          <c:showPercent val="0"/>
          <c:showBubbleSize val="0"/>
        </c:dLbls>
        <c:gapWidth val="219"/>
        <c:overlap val="-27"/>
        <c:axId val="-1515754528"/>
        <c:axId val="-1515752752"/>
      </c:barChart>
      <c:catAx>
        <c:axId val="-151575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52752"/>
        <c:crosses val="autoZero"/>
        <c:auto val="1"/>
        <c:lblAlgn val="ctr"/>
        <c:lblOffset val="100"/>
        <c:noMultiLvlLbl val="0"/>
      </c:catAx>
      <c:valAx>
        <c:axId val="-151575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5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Means of Above Partitions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to 2</c:v>
                </c:pt>
              </c:strCache>
            </c:strRef>
          </c:tx>
          <c:spPr>
            <a:solidFill>
              <a:schemeClr val="accent1"/>
            </a:solidFill>
            <a:ln>
              <a:noFill/>
            </a:ln>
            <a:effectLst/>
          </c:spPr>
          <c:invertIfNegative val="0"/>
          <c:cat>
            <c:strRef>
              <c:f>Sheet1!$A$2</c:f>
              <c:strCache>
                <c:ptCount val="1"/>
                <c:pt idx="0">
                  <c:v>Mean</c:v>
                </c:pt>
              </c:strCache>
            </c:strRef>
          </c:cat>
          <c:val>
            <c:numRef>
              <c:f>Sheet1!$B$2</c:f>
              <c:numCache>
                <c:formatCode>General</c:formatCode>
                <c:ptCount val="1"/>
                <c:pt idx="0">
                  <c:v>1.6</c:v>
                </c:pt>
              </c:numCache>
            </c:numRef>
          </c:val>
        </c:ser>
        <c:ser>
          <c:idx val="1"/>
          <c:order val="1"/>
          <c:tx>
            <c:strRef>
              <c:f>Sheet1!$C$1</c:f>
              <c:strCache>
                <c:ptCount val="1"/>
                <c:pt idx="0">
                  <c:v>2 to 3</c:v>
                </c:pt>
              </c:strCache>
            </c:strRef>
          </c:tx>
          <c:spPr>
            <a:solidFill>
              <a:schemeClr val="accent2"/>
            </a:solidFill>
            <a:ln>
              <a:noFill/>
            </a:ln>
            <a:effectLst/>
          </c:spPr>
          <c:invertIfNegative val="0"/>
          <c:cat>
            <c:strRef>
              <c:f>Sheet1!$A$2</c:f>
              <c:strCache>
                <c:ptCount val="1"/>
                <c:pt idx="0">
                  <c:v>Mean</c:v>
                </c:pt>
              </c:strCache>
            </c:strRef>
          </c:cat>
          <c:val>
            <c:numRef>
              <c:f>Sheet1!$C$2</c:f>
              <c:numCache>
                <c:formatCode>General</c:formatCode>
                <c:ptCount val="1"/>
                <c:pt idx="0">
                  <c:v>2.6</c:v>
                </c:pt>
              </c:numCache>
            </c:numRef>
          </c:val>
        </c:ser>
        <c:ser>
          <c:idx val="2"/>
          <c:order val="2"/>
          <c:tx>
            <c:strRef>
              <c:f>Sheet1!$D$1</c:f>
              <c:strCache>
                <c:ptCount val="1"/>
                <c:pt idx="0">
                  <c:v>3 to 4</c:v>
                </c:pt>
              </c:strCache>
            </c:strRef>
          </c:tx>
          <c:spPr>
            <a:solidFill>
              <a:schemeClr val="accent3"/>
            </a:solidFill>
            <a:ln>
              <a:noFill/>
            </a:ln>
            <a:effectLst/>
          </c:spPr>
          <c:invertIfNegative val="0"/>
          <c:cat>
            <c:strRef>
              <c:f>Sheet1!$A$2</c:f>
              <c:strCache>
                <c:ptCount val="1"/>
                <c:pt idx="0">
                  <c:v>Mean</c:v>
                </c:pt>
              </c:strCache>
            </c:strRef>
          </c:cat>
          <c:val>
            <c:numRef>
              <c:f>Sheet1!$D$2</c:f>
              <c:numCache>
                <c:formatCode>General</c:formatCode>
                <c:ptCount val="1"/>
                <c:pt idx="0">
                  <c:v>3.6</c:v>
                </c:pt>
              </c:numCache>
            </c:numRef>
          </c:val>
        </c:ser>
        <c:ser>
          <c:idx val="3"/>
          <c:order val="3"/>
          <c:tx>
            <c:strRef>
              <c:f>Sheet1!$E$1</c:f>
              <c:strCache>
                <c:ptCount val="1"/>
                <c:pt idx="0">
                  <c:v>4 to 5 </c:v>
                </c:pt>
              </c:strCache>
            </c:strRef>
          </c:tx>
          <c:spPr>
            <a:solidFill>
              <a:schemeClr val="accent4"/>
            </a:solidFill>
            <a:ln>
              <a:noFill/>
            </a:ln>
            <a:effectLst/>
          </c:spPr>
          <c:invertIfNegative val="0"/>
          <c:cat>
            <c:strRef>
              <c:f>Sheet1!$A$2</c:f>
              <c:strCache>
                <c:ptCount val="1"/>
                <c:pt idx="0">
                  <c:v>Mean</c:v>
                </c:pt>
              </c:strCache>
            </c:strRef>
          </c:cat>
          <c:val>
            <c:numRef>
              <c:f>Sheet1!$E$2</c:f>
              <c:numCache>
                <c:formatCode>General</c:formatCode>
                <c:ptCount val="1"/>
                <c:pt idx="0">
                  <c:v>4.7</c:v>
                </c:pt>
              </c:numCache>
            </c:numRef>
          </c:val>
        </c:ser>
        <c:ser>
          <c:idx val="4"/>
          <c:order val="4"/>
          <c:tx>
            <c:strRef>
              <c:f>Sheet1!$F$1</c:f>
              <c:strCache>
                <c:ptCount val="1"/>
                <c:pt idx="0">
                  <c:v>5 to 7</c:v>
                </c:pt>
              </c:strCache>
            </c:strRef>
          </c:tx>
          <c:spPr>
            <a:solidFill>
              <a:schemeClr val="accent5"/>
            </a:solidFill>
            <a:ln>
              <a:noFill/>
            </a:ln>
            <a:effectLst/>
          </c:spPr>
          <c:invertIfNegative val="0"/>
          <c:cat>
            <c:strRef>
              <c:f>Sheet1!$A$2</c:f>
              <c:strCache>
                <c:ptCount val="1"/>
                <c:pt idx="0">
                  <c:v>Mean</c:v>
                </c:pt>
              </c:strCache>
            </c:strRef>
          </c:cat>
          <c:val>
            <c:numRef>
              <c:f>Sheet1!$F$2</c:f>
              <c:numCache>
                <c:formatCode>General</c:formatCode>
                <c:ptCount val="1"/>
                <c:pt idx="0">
                  <c:v>6.0</c:v>
                </c:pt>
              </c:numCache>
            </c:numRef>
          </c:val>
        </c:ser>
        <c:ser>
          <c:idx val="5"/>
          <c:order val="5"/>
          <c:tx>
            <c:strRef>
              <c:f>Sheet1!$G$1</c:f>
              <c:strCache>
                <c:ptCount val="1"/>
                <c:pt idx="0">
                  <c:v>7 to 9</c:v>
                </c:pt>
              </c:strCache>
            </c:strRef>
          </c:tx>
          <c:spPr>
            <a:solidFill>
              <a:schemeClr val="accent6"/>
            </a:solidFill>
            <a:ln>
              <a:noFill/>
            </a:ln>
            <a:effectLst/>
          </c:spPr>
          <c:invertIfNegative val="0"/>
          <c:cat>
            <c:strRef>
              <c:f>Sheet1!$A$2</c:f>
              <c:strCache>
                <c:ptCount val="1"/>
                <c:pt idx="0">
                  <c:v>Mean</c:v>
                </c:pt>
              </c:strCache>
            </c:strRef>
          </c:cat>
          <c:val>
            <c:numRef>
              <c:f>Sheet1!$G$2</c:f>
              <c:numCache>
                <c:formatCode>General</c:formatCode>
                <c:ptCount val="1"/>
                <c:pt idx="0">
                  <c:v>7.9</c:v>
                </c:pt>
              </c:numCache>
            </c:numRef>
          </c:val>
        </c:ser>
        <c:ser>
          <c:idx val="6"/>
          <c:order val="6"/>
          <c:tx>
            <c:strRef>
              <c:f>Sheet1!$H$1</c:f>
              <c:strCache>
                <c:ptCount val="1"/>
                <c:pt idx="0">
                  <c:v>9 to 10</c:v>
                </c:pt>
              </c:strCache>
            </c:strRef>
          </c:tx>
          <c:spPr>
            <a:solidFill>
              <a:schemeClr val="accent1">
                <a:lumMod val="60000"/>
              </a:schemeClr>
            </a:solidFill>
            <a:ln>
              <a:noFill/>
            </a:ln>
            <a:effectLst/>
          </c:spPr>
          <c:invertIfNegative val="0"/>
          <c:cat>
            <c:strRef>
              <c:f>Sheet1!$A$2</c:f>
              <c:strCache>
                <c:ptCount val="1"/>
                <c:pt idx="0">
                  <c:v>Mean</c:v>
                </c:pt>
              </c:strCache>
            </c:strRef>
          </c:cat>
          <c:val>
            <c:numRef>
              <c:f>Sheet1!$H$2</c:f>
              <c:numCache>
                <c:formatCode>General</c:formatCode>
                <c:ptCount val="1"/>
                <c:pt idx="0">
                  <c:v>9.4</c:v>
                </c:pt>
              </c:numCache>
            </c:numRef>
          </c:val>
        </c:ser>
        <c:ser>
          <c:idx val="7"/>
          <c:order val="7"/>
          <c:tx>
            <c:strRef>
              <c:f>Sheet1!$I$1</c:f>
              <c:strCache>
                <c:ptCount val="1"/>
                <c:pt idx="0">
                  <c:v>10 to 11</c:v>
                </c:pt>
              </c:strCache>
            </c:strRef>
          </c:tx>
          <c:spPr>
            <a:solidFill>
              <a:schemeClr val="accent2">
                <a:lumMod val="60000"/>
              </a:schemeClr>
            </a:solidFill>
            <a:ln>
              <a:noFill/>
            </a:ln>
            <a:effectLst/>
          </c:spPr>
          <c:invertIfNegative val="0"/>
          <c:cat>
            <c:strRef>
              <c:f>Sheet1!$A$2</c:f>
              <c:strCache>
                <c:ptCount val="1"/>
                <c:pt idx="0">
                  <c:v>Mean</c:v>
                </c:pt>
              </c:strCache>
            </c:strRef>
          </c:cat>
          <c:val>
            <c:numRef>
              <c:f>Sheet1!$I$2</c:f>
              <c:numCache>
                <c:formatCode>General</c:formatCode>
                <c:ptCount val="1"/>
                <c:pt idx="0">
                  <c:v>10.4</c:v>
                </c:pt>
              </c:numCache>
            </c:numRef>
          </c:val>
        </c:ser>
        <c:ser>
          <c:idx val="8"/>
          <c:order val="8"/>
          <c:tx>
            <c:strRef>
              <c:f>Sheet1!$J$1</c:f>
              <c:strCache>
                <c:ptCount val="1"/>
                <c:pt idx="0">
                  <c:v>11 to 12</c:v>
                </c:pt>
              </c:strCache>
            </c:strRef>
          </c:tx>
          <c:spPr>
            <a:solidFill>
              <a:schemeClr val="accent3">
                <a:lumMod val="60000"/>
              </a:schemeClr>
            </a:solidFill>
            <a:ln>
              <a:noFill/>
            </a:ln>
            <a:effectLst/>
          </c:spPr>
          <c:invertIfNegative val="0"/>
          <c:cat>
            <c:strRef>
              <c:f>Sheet1!$A$2</c:f>
              <c:strCache>
                <c:ptCount val="1"/>
                <c:pt idx="0">
                  <c:v>Mean</c:v>
                </c:pt>
              </c:strCache>
            </c:strRef>
          </c:cat>
          <c:val>
            <c:numRef>
              <c:f>Sheet1!$J$2</c:f>
              <c:numCache>
                <c:formatCode>General</c:formatCode>
                <c:ptCount val="1"/>
                <c:pt idx="0">
                  <c:v>11.6</c:v>
                </c:pt>
              </c:numCache>
            </c:numRef>
          </c:val>
        </c:ser>
        <c:ser>
          <c:idx val="9"/>
          <c:order val="9"/>
          <c:tx>
            <c:strRef>
              <c:f>Sheet1!$K$1</c:f>
              <c:strCache>
                <c:ptCount val="1"/>
                <c:pt idx="0">
                  <c:v>12 to 13</c:v>
                </c:pt>
              </c:strCache>
            </c:strRef>
          </c:tx>
          <c:spPr>
            <a:solidFill>
              <a:schemeClr val="accent4">
                <a:lumMod val="60000"/>
              </a:schemeClr>
            </a:solidFill>
            <a:ln>
              <a:noFill/>
            </a:ln>
            <a:effectLst/>
          </c:spPr>
          <c:invertIfNegative val="0"/>
          <c:cat>
            <c:strRef>
              <c:f>Sheet1!$A$2</c:f>
              <c:strCache>
                <c:ptCount val="1"/>
                <c:pt idx="0">
                  <c:v>Mean</c:v>
                </c:pt>
              </c:strCache>
            </c:strRef>
          </c:cat>
          <c:val>
            <c:numRef>
              <c:f>Sheet1!$K$2</c:f>
              <c:numCache>
                <c:formatCode>General</c:formatCode>
                <c:ptCount val="1"/>
                <c:pt idx="0">
                  <c:v>12.5</c:v>
                </c:pt>
              </c:numCache>
            </c:numRef>
          </c:val>
        </c:ser>
        <c:dLbls>
          <c:showLegendKey val="0"/>
          <c:showVal val="0"/>
          <c:showCatName val="0"/>
          <c:showSerName val="0"/>
          <c:showPercent val="0"/>
          <c:showBubbleSize val="0"/>
        </c:dLbls>
        <c:gapWidth val="219"/>
        <c:overlap val="-27"/>
        <c:axId val="-1514179264"/>
        <c:axId val="-1514406656"/>
      </c:barChart>
      <c:catAx>
        <c:axId val="-151417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406656"/>
        <c:crosses val="autoZero"/>
        <c:auto val="1"/>
        <c:lblAlgn val="ctr"/>
        <c:lblOffset val="100"/>
        <c:noMultiLvlLbl val="0"/>
      </c:catAx>
      <c:valAx>
        <c:axId val="-151440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17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Equal Width Histogram,</a:t>
            </a:r>
            <a:r>
              <a:rPr lang="en-US" baseline="0"/>
              <a:t> Width =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 to 3</c:v>
                </c:pt>
              </c:strCache>
            </c:strRef>
          </c:tx>
          <c:spPr>
            <a:solidFill>
              <a:schemeClr val="accent1"/>
            </a:solidFill>
            <a:ln>
              <a:noFill/>
            </a:ln>
            <a:effectLst/>
          </c:spPr>
          <c:invertIfNegative val="0"/>
          <c:cat>
            <c:strRef>
              <c:f>Sheet1!$A$2</c:f>
              <c:strCache>
                <c:ptCount val="1"/>
                <c:pt idx="0">
                  <c:v>Freq</c:v>
                </c:pt>
              </c:strCache>
            </c:strRef>
          </c:cat>
          <c:val>
            <c:numRef>
              <c:f>Sheet1!$B$2</c:f>
              <c:numCache>
                <c:formatCode>General</c:formatCode>
                <c:ptCount val="1"/>
                <c:pt idx="0">
                  <c:v>14.0</c:v>
                </c:pt>
              </c:numCache>
            </c:numRef>
          </c:val>
        </c:ser>
        <c:ser>
          <c:idx val="1"/>
          <c:order val="1"/>
          <c:tx>
            <c:strRef>
              <c:f>Sheet1!$C$1</c:f>
              <c:strCache>
                <c:ptCount val="1"/>
                <c:pt idx="0">
                  <c:v>3 to 6</c:v>
                </c:pt>
              </c:strCache>
            </c:strRef>
          </c:tx>
          <c:spPr>
            <a:solidFill>
              <a:schemeClr val="accent2"/>
            </a:solidFill>
            <a:ln>
              <a:noFill/>
            </a:ln>
            <a:effectLst/>
          </c:spPr>
          <c:invertIfNegative val="0"/>
          <c:cat>
            <c:strRef>
              <c:f>Sheet1!$A$2</c:f>
              <c:strCache>
                <c:ptCount val="1"/>
                <c:pt idx="0">
                  <c:v>Freq</c:v>
                </c:pt>
              </c:strCache>
            </c:strRef>
          </c:cat>
          <c:val>
            <c:numRef>
              <c:f>Sheet1!$C$2</c:f>
              <c:numCache>
                <c:formatCode>General</c:formatCode>
                <c:ptCount val="1"/>
                <c:pt idx="0">
                  <c:v>29.0</c:v>
                </c:pt>
              </c:numCache>
            </c:numRef>
          </c:val>
        </c:ser>
        <c:ser>
          <c:idx val="2"/>
          <c:order val="2"/>
          <c:tx>
            <c:strRef>
              <c:f>Sheet1!$D$1</c:f>
              <c:strCache>
                <c:ptCount val="1"/>
                <c:pt idx="0">
                  <c:v>6 to 9</c:v>
                </c:pt>
              </c:strCache>
            </c:strRef>
          </c:tx>
          <c:spPr>
            <a:solidFill>
              <a:schemeClr val="accent3"/>
            </a:solidFill>
            <a:ln>
              <a:noFill/>
            </a:ln>
            <a:effectLst/>
          </c:spPr>
          <c:invertIfNegative val="0"/>
          <c:cat>
            <c:strRef>
              <c:f>Sheet1!$A$2</c:f>
              <c:strCache>
                <c:ptCount val="1"/>
                <c:pt idx="0">
                  <c:v>Freq</c:v>
                </c:pt>
              </c:strCache>
            </c:strRef>
          </c:cat>
          <c:val>
            <c:numRef>
              <c:f>Sheet1!$D$2</c:f>
              <c:numCache>
                <c:formatCode>General</c:formatCode>
                <c:ptCount val="1"/>
                <c:pt idx="0">
                  <c:v>15.0</c:v>
                </c:pt>
              </c:numCache>
            </c:numRef>
          </c:val>
        </c:ser>
        <c:ser>
          <c:idx val="3"/>
          <c:order val="3"/>
          <c:tx>
            <c:strRef>
              <c:f>Sheet1!$E$1</c:f>
              <c:strCache>
                <c:ptCount val="1"/>
                <c:pt idx="0">
                  <c:v>9 to 12</c:v>
                </c:pt>
              </c:strCache>
            </c:strRef>
          </c:tx>
          <c:spPr>
            <a:solidFill>
              <a:schemeClr val="accent4"/>
            </a:solidFill>
            <a:ln>
              <a:noFill/>
            </a:ln>
            <a:effectLst/>
          </c:spPr>
          <c:invertIfNegative val="0"/>
          <c:cat>
            <c:strRef>
              <c:f>Sheet1!$A$2</c:f>
              <c:strCache>
                <c:ptCount val="1"/>
                <c:pt idx="0">
                  <c:v>Freq</c:v>
                </c:pt>
              </c:strCache>
            </c:strRef>
          </c:cat>
          <c:val>
            <c:numRef>
              <c:f>Sheet1!$E$2</c:f>
              <c:numCache>
                <c:formatCode>General</c:formatCode>
                <c:ptCount val="1"/>
                <c:pt idx="0">
                  <c:v>26.0</c:v>
                </c:pt>
              </c:numCache>
            </c:numRef>
          </c:val>
        </c:ser>
        <c:ser>
          <c:idx val="4"/>
          <c:order val="4"/>
          <c:tx>
            <c:strRef>
              <c:f>Sheet1!$F$1</c:f>
              <c:strCache>
                <c:ptCount val="1"/>
                <c:pt idx="0">
                  <c:v>12 to 15</c:v>
                </c:pt>
              </c:strCache>
            </c:strRef>
          </c:tx>
          <c:spPr>
            <a:solidFill>
              <a:schemeClr val="accent5"/>
            </a:solidFill>
            <a:ln>
              <a:noFill/>
            </a:ln>
            <a:effectLst/>
          </c:spPr>
          <c:invertIfNegative val="0"/>
          <c:cat>
            <c:strRef>
              <c:f>Sheet1!$A$2</c:f>
              <c:strCache>
                <c:ptCount val="1"/>
                <c:pt idx="0">
                  <c:v>Freq</c:v>
                </c:pt>
              </c:strCache>
            </c:strRef>
          </c:cat>
          <c:val>
            <c:numRef>
              <c:f>Sheet1!$F$2</c:f>
              <c:numCache>
                <c:formatCode>General</c:formatCode>
                <c:ptCount val="1"/>
                <c:pt idx="0">
                  <c:v>16.0</c:v>
                </c:pt>
              </c:numCache>
            </c:numRef>
          </c:val>
        </c:ser>
        <c:dLbls>
          <c:showLegendKey val="0"/>
          <c:showVal val="0"/>
          <c:showCatName val="0"/>
          <c:showSerName val="0"/>
          <c:showPercent val="0"/>
          <c:showBubbleSize val="0"/>
        </c:dLbls>
        <c:gapWidth val="219"/>
        <c:overlap val="-27"/>
        <c:axId val="-1515364112"/>
        <c:axId val="-1515875744"/>
      </c:barChart>
      <c:catAx>
        <c:axId val="-151536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875744"/>
        <c:crosses val="autoZero"/>
        <c:auto val="1"/>
        <c:lblAlgn val="ctr"/>
        <c:lblOffset val="100"/>
        <c:noMultiLvlLbl val="0"/>
      </c:catAx>
      <c:valAx>
        <c:axId val="-15158757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364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Means for Equal Width 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 to 3</c:v>
                </c:pt>
              </c:strCache>
            </c:strRef>
          </c:tx>
          <c:spPr>
            <a:solidFill>
              <a:schemeClr val="accent1"/>
            </a:solidFill>
            <a:ln>
              <a:noFill/>
            </a:ln>
            <a:effectLst/>
          </c:spPr>
          <c:invertIfNegative val="0"/>
          <c:cat>
            <c:strRef>
              <c:f>Sheet1!$A$2</c:f>
              <c:strCache>
                <c:ptCount val="1"/>
                <c:pt idx="0">
                  <c:v>Mean</c:v>
                </c:pt>
              </c:strCache>
            </c:strRef>
          </c:cat>
          <c:val>
            <c:numRef>
              <c:f>Sheet1!$B$2</c:f>
              <c:numCache>
                <c:formatCode>General</c:formatCode>
                <c:ptCount val="1"/>
                <c:pt idx="0">
                  <c:v>1.714</c:v>
                </c:pt>
              </c:numCache>
            </c:numRef>
          </c:val>
        </c:ser>
        <c:ser>
          <c:idx val="1"/>
          <c:order val="1"/>
          <c:tx>
            <c:strRef>
              <c:f>Sheet1!$C$1</c:f>
              <c:strCache>
                <c:ptCount val="1"/>
                <c:pt idx="0">
                  <c:v>3 to 6</c:v>
                </c:pt>
              </c:strCache>
            </c:strRef>
          </c:tx>
          <c:spPr>
            <a:solidFill>
              <a:schemeClr val="accent2"/>
            </a:solidFill>
            <a:ln>
              <a:noFill/>
            </a:ln>
            <a:effectLst/>
          </c:spPr>
          <c:invertIfNegative val="0"/>
          <c:cat>
            <c:strRef>
              <c:f>Sheet1!$A$2</c:f>
              <c:strCache>
                <c:ptCount val="1"/>
                <c:pt idx="0">
                  <c:v>Mean</c:v>
                </c:pt>
              </c:strCache>
            </c:strRef>
          </c:cat>
          <c:val>
            <c:numRef>
              <c:f>Sheet1!$C$2</c:f>
              <c:numCache>
                <c:formatCode>General</c:formatCode>
                <c:ptCount val="1"/>
                <c:pt idx="0">
                  <c:v>4.0</c:v>
                </c:pt>
              </c:numCache>
            </c:numRef>
          </c:val>
        </c:ser>
        <c:ser>
          <c:idx val="2"/>
          <c:order val="2"/>
          <c:tx>
            <c:strRef>
              <c:f>Sheet1!$D$1</c:f>
              <c:strCache>
                <c:ptCount val="1"/>
                <c:pt idx="0">
                  <c:v>6 to 9</c:v>
                </c:pt>
              </c:strCache>
            </c:strRef>
          </c:tx>
          <c:spPr>
            <a:solidFill>
              <a:schemeClr val="accent3"/>
            </a:solidFill>
            <a:ln>
              <a:noFill/>
            </a:ln>
            <a:effectLst/>
          </c:spPr>
          <c:invertIfNegative val="0"/>
          <c:cat>
            <c:strRef>
              <c:f>Sheet1!$A$2</c:f>
              <c:strCache>
                <c:ptCount val="1"/>
                <c:pt idx="0">
                  <c:v>Mean</c:v>
                </c:pt>
              </c:strCache>
            </c:strRef>
          </c:cat>
          <c:val>
            <c:numRef>
              <c:f>Sheet1!$D$2</c:f>
              <c:numCache>
                <c:formatCode>General</c:formatCode>
                <c:ptCount val="1"/>
                <c:pt idx="0">
                  <c:v>7.06666</c:v>
                </c:pt>
              </c:numCache>
            </c:numRef>
          </c:val>
        </c:ser>
        <c:ser>
          <c:idx val="3"/>
          <c:order val="3"/>
          <c:tx>
            <c:strRef>
              <c:f>Sheet1!$E$1</c:f>
              <c:strCache>
                <c:ptCount val="1"/>
                <c:pt idx="0">
                  <c:v>9 to 12</c:v>
                </c:pt>
              </c:strCache>
            </c:strRef>
          </c:tx>
          <c:spPr>
            <a:solidFill>
              <a:schemeClr val="accent4"/>
            </a:solidFill>
            <a:ln>
              <a:noFill/>
            </a:ln>
            <a:effectLst/>
          </c:spPr>
          <c:invertIfNegative val="0"/>
          <c:cat>
            <c:strRef>
              <c:f>Sheet1!$A$2</c:f>
              <c:strCache>
                <c:ptCount val="1"/>
                <c:pt idx="0">
                  <c:v>Mean</c:v>
                </c:pt>
              </c:strCache>
            </c:strRef>
          </c:cat>
          <c:val>
            <c:numRef>
              <c:f>Sheet1!$E$2</c:f>
              <c:numCache>
                <c:formatCode>General</c:formatCode>
                <c:ptCount val="1"/>
                <c:pt idx="0">
                  <c:v>10.0</c:v>
                </c:pt>
              </c:numCache>
            </c:numRef>
          </c:val>
        </c:ser>
        <c:ser>
          <c:idx val="4"/>
          <c:order val="4"/>
          <c:tx>
            <c:strRef>
              <c:f>Sheet1!$F$1</c:f>
              <c:strCache>
                <c:ptCount val="1"/>
                <c:pt idx="0">
                  <c:v>12 to 15</c:v>
                </c:pt>
              </c:strCache>
            </c:strRef>
          </c:tx>
          <c:spPr>
            <a:solidFill>
              <a:schemeClr val="accent5"/>
            </a:solidFill>
            <a:ln>
              <a:noFill/>
            </a:ln>
            <a:effectLst/>
          </c:spPr>
          <c:invertIfNegative val="0"/>
          <c:cat>
            <c:strRef>
              <c:f>Sheet1!$A$2</c:f>
              <c:strCache>
                <c:ptCount val="1"/>
                <c:pt idx="0">
                  <c:v>Mean</c:v>
                </c:pt>
              </c:strCache>
            </c:strRef>
          </c:cat>
          <c:val>
            <c:numRef>
              <c:f>Sheet1!$F$2</c:f>
              <c:numCache>
                <c:formatCode>General</c:formatCode>
                <c:ptCount val="1"/>
                <c:pt idx="0">
                  <c:v>12.31</c:v>
                </c:pt>
              </c:numCache>
            </c:numRef>
          </c:val>
        </c:ser>
        <c:dLbls>
          <c:showLegendKey val="0"/>
          <c:showVal val="0"/>
          <c:showCatName val="0"/>
          <c:showSerName val="0"/>
          <c:showPercent val="0"/>
          <c:showBubbleSize val="0"/>
        </c:dLbls>
        <c:gapWidth val="219"/>
        <c:overlap val="-27"/>
        <c:axId val="-1515448736"/>
        <c:axId val="-1515446416"/>
      </c:barChart>
      <c:catAx>
        <c:axId val="-151544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446416"/>
        <c:crosses val="autoZero"/>
        <c:auto val="1"/>
        <c:lblAlgn val="ctr"/>
        <c:lblOffset val="100"/>
        <c:noMultiLvlLbl val="0"/>
      </c:catAx>
      <c:valAx>
        <c:axId val="-15154464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44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Min-Max Normalization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 1</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Sheet1!$B$2:$B$14</c:f>
              <c:numCache>
                <c:formatCode>General</c:formatCode>
                <c:ptCount val="13"/>
                <c:pt idx="0">
                  <c:v>0.0</c:v>
                </c:pt>
                <c:pt idx="1">
                  <c:v>0.0833333</c:v>
                </c:pt>
                <c:pt idx="2">
                  <c:v>0.1666666</c:v>
                </c:pt>
                <c:pt idx="3">
                  <c:v>0.25</c:v>
                </c:pt>
                <c:pt idx="4">
                  <c:v>0.3333333</c:v>
                </c:pt>
                <c:pt idx="5">
                  <c:v>0.4166666</c:v>
                </c:pt>
                <c:pt idx="6">
                  <c:v>0.5</c:v>
                </c:pt>
                <c:pt idx="7">
                  <c:v>0.5833333</c:v>
                </c:pt>
                <c:pt idx="8">
                  <c:v>0.6666666</c:v>
                </c:pt>
                <c:pt idx="9">
                  <c:v>0.75</c:v>
                </c:pt>
                <c:pt idx="10">
                  <c:v>0.8333333</c:v>
                </c:pt>
                <c:pt idx="11">
                  <c:v>0.9166666</c:v>
                </c:pt>
                <c:pt idx="12">
                  <c:v>1.0</c:v>
                </c:pt>
              </c:numCache>
            </c:numRef>
          </c:yVal>
          <c:smooth val="0"/>
        </c:ser>
        <c:dLbls>
          <c:showLegendKey val="0"/>
          <c:showVal val="0"/>
          <c:showCatName val="0"/>
          <c:showSerName val="0"/>
          <c:showPercent val="0"/>
          <c:showBubbleSize val="0"/>
        </c:dLbls>
        <c:axId val="-1517999632"/>
        <c:axId val="-1517997312"/>
      </c:scatterChart>
      <c:valAx>
        <c:axId val="-1517999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997312"/>
        <c:crosses val="autoZero"/>
        <c:crossBetween val="midCat"/>
      </c:valAx>
      <c:valAx>
        <c:axId val="-15179973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99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Z-Score Normalization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 1</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Sheet1!$B$2:$B$14</c:f>
              <c:numCache>
                <c:formatCode>General</c:formatCode>
                <c:ptCount val="13"/>
                <c:pt idx="0">
                  <c:v>-1.60989613241</c:v>
                </c:pt>
                <c:pt idx="1">
                  <c:v>-1.34291501593</c:v>
                </c:pt>
                <c:pt idx="2">
                  <c:v>-1.07593389944</c:v>
                </c:pt>
                <c:pt idx="3">
                  <c:v>-0.808952782955</c:v>
                </c:pt>
                <c:pt idx="4">
                  <c:v>-0.541971666468</c:v>
                </c:pt>
                <c:pt idx="5">
                  <c:v>-0.274990549981</c:v>
                </c:pt>
                <c:pt idx="6">
                  <c:v>-0.0080094334946</c:v>
                </c:pt>
                <c:pt idx="7">
                  <c:v>0.258971682992</c:v>
                </c:pt>
                <c:pt idx="8">
                  <c:v>0.525952799479</c:v>
                </c:pt>
                <c:pt idx="9">
                  <c:v>0.792933915965</c:v>
                </c:pt>
                <c:pt idx="10">
                  <c:v>1.05991503245</c:v>
                </c:pt>
                <c:pt idx="11">
                  <c:v>1.32689614894</c:v>
                </c:pt>
                <c:pt idx="12">
                  <c:v>1.59387726543</c:v>
                </c:pt>
              </c:numCache>
            </c:numRef>
          </c:yVal>
          <c:smooth val="0"/>
        </c:ser>
        <c:dLbls>
          <c:showLegendKey val="0"/>
          <c:showVal val="0"/>
          <c:showCatName val="0"/>
          <c:showSerName val="0"/>
          <c:showPercent val="0"/>
          <c:showBubbleSize val="0"/>
        </c:dLbls>
        <c:axId val="-1516567168"/>
        <c:axId val="-1516564848"/>
      </c:scatterChart>
      <c:valAx>
        <c:axId val="-151656716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564848"/>
        <c:crosses val="autoZero"/>
        <c:crossBetween val="midCat"/>
      </c:valAx>
      <c:valAx>
        <c:axId val="-15165648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567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282</Words>
  <Characters>1611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Barbati, Joseph D R</dc:creator>
  <cp:keywords/>
  <dc:description/>
  <cp:lastModifiedBy>Joseph Barbati</cp:lastModifiedBy>
  <cp:revision>64</cp:revision>
  <dcterms:created xsi:type="dcterms:W3CDTF">2017-01-26T01:45:00Z</dcterms:created>
  <dcterms:modified xsi:type="dcterms:W3CDTF">2017-02-01T22:23:00Z</dcterms:modified>
</cp:coreProperties>
</file>