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A3A2A"/>
          <w:sz w:val="40"/>
        </w:rPr>
        <w:t>NCDT 2026 — Análise Cruzada de Materiais</w:t>
      </w:r>
    </w:p>
    <w:p>
      <w:pPr>
        <w:spacing w:after="20"/>
      </w:pPr>
      <w:r>
        <w:rPr>
          <w:rFonts w:ascii="Calibri" w:hAnsi="Calibri"/>
          <w:b w:val="0"/>
          <w:i w:val="0"/>
          <w:color w:val="444444"/>
          <w:sz w:val="20"/>
        </w:rPr>
        <w:t>National Coffee Data Trends 2026 (NCA/SCA) × Colin (x2) × Teses AI × Amazon Data  ·  Orfeu Cafés Especiais  ·  7 jul 2026</w:t>
      </w:r>
    </w:p>
    <w:p>
      <w:pPr>
        <w:spacing w:after="40"/>
      </w:pPr>
      <w:r>
        <w:rPr>
          <w:rFonts w:ascii="Calibri" w:hAnsi="Calibri"/>
          <w:b w:val="0"/>
          <w:i/>
          <w:color w:val="999999"/>
          <w:sz w:val="18"/>
        </w:rPr>
        <w:t>Fontes primárias: NCDT Jan 2026 (n=1.850) · Specialty Coffee Market Overview — Colin Butterfield abr/26 · Orfeu USA Entry Strategy — Colin Butterfield abr/26 · Expansão Café Orfeu Nos EUA (IA) · Amazon Business/Brand Analytics H1 2026 · Brand Cases (Blue Bottle, Stumptown, Illy, Lavazza, Counter Culture, Intelligentsia)</w:t>
      </w:r>
    </w:p>
    <w:p>
      <w:r>
        <w:rPr>
          <w:rFonts w:ascii="Calibri" w:hAnsi="Calibri"/>
          <w:b w:val="0"/>
          <w:i/>
          <w:color w:val="444444"/>
          <w:sz w:val="18"/>
        </w:rPr>
        <w:t>LEGENDA:  ✓ Confirma teses existentes  |  ★ Novidade ou dado novo relevante  |  ⚠ Tensão ou nuance  |  ✗ Contradiz premissa anterior  |  → Ação sugerida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 — O QUE O NCDT 2026 DIZ: OS PRINCIPAIS DADOS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O NCDT é o estudo mais longo e rigoroso sobre comportamento de consumo de café nos EUA, conduzido desde 1950. A edição Jan/2026 cobriu n=1.850 adultos 18+, com amostra nacional ponderada por idade, gênero, região e etnia. É o relatório de referência da NCA e SCA — sua autoridade metodológica é superior a qualquer análise de e-commerce ou pesquisa encomendada.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1.1 Penetração e Momento do Specialty Coffee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Specialty ultrapassa tradicional (marco histórico):  </w:t>
      </w:r>
      <w:r>
        <w:rPr>
          <w:rFonts w:ascii="Calibri" w:hAnsi="Calibri"/>
          <w:b w:val="0"/>
          <w:i w:val="0"/>
          <w:sz w:val="21"/>
        </w:rPr>
        <w:t>Penetração past-day: specialty 47% vs. tradicional 42%. Primeira vez que specialty consistentemente supera tradicional em consumo diário.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Past-week:  </w:t>
      </w:r>
      <w:r>
        <w:rPr>
          <w:rFonts w:ascii="Calibri" w:hAnsi="Calibri"/>
          <w:b w:val="0"/>
          <w:i w:val="0"/>
          <w:sz w:val="21"/>
        </w:rPr>
        <w:t>58% dos americanos consumiram alguma bebida specialty na semana anterior — mesmo nível do café tradicional.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Trajetória de 5 anos:  </w:t>
      </w:r>
      <w:r>
        <w:rPr>
          <w:rFonts w:ascii="Calibri" w:hAnsi="Calibri"/>
          <w:b w:val="0"/>
          <w:i w:val="0"/>
          <w:sz w:val="21"/>
        </w:rPr>
        <w:t>Specialty cresceu de 48% (2021) para 58% past-week (jan/26). Tradicional estagnado em 56%–62%. A vantagem do specialty é estrutural, não sazonal.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EBBs no pico histórico:  </w:t>
      </w:r>
      <w:r>
        <w:rPr>
          <w:rFonts w:ascii="Calibri" w:hAnsi="Calibri"/>
          <w:b w:val="0"/>
          <w:i w:val="0"/>
          <w:sz w:val="21"/>
        </w:rPr>
        <w:t>Espresso-based beverages atingiram 45% past-week — nível mais alto registrado. Espresso (8%), latte (8%) e cappuccino (7%) lideram.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1.2 Quem Está Bebendo Specialty: Perfil do Consumidor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Motor demográfico:  </w:t>
      </w:r>
      <w:r>
        <w:rPr>
          <w:rFonts w:ascii="Calibri" w:hAnsi="Calibri"/>
          <w:b w:val="0"/>
          <w:i w:val="0"/>
          <w:sz w:val="21"/>
        </w:rPr>
        <w:t>25–39 anos: 69% consumiram specialty na semana anterior. É o grupo-âncora do crescimento — e o principal target de qualquer estratégia de aquisição.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60+ anos:  </w:t>
      </w:r>
      <w:r>
        <w:rPr>
          <w:rFonts w:ascii="Calibri" w:hAnsi="Calibri"/>
          <w:b w:val="0"/>
          <w:i w:val="0"/>
          <w:sz w:val="21"/>
        </w:rPr>
        <w:t>Menor penetração de specialty (46%) e menor abertura a novidades. Este grupo indexa alto em café tradicional.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Etnia (dado crítico para Orfeu):  </w:t>
      </w:r>
      <w:r>
        <w:rPr>
          <w:rFonts w:ascii="Calibri" w:hAnsi="Calibri"/>
          <w:b w:val="0"/>
          <w:i w:val="0"/>
          <w:sz w:val="21"/>
        </w:rPr>
        <w:t>Hispano-americanos têm a MAIOR penetração de specialty (67% past-week), seguidos de Asian-Americans (64%), African-Americans (57%), Caucasian-Americans (56%). Hispânicos também lideram EBBs (57%) e N-EBBs (39%).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Região:  </w:t>
      </w:r>
      <w:r>
        <w:rPr>
          <w:rFonts w:ascii="Calibri" w:hAnsi="Calibri"/>
          <w:b w:val="0"/>
          <w:i w:val="0"/>
          <w:sz w:val="21"/>
        </w:rPr>
        <w:t>Nordeste (64%) e Oeste (61%) lideram specialty. Sul (57%). Midwest é o mais fraco (49%). Padrão estável e previsível.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1.3 Cold Coffee: A Aceleração Mais Importante do Relatório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60% de past-day specialty drinkers:  </w:t>
      </w:r>
      <w:r>
        <w:rPr>
          <w:rFonts w:ascii="Calibri" w:hAnsi="Calibri"/>
          <w:b w:val="0"/>
          <w:i w:val="0"/>
          <w:sz w:val="21"/>
        </w:rPr>
        <w:t>Consumiram café specialty FRIO na semana anterior — +6pp vs. 2025. Este é o maior salto de um único período nesse indicador.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Cold EBBs:  </w:t>
      </w:r>
      <w:r>
        <w:rPr>
          <w:rFonts w:ascii="Calibri" w:hAnsi="Calibri"/>
          <w:b w:val="0"/>
          <w:i w:val="0"/>
          <w:sz w:val="21"/>
        </w:rPr>
        <w:t>+6pp para 38% — cold latte (17%) e caffè mocha (11%) liderando o crescimento.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Cold brew:  </w:t>
      </w:r>
      <w:r>
        <w:rPr>
          <w:rFonts w:ascii="Calibri" w:hAnsi="Calibri"/>
          <w:b w:val="0"/>
          <w:i w:val="0"/>
          <w:sz w:val="21"/>
        </w:rPr>
        <w:t>Cold brew 8% past-day, estável — mas cold coffee como categoria mais ampla está acelerando.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Sazonalidade dissolvida:  </w:t>
      </w:r>
      <w:r>
        <w:rPr>
          <w:rFonts w:ascii="Calibri" w:hAnsi="Calibri"/>
          <w:b w:val="0"/>
          <w:i w:val="0"/>
          <w:sz w:val="21"/>
        </w:rPr>
        <w:t>Cold coffee em janeiro (inverno) a 60% indica que o hábito deixou de ser sazonal. É uma mudança de comportamento permanente, não pico de verão.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1.4 Preferências de Sabor (dado com implicação direta para Orfeu)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O NCDT testou 22 descritores de sabor em 6 territórios via metodologia Upsiide (n=400). O resultado revela o que o consumidor de specialty é receptivo vs. o que é de massa: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Sweet lidera fora (#1 overall):  </w:t>
      </w:r>
      <w:r>
        <w:rPr>
          <w:rFonts w:ascii="Calibri" w:hAnsi="Calibri"/>
          <w:b w:val="0"/>
          <w:i w:val="0"/>
          <w:sz w:val="21"/>
        </w:rPr>
        <w:t>Chocolate (84), Caramel/Brown Sugar (77), Vanilla (76) — esses sabores têm apelo universal. Especialidade ou não.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Fruity, Spice, Floral, Green:  </w:t>
      </w:r>
      <w:r>
        <w:rPr>
          <w:rFonts w:ascii="Calibri" w:hAnsi="Calibri"/>
          <w:b w:val="0"/>
          <w:i w:val="0"/>
          <w:sz w:val="21"/>
        </w:rPr>
        <w:t>Specialty drinkers marcam consistentemente MAIS ALTO nesses perfis do que traditional drinkers. Citrus (+12pp), Orchard Fruit (+14pp), Rose (+18pp), Floral (+14pp).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Implicação:  </w:t>
      </w:r>
      <w:r>
        <w:rPr>
          <w:rFonts w:ascii="Calibri" w:hAnsi="Calibri"/>
          <w:b w:val="0"/>
          <w:i w:val="0"/>
          <w:sz w:val="21"/>
        </w:rPr>
        <w:t>Os specialty drinkers têm palato mais aberto — especialmente para frutas (citrus, tropical, berries) e florais. O consumidor que compra Orfeu tem maior probabilidade de apreciar os perfis de Bourbon Amarelo, Arara e Catucaí do que o consumidor médio de café.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Mas o sweet domina trial:  </w:t>
      </w:r>
      <w:r>
        <w:rPr>
          <w:rFonts w:ascii="Calibri" w:hAnsi="Calibri"/>
          <w:b w:val="0"/>
          <w:i w:val="0"/>
          <w:sz w:val="21"/>
        </w:rPr>
        <w:t>Para aquisição de novos consumidores (não engajados em specialty), notas de chocolate e caramelo são o caminho. O Clássico Orfeu tem essas notas — é o SKU de entrada correto.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1.5 Competição: O Specialty Compete Além do Café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Specialty drinkers bebem mais:  </w:t>
      </w:r>
      <w:r>
        <w:rPr>
          <w:rFonts w:ascii="Calibri" w:hAnsi="Calibri"/>
          <w:b w:val="0"/>
          <w:i w:val="0"/>
          <w:sz w:val="21"/>
        </w:rPr>
        <w:t>Água com vitaminas/nutrientes (35%), chá (54%), coconut water (20%), matcha (4%), bubble tea (4%) — todos acima da média de consumidores tradicionais.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Mushroom coffee:  </w:t>
      </w:r>
      <w:r>
        <w:rPr>
          <w:rFonts w:ascii="Calibri" w:hAnsi="Calibri"/>
          <w:b w:val="0"/>
          <w:i w:val="0"/>
          <w:sz w:val="21"/>
        </w:rPr>
        <w:t>41% dos specialty drinkers estão dispostos a testar café de cogumelo — o maior índice de abertura à inovação já registrado em uma categoria adjacente.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O que isso significa:  </w:t>
      </w:r>
      <w:r>
        <w:rPr>
          <w:rFonts w:ascii="Calibri" w:hAnsi="Calibri"/>
          <w:b w:val="0"/>
          <w:i w:val="0"/>
          <w:sz w:val="21"/>
        </w:rPr>
        <w:t>Specialty coffee não compete apenas com outros cafés. Compete com toda a categoria de bebidas funcionais e premium. A marca que não inova em formato ou funcionalidade ficará para trás com o consumidor 25–39.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1.6 Método de Preparo em Casa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Drip maker lidera (32%):  </w:t>
      </w:r>
      <w:r>
        <w:rPr>
          <w:rFonts w:ascii="Calibri" w:hAnsi="Calibri"/>
          <w:b w:val="0"/>
          <w:i w:val="0"/>
          <w:sz w:val="21"/>
        </w:rPr>
        <w:t>O método mais comum, estável. Ainda o formato dominante — valida a aposta da Orfeu em grãos e drip sachets.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Single-cup (cápsulas tipo K-cup):  </w:t>
      </w:r>
      <w:r>
        <w:rPr>
          <w:rFonts w:ascii="Calibri" w:hAnsi="Calibri"/>
          <w:b w:val="0"/>
          <w:i w:val="0"/>
          <w:sz w:val="21"/>
        </w:rPr>
        <w:t>Suavizou desde 2023 mas voltou a 26% em jan/26 — sinal de recuperação.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Bean-to-cup (automáticas):  </w:t>
      </w:r>
      <w:r>
        <w:rPr>
          <w:rFonts w:ascii="Calibri" w:hAnsi="Calibri"/>
          <w:b w:val="0"/>
          <w:i w:val="0"/>
          <w:sz w:val="21"/>
        </w:rPr>
        <w:t>18% — crescente, validando o mercado premium de equipamentos.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Espresso machine:  </w:t>
      </w:r>
      <w:r>
        <w:rPr>
          <w:rFonts w:ascii="Calibri" w:hAnsi="Calibri"/>
          <w:b w:val="0"/>
          <w:i w:val="0"/>
          <w:sz w:val="21"/>
        </w:rPr>
        <w:t>18% past-day — crescendo paralelamente ao aumento de EBBs.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Cold brew em casa:  </w:t>
      </w:r>
      <w:r>
        <w:rPr>
          <w:rFonts w:ascii="Calibri" w:hAnsi="Calibri"/>
          <w:b w:val="0"/>
          <w:i w:val="0"/>
          <w:sz w:val="21"/>
        </w:rPr>
        <w:t>19% — empatado com espresso machine. Grande para uma categoria que era nicho há 3 anos.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RTD (pronto para beber):  </w:t>
      </w:r>
      <w:r>
        <w:rPr>
          <w:rFonts w:ascii="Calibri" w:hAnsi="Calibri"/>
          <w:b w:val="0"/>
          <w:i w:val="0"/>
          <w:sz w:val="21"/>
        </w:rPr>
        <w:t>21% dos specialty drinkers consumiram RTD no último dia — alto mas com leve queda (-3pp vs. 2025).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1.7 Torra e Aditivos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Torra média domina:  </w:t>
      </w:r>
      <w:r>
        <w:rPr>
          <w:rFonts w:ascii="Calibri" w:hAnsi="Calibri"/>
          <w:b w:val="0"/>
          <w:i w:val="0"/>
          <w:sz w:val="21"/>
        </w:rPr>
        <w:t>58% consumiram medium roast. Dark em queda (39%). Light crescendo discretamente. O Clássico Orfeu (medium) está no formato mais popular.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Aditivos:  </w:t>
      </w:r>
      <w:r>
        <w:rPr>
          <w:rFonts w:ascii="Calibri" w:hAnsi="Calibri"/>
          <w:b w:val="0"/>
          <w:i w:val="0"/>
          <w:sz w:val="21"/>
        </w:rPr>
        <w:t>50% usam whitener + sweetener combinados. Sweetener sozinho +7pp desde 2017. Preto (black coffee) em queda.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Implicação:  </w:t>
      </w:r>
      <w:r>
        <w:rPr>
          <w:rFonts w:ascii="Calibri" w:hAnsi="Calibri"/>
          <w:b w:val="0"/>
          <w:i w:val="0"/>
          <w:sz w:val="21"/>
        </w:rPr>
        <w:t>O consumidor de specialty está adoçando mais, não menos. A narrativa de "pureza" do café preto resiste entre especialistas mas não é o comportamento da maioria.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II — CRUZAMENTO COM MATERIAIS EXISTENTES: O QUE MUDA, O QUE PERMANECE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Esta seção compara cada tese principal dos materiais já produzidos com o que o NCDT confirma, expande ou questiona. Materiais de referência: Colin (Specialty Market Overview + USA Entry Strategy, abr/26), análise de expansão gerada por IA, Amazon analytics H1/26 e brand cases internacionais.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2.1 A Tese do Hispano-Americano como Consumidor-Âncora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O NCDT confirma com dados nacionais: hispânicos lideram specialty consumption (67% past-week), muito acima da média nacional (58%). A tese de entrada via Miami/diaspora brasileira é validada por esse dado estrutural de categoria, não apenas por concentração geográfica.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/>
          <w:color w:val="444444"/>
          <w:sz w:val="21"/>
        </w:rPr>
        <w:t>Dado novo e mais forte: hispânicos lideram EBBs (57%), N-EBBs (39%) E estão entre os mais abertos a floral/spice/green flavor notes. Este consumidor não é apenas um usuário de specialty — é o consumidor mais disposto a explorar e fidelizar. A ativação via comunidade brasileira em Miami alcança um consumidor de altíssimo fit.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Refinar a persona de entrada EUA para incluir o eixo hispano-americano como cohort primário, não apenas como comunidade de diaspora. A Orfeu tem narrativa étnica e de origem que ressoa com esse grupo de forma única. Colin foca em "affluent professional 35-54" — o NCDT sugere que o hispano-americano 25-39 deve ser co-primário.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2.2 A Sequência de Canais de Colin (HoReCa → DTC → OCS → Retail)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Colin recomenda HoReCa como primeiro canal — o NCDT não contradiz isso. A tese de "o consumidor premium concentrado em hotéis e restaurantes" é consistente com o perfil demográfico do specialty drinker (35-54, alta renda, estilo de vida urbano).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DTC como canal de storytelling — NCDT confirma que specialty drinkers são abertos a inovação e mais engajados com a categoria. São o público perfeito para narrativas de terroir e conteúdo de origem.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Colin prioriza cápsulas como formato de entrada. O NCDT mostra que drip (32%) e grãos inteiros (via drip maker em casa) ainda dominam o consumo doméstico — cápsulas (bean-to-cup 18%) são relevantes mas não o formato principal. A Amazon já valida que o portfólio de grãos e drip sachet performam melhor que cápsulas para a Orfeu.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Complementar o plano de Colin: cápsulas são o formato ideal para HoReCa/OCS (porque as máquinas já estão instaladas nos hotéis), mas grãos e drip sachets devem ser o eixo do DTC e da Amazon. A estratégia de produto é diferente por canal.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2.3 O Mercado-Piloto Florida/Miami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NCDT confirma que o Sul tem 57% de penetração specialty (abaixo de NE/Oeste mas acima de Midwest). E hispano-americanos (concentrados no Sul/Florida) lideram specialty. O dado de categoria confirma o dado geográfico da Amazon (FL = 11.3% do GMV).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/>
          <w:color w:val="444444"/>
          <w:sz w:val="21"/>
        </w:rPr>
        <w:t>NCDT mostra que o Nordeste (64%) tem specialty mais penetrado que o Sul (57%). A tese de Miami como piloto #1 pode ser complementada com NYC como praça de especialidade mais madura — o que está perfeitamente alinhado com o dado Amazon (NYC = 2.9% vs. Miami = 1.7%).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Manter Miami como piloto #1 (diaspora, ponto de entrada logístico, comunidade brasileira), mas tratar NYC como piloto paralelo #2 para a camada de specialty enthusiasts mais sofisticados. As duas praças têm perfis complementares, não concorrentes.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2.4 O Perfil de Idade do Consumidor — Divergência Amazon vs. NCDT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DIVERGÊNCIA RELEVANTE: O NCDT aponta 25-39 como o motor de crescimento do specialty (69% past-week). Os dados Amazon da Orfeu mostram 45-54 como o grupo dominante (16.2%) e 35-44 em segundo (14.98%). Os dados Amazon de renda (US$200k+) também são mais altos do que a distribuição geral do specialty.</w:t>
      </w:r>
    </w:p>
    <w:p>
      <w:pPr>
        <w:spacing w:before="0" w:after="60"/>
        <w:ind w:left="283"/>
      </w:pPr>
      <w:r>
        <w:rPr>
          <w:rFonts w:ascii="Calibri" w:hAnsi="Calibri"/>
          <w:b w:val="0"/>
          <w:i w:val="0"/>
          <w:sz w:val="21"/>
        </w:rPr>
      </w:r>
    </w:p>
    <w:p>
      <w:pPr>
        <w:spacing w:before="0" w:after="60"/>
        <w:ind w:left="283"/>
      </w:pPr>
      <w:r>
        <w:rPr>
          <w:rFonts w:ascii="Calibri" w:hAnsi="Calibri"/>
          <w:b w:val="0"/>
          <w:i w:val="0"/>
          <w:sz w:val="21"/>
        </w:rPr>
        <w:t>Interpretação possível desse gap: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O consumidor 25-39 de specialty compra mais em HoReCa, DTC e cafeterias — não na Amazon. A Amazon captura mais o specialty "de meia-idade" que compra online para casa.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O perfil Amazon da Orfeu pode ser o "gift buyer" e o comprador premium ocasional — não o consumidor de hábito diário.</w:t>
      </w:r>
    </w:p>
    <w:p>
      <w:pPr>
        <w:pStyle w:val="ListBullet"/>
        <w:spacing w:before="20" w:after="20"/>
        <w:ind w:left="510"/>
      </w:pPr>
      <w:r>
        <w:rPr>
          <w:rFonts w:ascii="Calibri" w:hAnsi="Calibri"/>
          <w:b w:val="0"/>
          <w:i w:val="0"/>
          <w:sz w:val="21"/>
        </w:rPr>
        <w:t>O 45-54 de alta renda que compra Orfeu na Amazon é um cliente válido e de alto valor, mas NÃO é o motor de crescimento da categoria.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Se a Orfeu quer crescer, precisa alcançar o consumidor 25-39 — que está em outros canais (cafeterias, HoReCa, DTC, subscription boxes). A Amazon sozinha não captura esse grupo. Isso valida a estratégia multi-canal de Colin, e também explica por que o repeat rate é baixo na Amazon.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2.5 O Cold Coffee — Uma Lacuna Estratégica na Orfeu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/>
          <w:color w:val="444444"/>
          <w:sz w:val="21"/>
        </w:rPr>
        <w:t>DADO CRÍTICO NOVO: 60% dos specialty drinkers consumiram café frio na semana. +6pp em um ano. Cold EBBs atingindo 38%. Cold brew estável em casa (19%).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O portfólio atual da Orfeu na Amazon não tem nenhum produto frio. O mix é 100% quente (grãos, moído, drip sachets). Isso significa que a Orfeu está ausente do segmento de MAIOR crescimento dentro do specialty.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Colin não menciona cold coffee em nenhuma das análises. A tese de "cápsulas Nespresso-compatible como formato de entrada" também é focada em quente. Isso é uma lacuna estratégica não endereçada nos materiais existentes.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Avaliar a inclusão de um produto frio no portfólio DTC e/ou Amazon: (1) Cold brew concentrate (formato atual com maior facilidade operacional) · (2) RTD (lata/garrafa) requer maior investimento e parceria de co-packer · (3) Drip sachet especificamente para cold brew (Kuju já faz isso — o mesmo sachê funciona para cold). Não é prioritário em Fase 1, mas precisa entrar no radar para Fase 2.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2.6 Flavors e Comunicação do Produto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O NCDT valida que specialty drinkers têm maior abertura a perfis de sabor complexos (fruty, floral, green). O portfólio de varietais da Orfeu (Bourbon Amarelo — citrus/floral, Catucaí — frutado, Arara — frutado/achocolatado) está perfeitamente alinhado com as preferências do specialty drinker. A cesta de compra Amazon confirma que quem compra varietais está explorando ativamente esses perfis.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Sweet (chocolate, caramel) domina para mass appeal — o Clássico Orfeu tem notas de chocolate e caramelo, correto como porta de entrada.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Mas o NCDT mostra que a maioria dos consumidores adicionam açúcar/whitener. A comunicação da Orfeu sobre "notas naturais de frutas e florais" pode ser de difícil percepção para um consumidor que adoça o café. Isso não inviabiliza o posicionamento — mas sugere que as notas devem ser comunicadas no contexto visual e narrativo, não apenas como instrução de degustação.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Reforçar o storytelling visual dos produtos: fotos de fruta, flor de café, terroir, em vez de apenas notas técnicas de degustação. A experiência sensorial precisa ser comunicada antes de ser explicada.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2.7 Mushroom Coffee e a Ameaça Funcional</w:t>
      </w:r>
    </w:p>
    <w:p>
      <w:pPr>
        <w:spacing w:before="80" w:after="80"/>
        <w:ind w:left="227" w:right="227"/>
        <w:shd w:val="clear" w:color="auto" w:fill="E8F0FE"/>
      </w:pPr>
      <w:r>
        <w:rPr>
          <w:rFonts w:ascii="Calibri" w:hAnsi="Calibri"/>
          <w:b/>
          <w:i w:val="0"/>
          <w:color w:val="1A3A6A"/>
          <w:sz w:val="21"/>
        </w:rPr>
        <w:t xml:space="preserve">★ NOVIDADE  </w:t>
      </w:r>
      <w:r>
        <w:rPr>
          <w:rFonts w:ascii="Calibri" w:hAnsi="Calibri"/>
          <w:b w:val="0"/>
          <w:i/>
          <w:color w:val="444444"/>
          <w:sz w:val="21"/>
        </w:rPr>
        <w:t>41% dos specialty drinkers abertos a testar mushroom coffee é o maior sinal de abertura a "functional coffee" já registrado. Esse consumidor está buscando saúde + prazer simultaneamente.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Marcas como Bulletproof (proteína + gordura), Four Sigmatic (cogumelos), Everyday Dose (cogumelos + colágeno) já estão crescendo no ecossistema specialty-adjacent. Eles aparecem na cesta de compra Amazon em categorias adjacentes à Orfeu.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A Orfeu não tem nenhuma narrativa funcional. O posicionamento atual é puramente hedônico/sensorial (prazer, origem, processo). Isso é correto para o core specialty enthusiast — mas pode perder o consumidor 25-39 que está migrando para functional beverages.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Não modificar o posicionamento central — mas explorar ativos funcionais já existentes no produto: cafeína natural de Arabica, baixa acidez (Clássico), processo natural sem aditivos. São atributos funcionais latentes que a comunicação atual não capitaliza. Não inventar funcionalidade — destacar o que já existe.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2.8 Pricing e Pressão de Mercado</w:t>
      </w:r>
    </w:p>
    <w:p>
      <w:pPr>
        <w:spacing w:before="80" w:after="80"/>
        <w:ind w:left="227" w:right="227"/>
        <w:shd w:val="clear" w:color="auto" w:fill="FFF3E0"/>
      </w:pPr>
      <w:r>
        <w:rPr>
          <w:rFonts w:ascii="Calibri" w:hAnsi="Calibri"/>
          <w:b/>
          <w:i w:val="0"/>
          <w:color w:val="8B5E00"/>
          <w:sz w:val="21"/>
        </w:rPr>
        <w:t xml:space="preserve">⚠ TENSÃO  </w:t>
      </w:r>
      <w:r>
        <w:rPr>
          <w:rFonts w:ascii="Calibri" w:hAnsi="Calibri"/>
          <w:b w:val="0"/>
          <w:i/>
          <w:color w:val="444444"/>
          <w:sz w:val="21"/>
        </w:rPr>
        <w:t>O Colin e a análise de expansão assumem que o preço premium é sustentável. O NCDT não fala diretamente de preço — mas dados de mercado externo mostram que em Q3/25 o segmento mais caro de specialty caiu 16%. A elasticidade existe, mesmo que o specialty seja mais rígido que o café convencional.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No entanto, o intervalo de preço em que a Orfeu opera (US$22-35/250g) é o segmento que continua crescendo — o que está caindo é o ultra-premium acima de US$40/250g. A Orfeu está no range correto.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Não aumentar preços no curto prazo. Defender o posicionamento atual e investir na percepção de valor (reviews, A+ content, storytelling) sem mover o preço para cima.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2.9 A Sequência Geográfica dos Brand Cases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Os brand cases produzidos (Blue Bottle, Stumptown, Intelligentsia, Counter Culture, Lavazza, Illy, Juan Valdez, Peet's) todos seguem um padrão similar de entrada: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Cidade-berço com densidade de specialty enthusiasts (NY, SF, Portland, Seattle, Chicago)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HoReCa + terceira onda de cafeterias como primeiro touchpoint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DTC como segundo canal, antes de qualquer retail de massa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Anos de presença local antes de expansão nacional</w:t>
      </w:r>
    </w:p>
    <w:p>
      <w:pPr>
        <w:spacing w:before="80" w:after="80"/>
        <w:ind w:left="227" w:right="227"/>
        <w:shd w:val="clear" w:color="auto" w:fill="E6F4EA"/>
      </w:pPr>
      <w:r>
        <w:rPr>
          <w:rFonts w:ascii="Calibri" w:hAnsi="Calibri"/>
          <w:b/>
          <w:i w:val="0"/>
          <w:color w:val="1A5C30"/>
          <w:sz w:val="21"/>
        </w:rPr>
        <w:t xml:space="preserve">✓ CONFIRMA  </w:t>
      </w:r>
      <w:r>
        <w:rPr>
          <w:rFonts w:ascii="Calibri" w:hAnsi="Calibri"/>
          <w:b w:val="0"/>
          <w:i/>
          <w:color w:val="444444"/>
          <w:sz w:val="21"/>
        </w:rPr>
        <w:t>O NCDT confirma por que esse padrão existe: Nordeste e Oeste têm a maior concentração de specialty drinkers (64% e 61%). São os mercados que "entendem" o produto antes dos outros.</w:t>
      </w:r>
    </w:p>
    <w:p>
      <w:pPr>
        <w:spacing w:before="80" w:after="80"/>
        <w:ind w:left="227" w:right="227"/>
        <w:shd w:val="clear" w:color="auto" w:fill="F0EEF8"/>
      </w:pPr>
      <w:r>
        <w:rPr>
          <w:rFonts w:ascii="Calibri" w:hAnsi="Calibri"/>
          <w:b/>
          <w:i w:val="0"/>
          <w:color w:val="1A3A2A"/>
          <w:sz w:val="21"/>
        </w:rPr>
        <w:t xml:space="preserve">→ AÇÃO  </w:t>
      </w:r>
      <w:r>
        <w:rPr>
          <w:rFonts w:ascii="Calibri" w:hAnsi="Calibri"/>
          <w:b w:val="0"/>
          <w:i/>
          <w:color w:val="444444"/>
          <w:sz w:val="21"/>
        </w:rPr>
        <w:t>A sequência NYC + Miami (conforme análise Amazon + Colin) está correta. Não tentar escalar para o Midwest ou South antes de solidificar nesses dois mercados. O NCDT dá a base demográfica para essa priorização.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III — SÍNTESE: O QUE O NCDT MUDA (OU NÃO) NO PLANO ORFEU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3.1 O que permanece válido e prioritário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Entrada via HoReCa (hotéis, restaurantes premium) como canal #1. NCDT confirma o perfil do consumidor e a geografia.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NYC + Miami como mercados-piloto. Dados convergem de 3 fontes independentes: Amazon, Colin, NCDT.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DTC subscription como canal de fidelização e storytelling. O specialty drinker é aberto, engajado, e com LTV potencial alto.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Premium pricing no range US$22-35/250g. O segmento está crescendo. O ultra-premium está sob pressão — a Orfeu não está nele.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Grãos inteiros e drip sachet como formatos âncora. Drip maker (32%) domina o home prep. Cápsulas são complemento, não central.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Flavor narrative dos varietais (fruty, floral, citrus). O specialty drinker tem palato mais aberto — esses perfis ressoam.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✓  </w:t>
      </w:r>
      <w:r>
        <w:rPr>
          <w:rFonts w:ascii="Calibri" w:hAnsi="Calibri"/>
          <w:b w:val="0"/>
          <w:i w:val="0"/>
          <w:sz w:val="21"/>
        </w:rPr>
        <w:t>Hispanomericanos como cohort-chave para Miami. NCDT confirma com dados nacionais estruturais.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3.2 O que é novidade e precisa entrar no plano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Cold coffee como formato de crescimento acelerado: 60% past-week e +6pp em um ano. A Orfeu não tem produto frio. Isso precisa entrar no roadmap de produto para Fase 2 (não Fase 1).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O consumidor 25-39 não está na Amazon — está em HoReCa, cafeterias e DTC. O plano de Amazon captura o cohort 45-54, mas o crescimento da categoria vem do grupo mais jovem. Isso reforça que o canal Amazon é secundário vs. canal físico e DTC para aquisição de longo prazo.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Mushroom coffee e functional beverages como ameaça adjacente. 41% de openness no specialty drinker. Vale monitorar e capitalizar ativos funcionais latentes do produto Orfeu na comunicação.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★  </w:t>
      </w:r>
      <w:r>
        <w:rPr>
          <w:rFonts w:ascii="Calibri" w:hAnsi="Calibri"/>
          <w:b w:val="0"/>
          <w:i w:val="0"/>
          <w:sz w:val="21"/>
        </w:rPr>
        <w:t>Comportamento de sweetener em alta (50% whitener + sweetener). O storytelling de terroir e notas complexas precisa ser visual e emocional — não técnico. O consumidor não está bebendo Orfeu preto para sentir as notas.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3.3 O que cria tensão ou requer atenção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⚠  </w:t>
      </w:r>
      <w:r>
        <w:rPr>
          <w:rFonts w:ascii="Calibri" w:hAnsi="Calibri"/>
          <w:b w:val="0"/>
          <w:i w:val="0"/>
          <w:sz w:val="21"/>
        </w:rPr>
        <w:t>Cápsulas como formato principal (Colin) vs. drip/grãos como dominantes em casa (NCDT). Resolução: cápsulas para HoReCa/OCS, grãos/drip para DTC/Amazon. Formatos diferentes para canais diferentes.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⚠  </w:t>
      </w:r>
      <w:r>
        <w:rPr>
          <w:rFonts w:ascii="Calibri" w:hAnsi="Calibri"/>
          <w:b w:val="0"/>
          <w:i w:val="0"/>
          <w:sz w:val="21"/>
        </w:rPr>
        <w:t>Perfil Amazon (45-54) vs. motor de categoria (25-39). Orfeu captura o comprador premium, não o consumidor de hábito. O repeat rate baixo da Amazon pode ter esse componente etário — o 45-54 compra como presente ou ocasião especial.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⚠  </w:t>
      </w:r>
      <w:r>
        <w:rPr>
          <w:rFonts w:ascii="Calibri" w:hAnsi="Calibri"/>
          <w:b w:val="0"/>
          <w:i w:val="0"/>
          <w:sz w:val="21"/>
        </w:rPr>
        <w:t>Ultra-premium caindo (-16% em Q3/25) enquanto NCDT mostra specialty crescendo. Resolução: crescimento está no "premium acessível" (US$22-35/250g). A Orfeu está no lugar certo mas precisa sustentar percepção de valor para não ser puxada para baixo por pressão de concorrentes com escala (Lavazza, Peet's).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3.4 O que o NCDT não cobre (e ainda falta)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Não cobre:  </w:t>
      </w:r>
      <w:r>
        <w:rPr>
          <w:rFonts w:ascii="Calibri" w:hAnsi="Calibri"/>
          <w:b w:val="0"/>
          <w:i w:val="0"/>
          <w:sz w:val="21"/>
        </w:rPr>
        <w:t>Comportamento de compra online / e-commerce / Amazon especificamente. O NCDT é sobre consumo de bebidas, não sobre canais de compra.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Não cobre:  </w:t>
      </w:r>
      <w:r>
        <w:rPr>
          <w:rFonts w:ascii="Calibri" w:hAnsi="Calibri"/>
          <w:b w:val="0"/>
          <w:i w:val="0"/>
          <w:sz w:val="21"/>
        </w:rPr>
        <w:t>Dados de fidelização / subscription / repeat purchase rate — esses dados estão nos Amazon Brand Analytics, não no NCDT.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Não cobre:  </w:t>
      </w:r>
      <w:r>
        <w:rPr>
          <w:rFonts w:ascii="Calibri" w:hAnsi="Calibri"/>
          <w:b w:val="0"/>
          <w:i w:val="0"/>
          <w:sz w:val="21"/>
        </w:rPr>
        <w:t>Comportamento do consumidor brasileiro nos EUA como subgrupo. O NCDT usa a categoria "Hispânico" de forma ampla — não distingue origem nacional.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/>
          <w:i w:val="0"/>
          <w:sz w:val="21"/>
        </w:rPr>
        <w:t xml:space="preserve">Ainda faltando para diagnóstico completo:  </w:t>
      </w:r>
      <w:r>
        <w:rPr>
          <w:rFonts w:ascii="Calibri" w:hAnsi="Calibri"/>
          <w:b w:val="0"/>
          <w:i w:val="0"/>
          <w:sz w:val="21"/>
        </w:rPr>
        <w:t>Relatório de Euromonitor sobre e-commerce de coffee (mencionado no GTM de expansão mas não disponível nos arquivos). Dados da Hearts &amp; Minds (proposta rejeitada em maio/26). USDA FAS relatório de importação.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60"/>
        <w:pBdr>
          <w:bottom w:val="single" w:sz="8" w:space="1" w:color="1A3A2A"/>
        </w:pBdr>
      </w:pPr>
      <w:r>
        <w:rPr>
          <w:rFonts w:ascii="Calibri" w:hAnsi="Calibri"/>
          <w:b/>
          <w:i w:val="0"/>
          <w:color w:val="1A3A2A"/>
          <w:sz w:val="25"/>
        </w:rPr>
        <w:t>PARTE IV — QUADRO DE REFERÊNCIA: VISÃO CONSOLIDADA DOS MATERIAIS</w:t>
      </w:r>
    </w:p>
    <w:p>
      <w:pPr>
        <w:spacing w:before="0" w:after="60"/>
        <w:ind w:left="0"/>
      </w:pPr>
      <w:r>
        <w:rPr>
          <w:rFonts w:ascii="Calibri" w:hAnsi="Calibri"/>
          <w:b w:val="0"/>
          <w:i w:val="0"/>
          <w:sz w:val="21"/>
        </w:rPr>
        <w:t>Esta seção funciona como um mapa de onde cada tese vem e seu status de validação depois do cruzamento com o NCDT.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Teses de Alta Confiança (validadas por 2+ fontes independentes)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Specialty &gt; tradicional, estruturalmente e permanentemente — NCDT + todos os demais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NYC + Miami como mercados-piloto — Amazon data + Colin + NCDT regional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HoReCa como canal de entrada premium — Colin + brand cases (Illy, Blue Bottle, Juan Valdez) + NCDT perfil de consumidor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Hispano-americanos como target em Miami — Amazon geodata + NCDT ethnicity data + Colin (diaspora brasileira)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25-39 anos como motor de crescimento — NCDT + relatório GTM IA + dados históricos de categoria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Grãos inteiros e drip sachet como formatos âncora — Amazon ASIN performance + NCDT preparation method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US$22-35/250g como faixa de preço defensável — Amazon pricing + Colin + dados de mercado externo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Teses de Média Confiança (validadas por uma fonte ou com nuances)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Cápsulas Nespresso-compatible como formato HoReCa — Colin (robusto) mas não validado por dado de consumidor NCDT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Cold brew como oportunidade — NCDT confirma crescimento do cold coffee mas Orfeu não testou o formato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DTC como segundo canal — Colin + brand cases, mas nenhum dado de tração DTC real para Orfeu ainda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Mushroom/functional coffee como ameaça adjacente — NCDT sinal precoce, mas não há dado de impacto real em premium specialty</w:t>
      </w:r>
    </w:p>
    <w:p>
      <w:pPr>
        <w:spacing w:before="200" w:after="40"/>
      </w:pPr>
      <w:r>
        <w:rPr>
          <w:rFonts w:ascii="Calibri" w:hAnsi="Calibri"/>
          <w:b/>
          <w:i w:val="0"/>
          <w:color w:val="1A3A2A"/>
          <w:sz w:val="22"/>
        </w:rPr>
        <w:t>Teses a Revisar ou Aprofundar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A persona de idade: 45-54 na Amazon vs. 25-39 no NCDT. Reconciliação necessária — pode ser efeito de canal, não de produto.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Cold coffee como produto da Orfeu: não está no roadmap atual. Precisa de decisão explícita sobre quando e como entrar.</w:t>
      </w:r>
    </w:p>
    <w:p>
      <w:pPr>
        <w:pStyle w:val="ListBullet"/>
        <w:spacing w:before="20" w:after="20"/>
        <w:ind w:left="227"/>
      </w:pPr>
      <w:r>
        <w:rPr>
          <w:rFonts w:ascii="Calibri" w:hAnsi="Calibri"/>
          <w:b w:val="0"/>
          <w:i w:val="0"/>
          <w:sz w:val="21"/>
        </w:rPr>
        <w:t>Functional coffee narrative: Orfeu tem ativos (baixa acidez, Arabica 100%, sem aditivos) que podem ser comunicados funcionalmente — decisão de brand voice pendente.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rFonts w:ascii="Calibri" w:hAnsi="Calibri"/>
          <w:b w:val="0"/>
          <w:i/>
          <w:color w:val="999999"/>
          <w:sz w:val="18"/>
        </w:rPr>
        <w:t>Alquemia Consulting  ·  Felipe Szpigel  ·  7 de julho de 2026  ·  Análise cruzada — documento de trabalho interno  ·  Fontes: NCDT NCA/SCA Jan 2026 · Colin Butterfield abr/26 · Amazon Analytics H1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