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5800"/>
        <w:gridCol w:w="4740"/>
      </w:tblGrid>
      <w:tr>
        <w:tc>
          <w:tcPr>
            <w:tcW w:type="dxa" w:w="5800"/>
            <w:tcBorders>
              <w:top w:val="none" w:color="FFFFFF" w:sz="0"/>
              <w:left w:val="none" w:color="FFFFFF" w:sz="0"/>
              <w:bottom w:val="none" w:color="FFFFFF" w:sz="0"/>
              <w:right w:val="none" w:color="FFFFFF" w:sz="0"/>
            </w:tcBorders>
            <w:tcMar>
              <w:left w:type="dxa" w:w="0"/>
            </w:tcMar>
            <w:vAlign w:val="bottom"/>
          </w:tcPr>
          <w:p>
            <w:pPr>
              <w:spacing w:after="40"/>
            </w:pPr>
            <w:r>
              <w:rPr>
                <w:rFonts w:ascii="Helvetica" w:cs="Helvetica" w:eastAsia="Helvetica" w:hAnsi="Helvetica"/>
                <w:b/>
                <w:bCs/>
                <w:color w:val="1A1D24"/>
                <w:sz w:val="36"/>
                <w:szCs w:val="34"/>
              </w:rPr>
              <w:t xml:space="preserve">TORQUE</w:t>
            </w:r>
            <w:r>
              <w:rPr>
                <w:rFonts w:ascii="Helvetica" w:cs="Helvetica" w:eastAsia="Helvetica" w:hAnsi="Helvetica"/>
                <w:b/>
                <w:bCs/>
                <w:color w:val="B2202A"/>
                <w:sz w:val="36"/>
                <w:szCs w:val="34"/>
              </w:rPr>
              <w:t xml:space="preserve"> UNDERWRITERS</w:t>
            </w:r>
          </w:p>
          <w:p>
            <w:pPr>
              <w:spacing w:after="40" w:before="20"/>
            </w:pPr>
            <w:r>
              <w:rPr>
                <w:rFonts w:ascii="Helvetica" w:cs="Helvetica" w:eastAsia="Helvetica" w:hAnsi="Helvetica"/>
                <w:color w:val="5A5F6A"/>
                <w:sz w:val="17"/>
                <w:szCs w:val="15"/>
              </w:rPr>
              <w:t xml:space="preserve">Coverholder at Lloyd's  |  Exotic &amp; Collector Automobile Program</w:t>
            </w:r>
          </w:p>
        </w:tc>
        <w:tc>
          <w:tcPr>
            <w:tcW w:type="dxa" w:w="4740"/>
            <w:tcBorders>
              <w:top w:val="none" w:color="FFFFFF" w:sz="0"/>
              <w:left w:val="none" w:color="FFFFFF" w:sz="0"/>
              <w:bottom w:val="none" w:color="FFFFFF" w:sz="0"/>
              <w:right w:val="none" w:color="FFFFFF" w:sz="0"/>
            </w:tcBorders>
            <w:vAlign w:val="bottom"/>
          </w:tcPr>
          <w:p>
            <w:pPr>
              <w:spacing w:after="40"/>
              <w:jc w:val="right"/>
            </w:pPr>
            <w:r>
              <w:rPr>
                <w:rFonts w:ascii="Helvetica" w:cs="Helvetica" w:eastAsia="Helvetica" w:hAnsi="Helvetica"/>
                <w:b/>
                <w:bCs/>
                <w:color w:val="1A1D24"/>
                <w:sz w:val="30"/>
                <w:szCs w:val="26"/>
              </w:rPr>
              <w:t xml:space="preserve">Submission Form</w:t>
            </w:r>
          </w:p>
        </w:tc>
      </w:tr>
    </w:tbl>
    <w:p>
      <w:pPr>
        <w:pBdr>
          <w:bottom w:val="single" w:color="1A1D24" w:sz="12"/>
        </w:pBdr>
        <w:spacing w:after="150" w:before="60"/>
      </w:pPr>
      <w:r>
        <w:rPr>
          <w:sz w:val="2"/>
          <w:szCs w:val="2"/>
        </w:rPr>
        <w:t xml:space="preserve"/>
      </w:r>
    </w:p>
    <w:p>
      <w:pPr>
        <w:spacing w:after="70" w:before="0" w:line="240"/>
      </w:pPr>
      <w:r>
        <w:rPr>
          <w:rFonts w:ascii="Helvetica" w:cs="Helvetica" w:eastAsia="Helvetica" w:hAnsi="Helvetica"/>
          <w:b/>
          <w:bCs/>
          <w:color w:val="1A1D24"/>
          <w:sz w:val="23"/>
          <w:szCs w:val="20"/>
        </w:rPr>
        <w:t xml:space="preserve">New Business Submission — Exotic &amp; Collector Automobile Program</w:t>
      </w:r>
    </w:p>
    <w:p>
      <w:pPr>
        <w:spacing w:after="80" w:before="50" w:line="205"/>
      </w:pPr>
      <w:r>
        <w:rPr>
          <w:rFonts w:ascii="Helvetica" w:cs="Helvetica" w:eastAsia="Helvetica" w:hAnsi="Helvetica"/>
          <w:i w:val="false"/>
          <w:iCs w:val="false"/>
          <w:color w:val="5A5F6A"/>
          <w:sz w:val="16"/>
          <w:szCs w:val="14"/>
        </w:rPr>
        <w:t xml:space="preserve">Complete one form per vehicle. Fields on this form correspond one-to-one to the Portfolio Register risk-input columns and the submission log, so a completed form can be keyed directly to the rating engine without transformation. Selections shown are the rateable options; anything outside them is a referral.</w:t>
      </w:r>
    </w:p>
    <w:tbl>
      <w:tblPr>
        <w:tblW w:type="dxa" w:w="10540"/>
        <w:tblBorders>
          <w:top w:val="single" w:color="5A5F6A" w:sz="6"/>
          <w:left w:val="single" w:color="5A5F6A" w:sz="6"/>
          <w:bottom w:val="single" w:color="5A5F6A" w:sz="6"/>
          <w:right w:val="single" w:color="5A5F6A" w:sz="6"/>
          <w:insideH w:val="none" w:color="FFFFFF" w:sz="0"/>
          <w:insideV w:val="none" w:color="FFFFFF" w:sz="0"/>
        </w:tblBorders>
      </w:tblPr>
      <w:tblGrid>
        <w:gridCol w:w="10540"/>
      </w:tblGrid>
      <w:tr>
        <w:tc>
          <w:tcPr>
            <w:tcW w:type="dxa" w:w="10540"/>
            <w:shd w:fill="F2F3F5" w:color="auto" w:val="clear"/>
            <w:tcMar>
              <w:top w:type="dxa" w:w="70"/>
              <w:left w:type="dxa" w:w="110"/>
              <w:bottom w:type="dxa" w:w="70"/>
              <w:right w:type="dxa" w:w="110"/>
            </w:tcMar>
          </w:tcPr>
          <w:p>
            <w:pPr>
              <w:spacing w:after="70"/>
            </w:pPr>
            <w:r>
              <w:rPr>
                <w:rFonts w:ascii="Helvetica" w:cs="Helvetica" w:eastAsia="Helvetica" w:hAnsi="Helvetica"/>
                <w:b/>
                <w:bCs/>
                <w:color w:val="B2202A"/>
                <w:sz w:val="16"/>
                <w:szCs w:val="14"/>
              </w:rPr>
              <w:t xml:space="preserve">FOR OFFICE USE — SUBMISSION LOG ENTRY</w:t>
            </w:r>
          </w:p>
          <w:p>
            <w:pPr>
              <w:spacing w:after="60" w:line="300"/>
            </w:pPr>
            <w:r>
              <w:rPr>
                <w:rFonts w:ascii="Helvetica" w:cs="Helvetica" w:eastAsia="Helvetica" w:hAnsi="Helvetica"/>
                <w:color w:val="1A1D24"/>
                <w:sz w:val="18"/>
                <w:szCs w:val="15"/>
              </w:rPr>
              <w:t>Submission Ref: ______________________     Date Received: ______________</w:t>
            </w:r>
            <w:r>
              <w:rPr>
                <w:rFonts w:ascii="Helvetica" w:cs="Helvetica" w:eastAsia="Helvetica" w:hAnsi="Helvetica"/>
                <w:color w:val="1A1D24"/>
                <w:sz w:val="18"/>
                <w:szCs w:val="15"/>
              </w:rPr>
            </w:r>
          </w:p>
          <w:p>
            <w:pPr>
              <w:spacing w:after="60" w:line="300"/>
            </w:pPr>
            <w:r>
              <w:rPr>
                <w:rFonts w:ascii="Helvetica" w:cs="Helvetica" w:eastAsia="Helvetica" w:hAnsi="Helvetica"/>
                <w:color w:val="1A1D24"/>
                <w:sz w:val="18"/>
                <w:szCs w:val="15"/>
              </w:rPr>
              <w:t>Disposition:  ☐ Bound   ☐ Declined   ☐ Referred</w:t>
            </w:r>
            <w:r>
              <w:rPr>
                <w:rFonts w:ascii="Helvetica" w:cs="Helvetica" w:eastAsia="Helvetica" w:hAnsi="Helvetica"/>
                <w:color w:val="1A1D24"/>
                <w:sz w:val="18"/>
                <w:szCs w:val="15"/>
              </w:rPr>
            </w:r>
          </w:p>
          <w:p>
            <w:pPr>
              <w:spacing w:after="40" w:line="300"/>
            </w:pPr>
            <w:r>
              <w:rPr>
                <w:rFonts w:ascii="Helvetica" w:cs="Helvetica" w:eastAsia="Helvetica" w:hAnsi="Helvetica"/>
                <w:color w:val="1A1D24"/>
                <w:sz w:val="18"/>
                <w:szCs w:val="15"/>
              </w:rPr>
              <w:t xml:space="preserve">Indicative / Base Premium: $______________     Policy No. (if bound): ______________________     Decline / Referral Reason: ______________________</w:t>
            </w:r>
          </w:p>
        </w:tc>
      </w:tr>
    </w:tbl>
    <w:p>
      <w:pPr>
        <w:keepNext/>
        <w:pBdr>
          <w:bottom w:val="single" w:color="D5D8DD" w:sz="4"/>
        </w:pBdr>
        <w:spacing w:after="100" w:before="190"/>
      </w:pPr>
      <w:r>
        <w:rPr>
          <w:rFonts w:ascii="Helvetica" w:cs="Helvetica" w:eastAsia="Helvetica" w:hAnsi="Helvetica"/>
          <w:b/>
          <w:bCs/>
          <w:color w:val="1A1D24"/>
          <w:sz w:val="23"/>
          <w:szCs w:val="19"/>
        </w:rPr>
        <w:t xml:space="preserve">1.  Producing Broker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BROKERAGE FIRM</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5"/>
                <w:szCs w:val="13"/>
              </w:rPr>
              <w:t xml:space="preserve">SURPLUS LINES LICENSE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CONTACT NAME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p>
      <w:pPr>
        <w:keepNext/>
        <w:pBdr>
          <w:bottom w:val="single" w:color="D5D8DD" w:sz="4"/>
        </w:pBdr>
        <w:spacing w:after="100" w:before="190"/>
      </w:pPr>
      <w:r>
        <w:rPr>
          <w:rFonts w:ascii="Helvetica" w:cs="Helvetica" w:eastAsia="Helvetica" w:hAnsi="Helvetica"/>
          <w:b/>
          <w:bCs/>
          <w:color w:val="1A1D24"/>
          <w:sz w:val="23"/>
          <w:szCs w:val="19"/>
        </w:rPr>
        <w:t xml:space="preserve">2.  Named Insured</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NAMED INSURED (AS TO APPEAR ON POLICY)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p>
      <w:pPr>
        <w:spacing w:after="60" w:before="70"/>
      </w:pPr>
      <w:r>
        <w:rPr>
          <w:rFonts w:ascii="Helvetica" w:cs="Helvetica" w:eastAsia="Helvetica" w:hAnsi="Helvetica"/>
          <w:b/>
          <w:bCs/>
          <w:color w:val="5A5F6A"/>
          <w:sz w:val="16"/>
          <w:szCs w:val="13"/>
        </w:rPr>
        <w:t xml:space="preserve">ENTITY TYPE</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Individual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LLC / Corporation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Trust / Collection entity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Other: ____________</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p>
      <w:pPr>
        <w:keepNext/>
        <w:pBdr>
          <w:bottom w:val="single" w:color="D5D8DD" w:sz="4"/>
        </w:pBdr>
        <w:spacing w:after="100" w:before="190"/>
      </w:pPr>
      <w:r>
        <w:rPr>
          <w:rFonts w:ascii="Helvetica" w:cs="Helvetica" w:eastAsia="Helvetica" w:hAnsi="Helvetica"/>
          <w:b/>
          <w:bCs/>
          <w:color w:val="1A1D24"/>
          <w:sz w:val="23"/>
          <w:szCs w:val="19"/>
        </w:rPr>
        <w:t xml:space="preserve">3.  Requested Policy</w:t>
      </w:r>
    </w:p>
    <w:p>
      <w:pPr>
        <w:spacing w:after="60" w:before="70"/>
      </w:pPr>
      <w:r>
        <w:rPr>
          <w:rFonts w:ascii="Helvetica" w:cs="Helvetica" w:eastAsia="Helvetica" w:hAnsi="Helvetica"/>
          <w:b/>
          <w:bCs/>
          <w:color w:val="5A5F6A"/>
          <w:sz w:val="16"/>
          <w:szCs w:val="13"/>
        </w:rPr>
        <w:t xml:space="preserve">POLICY TYPE</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Personal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Commercial</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REQUESTED EFFECTIVE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REQUESTED EXPIRY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p>
      <w:pPr>
        <w:keepNext/>
        <w:pBdr>
          <w:bottom w:val="single" w:color="D5D8DD" w:sz="4"/>
        </w:pBdr>
        <w:spacing w:after="100" w:before="190"/>
      </w:pPr>
      <w:r>
        <w:rPr>
          <w:rFonts w:ascii="Helvetica" w:cs="Helvetica" w:eastAsia="Helvetica" w:hAnsi="Helvetica"/>
          <w:b/>
          <w:bCs/>
          <w:color w:val="1A1D24"/>
          <w:sz w:val="23"/>
          <w:szCs w:val="19"/>
        </w:rPr>
        <w:t xml:space="preserve">4.  Scheduled Vehicle</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01 - Luxury Sedan / SUV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02 - Sports / GT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03 - Supercar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04 - Hypercar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05 - Limited Edition / Track-Focused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06 - Vintage Pre-War (pre-1946)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07 - Post-War Classic (1946-1972)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08 - Modern Classic (1973-1999)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09 - Youngtimer / Collectible (2000-2010)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10 - Competition / Race Car (non-competitive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11 - Restomod / Coachbuilt / Bespoke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12 - Performance EV / Electric Hyper</w:t>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Agreed Value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Agreed Value + Appreciation clause (EX-04)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Stated Value (up to)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Actual Cash Value</w:t>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5.  Garaging &amp; Security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Secure collection facility - climate controlled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Locked private garage w/ monitored alarm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Locked private garage - no alarm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Shared / commercial garage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Gated community driveway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Carport / covered but open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Street / unsecured parking</w:t>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Kill switch + GPS + monitored alarm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GPS tracker w/ recovery service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GPS tracker - no recovery service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Factory immobiliser only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Aftermarket alarm only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None / period-correct vintage</w:t>
      </w:r>
    </w:p>
    <w:p>
      <w:pPr>
        <w:keepNext/>
        <w:pBdr>
          <w:bottom w:val="single" w:color="D5D8DD" w:sz="4"/>
        </w:pBdr>
        <w:spacing w:after="100" w:before="190"/>
      </w:pPr>
      <w:r>
        <w:rPr>
          <w:rFonts w:ascii="Helvetica" w:cs="Helvetica" w:eastAsia="Helvetica" w:hAnsi="Helvetica"/>
          <w:b/>
          <w:bCs/>
          <w:color w:val="1A1D24"/>
          <w:sz w:val="23"/>
          <w:szCs w:val="19"/>
        </w:rPr>
        <w:t xml:space="preserve">6.  Usage</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Collector - pleasure use only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Personal - regular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Exhibition / static display only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Club touring / rallies (non-timed)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Business / executive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Track day / HPDE (non-competitive)</w:t>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Under 1,000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1,000 - 2,500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2,500 - 5,000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5,000 - 7,500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7,500 - 10,000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10,000 - 15,000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Over 15,000</w:t>
      </w:r>
    </w:p>
    <w:p>
      <w:pPr>
        <w:spacing w:after="60" w:before="70"/>
      </w:pPr>
      <w:r>
        <w:rPr>
          <w:rFonts w:ascii="Helvetica" w:cs="Helvetica" w:eastAsia="Helvetica" w:hAnsi="Helvetica"/>
          <w:b/>
          <w:bCs/>
          <w:color w:val="5A5F6A"/>
          <w:sz w:val="16"/>
          <w:szCs w:val="13"/>
        </w:rPr>
        <w:t xml:space="preserve">COLLECTION SIZE (VEHICLES ON POLICY)</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vehicle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2 - 3 vehicles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4 - 6 vehicles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7 - 10 vehicles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11 - 20 vehicles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21 + vehicles</w:t>
      </w:r>
    </w:p>
    <w:p>
      <w:pPr>
        <w:keepNext/>
        <w:pBdr>
          <w:bottom w:val="single" w:color="D5D8DD" w:sz="4"/>
        </w:pBdr>
        <w:spacing w:after="100" w:before="190"/>
      </w:pPr>
      <w:r>
        <w:rPr>
          <w:rFonts w:ascii="Helvetica" w:cs="Helvetica" w:eastAsia="Helvetica" w:hAnsi="Helvetica"/>
          <w:b/>
          <w:bCs/>
          <w:color w:val="1A1D24"/>
          <w:sz w:val="23"/>
          <w:szCs w:val="19"/>
        </w:rPr>
        <w:t xml:space="preserve">7.  Principal Driver(s)</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3340"/>
        <w:gridCol w:w="1700"/>
        <w:gridCol w:w="2500"/>
        <w:gridCol w:w="3000"/>
      </w:tblGrid>
      <w:tr>
        <w:trPr>
          <w:tblHeader/>
        </w:trPr>
        <w:tc>
          <w:tcPr>
            <w:tcW w:type="dxa" w:w="334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Driver name</w:t>
            </w:r>
          </w:p>
        </w:tc>
        <w:tc>
          <w:tcPr>
            <w:tcW w:type="dxa" w:w="17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Date of birth</w:t>
            </w:r>
          </w:p>
        </w:tc>
        <w:tc>
          <w:tcPr>
            <w:tcW w:type="dxa" w:w="25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License no. / state</w:t>
            </w:r>
          </w:p>
        </w:tc>
        <w:tc>
          <w:tcPr>
            <w:tcW w:type="dxa" w:w="30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Years on high-performance</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r>
        <w:tc>
          <w:tcPr>
            <w:tcW w:type="dxa" w:w="334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bl>
    <w:p>
      <w:pPr>
        <w:spacing w:after="60" w:before="70"/>
      </w:pPr>
      <w:r>
        <w:rPr>
          <w:rFonts w:ascii="Helvetica" w:cs="Helvetica" w:eastAsia="Helvetica" w:hAnsi="Helvetica"/>
          <w:b/>
          <w:bCs/>
          <w:color w:val="5A5F6A"/>
          <w:sz w:val="16"/>
          <w:szCs w:val="13"/>
        </w:rPr>
        <w:t xml:space="preserve">PRINCIPAL DRIVER AGE BAND</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Under 21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21 - 24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25 - 29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30 - 34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35 - 44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45 - 54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55 - 64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65 - 74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75 - 79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80 +</w:t>
      </w:r>
    </w:p>
    <w:p>
      <w:pPr>
        <w:spacing w:after="80" w:before="50" w:line="205"/>
      </w:pPr>
      <w:r>
        <w:rPr>
          <w:rFonts w:ascii="Helvetica" w:cs="Helvetica" w:eastAsia="Helvetica" w:hAnsi="Helvetica"/>
          <w:i/>
          <w:iCs/>
          <w:color w:val="5A5F6A"/>
          <w:sz w:val="16"/>
          <w:szCs w:val="14"/>
        </w:rPr>
        <w:t xml:space="preserve">Under 21 is declined unless excluded / non-operator. 21-29 refers on classes 03-05; 75+ refers with medical attestation.</w:t>
      </w:r>
    </w:p>
    <w:p>
      <w:pPr>
        <w:spacing w:after="60" w:before="70"/>
      </w:pPr>
      <w:r>
        <w:rPr>
          <w:rFonts w:ascii="Helvetica" w:cs="Helvetica" w:eastAsia="Helvetica" w:hAnsi="Helvetica"/>
          <w:b/>
          <w:bCs/>
          <w:color w:val="5A5F6A"/>
          <w:sz w:val="16"/>
          <w:szCs w:val="13"/>
        </w:rPr>
        <w:t xml:space="preserve">HIGH-PERFORMANCE DRIVING EXPERIENCE</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Under 1 year on high-performance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1 - 3 years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3 - 5 years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5 - 10 years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 + years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 + yrs w/ accredited HPDE cert.</w:t>
      </w:r>
    </w:p>
    <w:p>
      <w:pPr>
        <w:spacing w:after="60" w:before="70"/>
      </w:pPr>
      <w:r>
        <w:rPr>
          <w:rFonts w:ascii="Helvetica" w:cs="Helvetica" w:eastAsia="Helvetica" w:hAnsi="Helvetica"/>
          <w:b/>
          <w:bCs/>
          <w:color w:val="5A5F6A"/>
          <w:sz w:val="16"/>
          <w:szCs w:val="13"/>
        </w:rPr>
        <w:t xml:space="preserve">MOTOR VEHICLE RECORD (3 YEARS, WORST PERMITTED DRIVER)</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Clean - no violations 3 yrs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minor moving violation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 minor moving violations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3 + minor moving violations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major (reckless / 25+ over)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 + major violations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DUI / DWI within 5 yrs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Licence suspension / revocation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Not available / foreign licence</w:t>
      </w:r>
    </w:p>
    <w:p>
      <w:pPr>
        <w:spacing w:after="80" w:before="50" w:line="205"/>
      </w:pPr>
      <w:r>
        <w:rPr>
          <w:rFonts w:ascii="Helvetica" w:cs="Helvetica" w:eastAsia="Helvetica" w:hAnsi="Helvetica"/>
          <w:i/>
          <w:iCs/>
          <w:color w:val="5A5F6A"/>
          <w:sz w:val="16"/>
          <w:szCs w:val="14"/>
        </w:rPr>
        <w:t xml:space="preserve">2+ majors, DUI/DWI within 5 years, or suspension / revocation are automatic declines. MVRs are ordered on every permitted driver.</w:t>
      </w:r>
    </w:p>
    <w:p>
      <w:pPr>
        <w:keepNext/>
        <w:pBdr>
          <w:bottom w:val="single" w:color="D5D8DD" w:sz="4"/>
        </w:pBdr>
        <w:spacing w:after="100" w:before="190"/>
      </w:pPr>
      <w:r>
        <w:rPr>
          <w:rFonts w:ascii="Helvetica" w:cs="Helvetica" w:eastAsia="Helvetica" w:hAnsi="Helvetica"/>
          <w:b/>
          <w:bCs/>
          <w:color w:val="1A1D24"/>
          <w:sz w:val="23"/>
          <w:szCs w:val="19"/>
        </w:rPr>
        <w:t xml:space="preserve">8.  Loss History — Prior 5 Years</w:t>
      </w:r>
    </w:p>
    <w:p>
      <w:pPr>
        <w:spacing w:after="60" w:before="70"/>
      </w:pPr>
      <w:r>
        <w:rPr>
          <w:rFonts w:ascii="Helvetica" w:cs="Helvetica" w:eastAsia="Helvetica" w:hAnsi="Helvetica"/>
          <w:b/>
          <w:bCs/>
          <w:color w:val="5A5F6A"/>
          <w:sz w:val="16"/>
          <w:szCs w:val="13"/>
        </w:rPr>
        <w:t xml:space="preserve">CLAIMS RECORD (CHARGEABLE PERIOD 5 YEARS)</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No at-fault claims - 5 yrs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No claims + 3 yrs prior collector policy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at-fault claim under $25k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at-fault claim $25k - $100k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at-fault claim over $100k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theft / total loss claim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 at-fault claims - 5 yrs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3 + at-fault claims - 5 yrs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Prior carrier non-renewal / cancellation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Comp-only claims (glass/animal/weather)</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8790"/>
        <w:gridCol w:w="1750"/>
      </w:tblGrid>
      <w:tr>
        <w:trPr>
          <w:tblHeader/>
        </w:trPr>
        <w:tc>
          <w:tcPr>
            <w:tcW w:type="dxa" w:w="879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Underwriting question</w:t>
            </w:r>
          </w:p>
        </w:tc>
        <w:tc>
          <w:tcPr>
            <w:tcW w:type="dxa" w:w="1750"/>
            <w:shd w:fill="1A1D24" w:color="auto" w:val="clear"/>
            <w:tcMar>
              <w:top w:type="dxa" w:w="50"/>
              <w:left w:type="dxa" w:w="80"/>
              <w:bottom w:type="dxa" w:w="50"/>
              <w:right w:type="dxa" w:w="80"/>
            </w:tcMar>
          </w:tcPr>
          <w:p>
            <w:pPr>
              <w:spacing w:after="40"/>
              <w:jc w:val="right"/>
            </w:pPr>
            <w:r>
              <w:rPr>
                <w:rFonts w:ascii="Helvetica" w:cs="Helvetica" w:eastAsia="Helvetica" w:hAnsi="Helvetica"/>
                <w:b/>
                <w:bCs/>
                <w:color w:val="FFFFFF"/>
                <w:sz w:val="16"/>
                <w:szCs w:val="14"/>
              </w:rPr>
              <w:t xml:space="preserve">Yes / No</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at-fault claim exceeding $100,000 in the prior 5 years?</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theft or total loss claim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carrier non-renewal or mid-term cancellation?</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Three or more at-fault claims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claim arising from track, timed-event or competitive use?</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bl>
    <w:p>
      <w:pPr>
        <w:spacing w:after="80" w:before="50" w:line="205"/>
      </w:pPr>
      <w:r>
        <w:rPr>
          <w:rFonts w:ascii="Helvetica" w:cs="Helvetica" w:eastAsia="Helvetica" w:hAnsi="Helvetica"/>
          <w:i w:val="false"/>
          <w:iCs w:val="false"/>
          <w:color w:val="5A5F6A"/>
          <w:sz w:val="16"/>
          <w:szCs w:val="14"/>
        </w:rPr>
        <w:t xml:space="preserve">Three or more at-fault claims in 5 years is an automatic decline. A single claim over $100k, a theft / total loss claim, two at-fault claims, or a prior non-renewal refers to a senior underwriter — 5 years of carrier-issued loss runs are required with every referral.</w:t>
      </w:r>
    </w:p>
    <w:p>
      <w:pPr>
        <w:keepNext/>
        <w:pBdr>
          <w:bottom w:val="single" w:color="D5D8DD" w:sz="4"/>
        </w:pBdr>
        <w:spacing w:after="100" w:before="190"/>
      </w:pPr>
      <w:r>
        <w:rPr>
          <w:rFonts w:ascii="Helvetica" w:cs="Helvetica" w:eastAsia="Helvetica" w:hAnsi="Helvetica"/>
          <w:b/>
          <w:bCs/>
          <w:color w:val="1A1D24"/>
          <w:sz w:val="23"/>
          <w:szCs w:val="19"/>
        </w:rPr>
        <w:t xml:space="preserve">9.  Coverage Selections</w:t>
      </w:r>
    </w:p>
    <w:p>
      <w:pPr>
        <w:spacing w:after="60" w:before="70"/>
      </w:pPr>
      <w:r>
        <w:rPr>
          <w:rFonts w:ascii="Helvetica" w:cs="Helvetica" w:eastAsia="Helvetica" w:hAnsi="Helvetica"/>
          <w:b/>
          <w:bCs/>
          <w:color w:val="5A5F6A"/>
          <w:sz w:val="16"/>
          <w:szCs w:val="13"/>
        </w:rPr>
        <w:t xml:space="preserve">LIABILITY LIMIT (COMBINED SINGLE LIMIT)</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$300,000 CSL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$500,000 CSL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$1,000,000 CSL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$2,000,000 CSL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$5,000,000 CSL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$10,000,000 CSL</w:t>
      </w:r>
    </w:p>
    <w:p>
      <w:pPr>
        <w:spacing w:after="60" w:before="70"/>
      </w:pPr>
      <w:r>
        <w:rPr>
          <w:rFonts w:ascii="Helvetica" w:cs="Helvetica" w:eastAsia="Helvetica" w:hAnsi="Helvetica"/>
          <w:b/>
          <w:bCs/>
          <w:color w:val="5A5F6A"/>
          <w:sz w:val="16"/>
          <w:szCs w:val="13"/>
        </w:rPr>
        <w:t xml:space="preserve">PHYSICAL DAMAGE DEDUCTIBLE</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$2,500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$25,000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$50,000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$100,000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$250,000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 of agreed value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2% of agreed value</w:t>
      </w:r>
    </w:p>
    <w:p>
      <w:pPr>
        <w:spacing w:after="80" w:before="50" w:line="205"/>
      </w:pPr>
      <w:r>
        <w:rPr>
          <w:rFonts w:ascii="Helvetica" w:cs="Helvetica" w:eastAsia="Helvetica" w:hAnsi="Helvetica"/>
          <w:i/>
          <w:iCs/>
          <w:color w:val="5A5F6A"/>
          <w:sz w:val="16"/>
          <w:szCs w:val="14"/>
        </w:rPr>
        <w:t xml:space="preserve">Minimum $5,000 on classes 03-05. Catastrophe (named storm / flood / hail) deductibles apply per the program schedule — typically 2% of agreed value, minimum $10,000, in Tier 1 coastal zones.</w:t>
      </w:r>
    </w:p>
    <w:p>
      <w:pPr>
        <w:spacing w:after="60" w:before="70"/>
      </w:pPr>
      <w:r>
        <w:rPr>
          <w:rFonts w:ascii="Helvetica" w:cs="Helvetica" w:eastAsia="Helvetica" w:hAnsi="Helvetica"/>
          <w:b/>
          <w:bCs/>
          <w:color w:val="5A5F6A"/>
          <w:sz w:val="16"/>
          <w:szCs w:val="13"/>
        </w:rPr>
        <w:t xml:space="preserve">OPTIONAL DEDUCTIBLE BASES</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Comprehensive: same as PD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Comprehensive: 50% of PD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Comprehensive: nil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Comprehensive: double PD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Glass: $500 flat OEM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Glass: nil (EX-16)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Theft: same as PD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Theft: nil w/ GPS recovery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Aggregate: 1% of schedule (10+ veh.)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Total loss waiver (EX-15)</w:t>
      </w:r>
    </w:p>
    <w:p>
      <w:pPr>
        <w:spacing w:after="60" w:before="70"/>
      </w:pPr>
      <w:r>
        <w:rPr>
          <w:rFonts w:ascii="Helvetica" w:cs="Helvetica" w:eastAsia="Helvetica" w:hAnsi="Helvetica"/>
          <w:b/>
          <w:bCs/>
          <w:color w:val="5A5F6A"/>
          <w:sz w:val="16"/>
          <w:szCs w:val="13"/>
        </w:rPr>
        <w:t xml:space="preserve">ENDORSEMENTS &amp; SUB-LIMITS REQUESTED</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Newly acquired vehicle ($500k/30d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Spare parts &amp; automobilia ($25k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Personal effects ($5k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Loss of use ($500/day, $10k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Transit &amp; transport (EX-08)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Worldwide territory (EX-09)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Diminution in value (EX-05)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Appreciation guard (EX-04)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Unobtainable parts ($100k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Cherished salvage buy-back (EX-06)</w:t>
      </w:r>
    </w:p>
    <w:p>
      <w:pPr>
        <w:spacing w:after="80" w:before="50" w:line="205"/>
      </w:pPr>
      <w:r>
        <w:rPr>
          <w:rFonts w:ascii="Helvetica" w:cs="Helvetica" w:eastAsia="Helvetica" w:hAnsi="Helvetica"/>
          <w:i/>
          <w:iCs/>
          <w:color w:val="5A5F6A"/>
          <w:sz w:val="16"/>
          <w:szCs w:val="14"/>
        </w:rPr>
        <w:t xml:space="preserve">Enter requested limits beside any non-standard selection: ______________________________________________</w:t>
      </w:r>
    </w:p>
    <w:p>
      <w:pPr>
        <w:keepNext/>
        <w:pBdr>
          <w:bottom w:val="single" w:color="D5D8DD" w:sz="4"/>
        </w:pBdr>
        <w:spacing w:after="100" w:before="190"/>
      </w:pPr>
      <w:r>
        <w:rPr>
          <w:rFonts w:ascii="Helvetica" w:cs="Helvetica" w:eastAsia="Helvetica" w:hAnsi="Helvetica"/>
          <w:b/>
          <w:bCs/>
          <w:color w:val="1A1D24"/>
          <w:sz w:val="23"/>
          <w:szCs w:val="19"/>
        </w:rPr>
        <w:t xml:space="preserve">10.  Required Attachments</w:t>
      </w:r>
    </w:p>
    <w:p>
      <w:pPr>
        <w:spacing w:after="60" w:before="70"/>
      </w:pPr>
      <w:r>
        <w:rPr>
          <w:rFonts w:ascii="Helvetica" w:cs="Helvetica" w:eastAsia="Helvetica" w:hAnsi="Helvetica"/>
          <w:b/>
          <w:bCs/>
          <w:color w:val="5A5F6A"/>
          <w:sz w:val="16"/>
          <w:szCs w:val="13"/>
        </w:rPr>
        <w:t xml:space="preserve">INCLUDED WITH THIS SUBMISSION</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Signed &amp; dated application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12+ photos incl. odometer &amp; VIN plate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Current appraisal (agreed value)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5-year carrier loss runs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MVR consent for all drivers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Registration &amp; driver licenses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Proof of garaging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Diligent-effort declinations (FL surplus lines)</w:t>
      </w:r>
    </w:p>
    <w:p>
      <w:pPr>
        <w:keepNext/>
        <w:pBdr>
          <w:bottom w:val="single" w:color="D5D8DD" w:sz="4"/>
        </w:pBdr>
        <w:spacing w:after="100" w:before="190"/>
      </w:pPr>
      <w:r>
        <w:rPr>
          <w:rFonts w:ascii="Helvetica" w:cs="Helvetica" w:eastAsia="Helvetica" w:hAnsi="Helvetica"/>
          <w:b/>
          <w:bCs/>
          <w:color w:val="1A1D24"/>
          <w:sz w:val="23"/>
          <w:szCs w:val="19"/>
        </w:rPr>
        <w:t xml:space="preserve">11.  Declarations &amp; Signature</w:t>
      </w:r>
    </w:p>
    <w:p>
      <w:pPr>
        <w:spacing w:after="140" w:before="0" w:line="230"/>
      </w:pPr>
      <w:r>
        <w:rPr>
          <w:rFonts w:ascii="Helvetica" w:cs="Helvetica" w:eastAsia="Helvetica" w:hAnsi="Helvetica"/>
          <w:b w:val="false"/>
          <w:bCs w:val="false"/>
          <w:i w:val="false"/>
          <w:iCs w:val="false"/>
          <w:color w:val="1A1D24"/>
          <w:sz w:val="20"/>
          <w:szCs w:val="15"/>
        </w:rPr>
        <w:t xml:space="preserve">The undersigned declares that the statements in this submission are true and complete to the best of their knowledge and belief, and agrees that this form and its attachments form the basis of any insurance bound. Any person who knowingly and with intent to injure, defraud, or deceive any insurer files a statement of claim or an application containing any false, incomplete, or misleading information is guilty of a felony of the third degree (Fla. Stat. § 817.234). Coverage is not bound until confirmed in writing by Torque Underwriters within its binding authority.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3600"/>
        <w:gridCol w:w="1600"/>
        <w:gridCol w:w="3600"/>
        <w:gridCol w:w="1740"/>
      </w:tblGrid>
      <w:tr>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Applicant / Insured signature</w:t>
            </w:r>
          </w:p>
        </w:tc>
        <w:tc>
          <w:tcPr>
            <w:tcW w:type="dxa" w:w="1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Date</w:t>
            </w:r>
          </w:p>
        </w:tc>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Producing broker signature</w:t>
            </w:r>
          </w:p>
        </w:tc>
        <w:tc>
          <w:tcPr>
            <w:tcW w:type="dxa" w:w="1740"/>
            <w:tcBorders>
              <w:top w:val="single" w:color="5A5F6A" w:sz="6"/>
              <w:left w:val="none" w:color="FFFFFF" w:sz="0"/>
              <w:bottom w:val="none" w:color="FFFFFF" w:sz="0"/>
              <w:right w:val="none" w:color="FFFFFF" w:sz="0"/>
            </w:tcBorders>
            <w:tcMar>
              <w:top w:type="dxa" w:w="40"/>
            </w:tcMar>
          </w:tcPr>
          <w:p>
            <w:pPr>
              <w:spacing w:after="40"/>
            </w:pPr>
            <w:r>
              <w:rPr>
                <w:rFonts w:ascii="Helvetica" w:cs="Helvetica" w:eastAsia="Helvetica" w:hAnsi="Helvetica"/>
                <w:color w:val="5A5F6A"/>
                <w:sz w:val="16"/>
                <w:szCs w:val="14"/>
              </w:rPr>
              <w:t xml:space="preserve">Date</w:t>
            </w:r>
          </w:p>
        </w:tc>
      </w:tr>
    </w:tbl>
    <w:p>
      <w:pPr>
        <w:spacing w:after="80" w:before="120" w:line="205"/>
      </w:pPr>
      <w:r>
        <w:rPr>
          <w:rFonts w:ascii="Helvetica" w:cs="Helvetica" w:eastAsia="Helvetica" w:hAnsi="Helvetica"/>
          <w:i w:val="false"/>
          <w:iCs w:val="false"/>
          <w:color w:val="5A5F6A"/>
          <w:sz w:val="16"/>
          <w:szCs w:val="14"/>
        </w:rPr>
        <w:t xml:space="preserve">Submit to submissions@torqueuw.example. Register mapping: Sections 2-9 key to Portfolio Register columns A-AQ (risk inputs); the office-use block keys to the submission log (ref, month, disposition, indicative premium, GWP, decline/referral reason).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Helvetica" w:cs="Helvetica" w:eastAsia="Helvetica" w:hAnsi="Helvetica"/>
        <w:color w:val="5A5F6A"/>
        <w:sz w:val="12"/>
        <w:szCs w:val="12"/>
      </w:rPr>
      <w:t xml:space="preserve">Torque Underwriters LLC  |  801 Brickell Key Drive, Suite 1400, Miami, FL 33131  |  (305) 555-0180  |  submissions@torqueuw.example  |  Form TQ-SUB-001 (08/26)</w:t>
    </w:r>
  </w:p>
  <w:p>
    <w:pPr>
      <w:spacing w:after="0" w:before="10"/>
      <w:jc w:val="right"/>
    </w:pPr>
    <w:r>
      <w:rPr>
        <w:rFonts w:ascii="Helvetica" w:cs="Helvetica" w:eastAsia="Helvetica" w:hAnsi="Helvetica"/>
        <w:color w:val="5A5F6A"/>
        <w:sz w:val="12"/>
        <w:szCs w:val="12"/>
      </w:rPr>
      <w:t xml:space="preserve">Page </w:t>
    </w:r>
    <w:r>
      <w:rPr>
        <w:rFonts w:ascii="Helvetica" w:cs="Helvetica" w:eastAsia="Helvetica" w:hAnsi="Helvetica"/>
        <w:color w:val="5A5F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Borders>
            <w:top w:val="none" w:color="FFFFFF" w:sz="0"/>
            <w:left w:val="none" w:color="FFFFFF" w:sz="0"/>
            <w:bottom w:val="none" w:color="FFFFFF" w:sz="0"/>
            <w:right w:val="none" w:color="FFFFFF" w:sz="0"/>
          </w:tcBorders>
          <w:shd w:fill="B2202A" w:color="auto" w:val="clear"/>
          <w:tcMar>
            <w:top w:type="dxa" w:w="40"/>
            <w:left w:type="dxa" w:w="100"/>
            <w:bottom w:type="dxa" w:w="40"/>
          </w:tcMar>
        </w:tcPr>
        <w:p>
          <w:pPr>
            <w:spacing w:after="0"/>
          </w:pPr>
          <w:r>
            <w:rPr>
              <w:rFonts w:ascii="Helvetica" w:cs="Helvetica" w:eastAsia="Helvetica" w:hAnsi="Helvetica"/>
              <w:b/>
              <w:bCs/>
              <w:color w:val="FFFFFF"/>
              <w:sz w:val="15"/>
              <w:szCs w:val="15"/>
            </w:rPr>
            <w:t xml:space="preserve">TORQUE UNDERWRITERS</w:t>
          </w:r>
        </w:p>
      </w:tc>
      <w:tc>
        <w:tcPr>
          <w:tcW w:type="dxa" w:w="4240"/>
          <w:tcBorders>
            <w:top w:val="none" w:color="FFFFFF" w:sz="0"/>
            <w:left w:val="none" w:color="FFFFFF" w:sz="0"/>
            <w:bottom w:val="none" w:color="FFFFFF" w:sz="0"/>
            <w:right w:val="none" w:color="FFFFFF" w:sz="0"/>
          </w:tcBorders>
          <w:shd w:fill="B2202A" w:color="auto" w:val="clear"/>
          <w:tcMar>
            <w:top w:type="dxa" w:w="40"/>
            <w:bottom w:type="dxa" w:w="40"/>
            <w:right w:type="dxa" w:w="100"/>
          </w:tcMar>
        </w:tcPr>
        <w:p>
          <w:pPr>
            <w:spacing w:after="0"/>
            <w:jc w:val="right"/>
          </w:pPr>
          <w:r>
            <w:rPr>
              <w:rFonts w:ascii="Helvetica" w:cs="Helvetica" w:eastAsia="Helvetica" w:hAnsi="Helvetica"/>
              <w:b/>
              <w:bCs/>
              <w:color w:val="FFFFFF"/>
              <w:sz w:val="15"/>
              <w:szCs w:val="15"/>
            </w:rPr>
            <w:t xml:space="preserve">SUBMISSION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Underwriters — Submission Form (TQ-SUB-001)</dc:title>
  <dc:creator>Torque Underwriters</dc:creator>
  <cp:lastModifiedBy>Un-named</cp:lastModifiedBy>
  <cp:revision>1</cp:revision>
  <dcterms:created xsi:type="dcterms:W3CDTF">2026-08-30T01:07:28.024Z</dcterms:created>
  <dcterms:modified xsi:type="dcterms:W3CDTF">2026-08-30T01:07:28.036Z</dcterms:modified>
</cp:coreProperties>
</file>

<file path=docProps/custom.xml><?xml version="1.0" encoding="utf-8"?>
<Properties xmlns="http://schemas.openxmlformats.org/officeDocument/2006/custom-properties" xmlns:vt="http://schemas.openxmlformats.org/officeDocument/2006/docPropsVTypes"/>
</file>