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8D105" w14:textId="77777777" w:rsidR="0005184A" w:rsidRDefault="00000000">
      <w:pPr>
        <w:pStyle w:val="Ttulo1"/>
        <w:spacing w:before="480" w:after="120"/>
      </w:pPr>
      <w:bookmarkStart w:id="0" w:name="_Toc_Minuta_Contrato_de_licena_de_uso_1"/>
      <w:r>
        <w:t>Minuta — Contrato de licença de uso SaaS GestorGranja</w:t>
      </w:r>
      <w:bookmarkEnd w:id="0"/>
    </w:p>
    <w:p w14:paraId="75BAE9E9" w14:textId="77777777" w:rsidR="0005184A" w:rsidRDefault="0005184A">
      <w:pPr>
        <w:pBdr>
          <w:bottom w:val="single" w:sz="6" w:space="1" w:color="A6A6A6"/>
        </w:pBdr>
        <w:spacing w:before="120" w:after="120"/>
      </w:pPr>
    </w:p>
    <w:p w14:paraId="1EAC935F" w14:textId="77777777" w:rsidR="0005184A" w:rsidRDefault="00000000">
      <w:pPr>
        <w:pStyle w:val="Ttulo2"/>
        <w:spacing w:before="240" w:after="120"/>
      </w:pPr>
      <w:bookmarkStart w:id="1" w:name="_Toc_CONTRATO_DE_LICENA_DE_USO_DE_SOF_2"/>
      <w:r>
        <w:t>CONTRATO DE LICENÇA DE USO DE SOFTWARE COMO SERVIÇO (SaaS)</w:t>
      </w:r>
      <w:bookmarkEnd w:id="1"/>
    </w:p>
    <w:p w14:paraId="5D9E6393" w14:textId="584FABA2" w:rsidR="0005184A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CONTRATADA:</w:t>
      </w:r>
      <w:r>
        <w:rPr>
          <w:color w:val="000000"/>
          <w:sz w:val="24"/>
          <w:szCs w:val="24"/>
        </w:rPr>
        <w:t xml:space="preserve"> </w:t>
      </w:r>
      <w:r w:rsidR="00D411CD">
        <w:rPr>
          <w:color w:val="000000"/>
          <w:sz w:val="24"/>
          <w:szCs w:val="24"/>
        </w:rPr>
        <w:t>J D NUNES</w:t>
      </w:r>
      <w:r>
        <w:rPr>
          <w:color w:val="000000"/>
          <w:sz w:val="24"/>
          <w:szCs w:val="24"/>
        </w:rPr>
        <w:t xml:space="preserve">, </w:t>
      </w:r>
      <w:r w:rsidR="00D411CD">
        <w:rPr>
          <w:color w:val="000000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NPJ </w:t>
      </w:r>
      <w:r w:rsidR="00D411CD">
        <w:rPr>
          <w:color w:val="000000"/>
          <w:sz w:val="24"/>
          <w:szCs w:val="24"/>
        </w:rPr>
        <w:t>39.302.075/0001-62</w:t>
      </w:r>
      <w:r>
        <w:rPr>
          <w:color w:val="000000"/>
          <w:sz w:val="24"/>
          <w:szCs w:val="24"/>
        </w:rPr>
        <w:t xml:space="preserve">, endereço </w:t>
      </w:r>
      <w:r w:rsidR="00D411CD">
        <w:rPr>
          <w:color w:val="000000"/>
          <w:sz w:val="24"/>
          <w:szCs w:val="24"/>
        </w:rPr>
        <w:t>TV Saquarema, 30, Coroado, Manaus – Amazonas</w:t>
      </w:r>
      <w:r>
        <w:rPr>
          <w:color w:val="000000"/>
          <w:sz w:val="24"/>
          <w:szCs w:val="24"/>
        </w:rPr>
        <w:t xml:space="preserve">, doravante </w:t>
      </w:r>
      <w:r>
        <w:rPr>
          <w:b/>
          <w:bCs/>
          <w:color w:val="000000"/>
          <w:sz w:val="24"/>
          <w:szCs w:val="24"/>
        </w:rPr>
        <w:t>FORNECEDORA</w:t>
      </w:r>
      <w:r>
        <w:rPr>
          <w:color w:val="000000"/>
          <w:sz w:val="24"/>
          <w:szCs w:val="24"/>
        </w:rPr>
        <w:t>.</w:t>
      </w:r>
    </w:p>
    <w:p w14:paraId="205EE3DC" w14:textId="240E4DA1" w:rsidR="0005184A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CONTRATANTE:</w:t>
      </w:r>
      <w:r>
        <w:rPr>
          <w:color w:val="000000"/>
          <w:sz w:val="24"/>
          <w:szCs w:val="24"/>
        </w:rPr>
        <w:t xml:space="preserve"> </w:t>
      </w:r>
      <w:r w:rsidR="00D411CD">
        <w:rPr>
          <w:color w:val="000000"/>
          <w:sz w:val="24"/>
          <w:szCs w:val="24"/>
        </w:rPr>
        <w:t>GRANJA AURORA LTDA</w:t>
      </w:r>
      <w:r>
        <w:rPr>
          <w:color w:val="000000"/>
          <w:sz w:val="24"/>
          <w:szCs w:val="24"/>
        </w:rPr>
        <w:t xml:space="preserve">, CNPJ </w:t>
      </w:r>
      <w:r w:rsidR="00D411CD">
        <w:rPr>
          <w:color w:val="000000"/>
          <w:sz w:val="24"/>
          <w:szCs w:val="24"/>
        </w:rPr>
        <w:t>53.848.534/0001-39</w:t>
      </w:r>
      <w:r>
        <w:rPr>
          <w:color w:val="000000"/>
          <w:sz w:val="24"/>
          <w:szCs w:val="24"/>
        </w:rPr>
        <w:t xml:space="preserve">, endereço </w:t>
      </w:r>
      <w:r w:rsidR="00D411CD">
        <w:rPr>
          <w:color w:val="000000"/>
          <w:sz w:val="24"/>
          <w:szCs w:val="24"/>
        </w:rPr>
        <w:t>A Rodovia Manoel Urbano KM 77, Manacapuru - AM</w:t>
      </w:r>
      <w:r>
        <w:rPr>
          <w:color w:val="000000"/>
          <w:sz w:val="24"/>
          <w:szCs w:val="24"/>
        </w:rPr>
        <w:t xml:space="preserve">, doravante </w:t>
      </w:r>
      <w:r>
        <w:rPr>
          <w:b/>
          <w:bCs/>
          <w:color w:val="000000"/>
          <w:sz w:val="24"/>
          <w:szCs w:val="24"/>
        </w:rPr>
        <w:t>CLIENTE</w:t>
      </w:r>
      <w:r>
        <w:rPr>
          <w:color w:val="000000"/>
          <w:sz w:val="24"/>
          <w:szCs w:val="24"/>
        </w:rPr>
        <w:t>.</w:t>
      </w:r>
    </w:p>
    <w:p w14:paraId="73582026" w14:textId="77777777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As partes celebram o presente contrato, regido pelas cláusulas abaixo.</w:t>
      </w:r>
    </w:p>
    <w:p w14:paraId="16D6389C" w14:textId="77777777" w:rsidR="0005184A" w:rsidRDefault="00000000">
      <w:pPr>
        <w:pStyle w:val="Ttulo3"/>
        <w:spacing w:before="240"/>
      </w:pPr>
      <w:bookmarkStart w:id="2" w:name="_Toc_CLUSULA_1_Objeto_3"/>
      <w:r>
        <w:t>CLÁUSULA 1 — Objeto</w:t>
      </w:r>
      <w:bookmarkEnd w:id="2"/>
    </w:p>
    <w:p w14:paraId="3346743E" w14:textId="77777777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1.1. Licença de uso não exclusiva, intransferível e não sublicenciável do sistema </w:t>
      </w:r>
      <w:r>
        <w:rPr>
          <w:b/>
          <w:bCs/>
          <w:color w:val="000000"/>
          <w:sz w:val="24"/>
          <w:szCs w:val="24"/>
        </w:rPr>
        <w:t>GestorGranja</w:t>
      </w:r>
      <w:r>
        <w:rPr>
          <w:color w:val="000000"/>
          <w:sz w:val="24"/>
          <w:szCs w:val="24"/>
        </w:rPr>
        <w:t xml:space="preserve"> (painel web, API e PWA de campo), em modalidade </w:t>
      </w:r>
      <w:r>
        <w:rPr>
          <w:b/>
          <w:bCs/>
          <w:color w:val="000000"/>
          <w:sz w:val="24"/>
          <w:szCs w:val="24"/>
        </w:rPr>
        <w:t>SaaS multi-tenant</w:t>
      </w:r>
      <w:r>
        <w:rPr>
          <w:color w:val="000000"/>
          <w:sz w:val="24"/>
          <w:szCs w:val="24"/>
        </w:rPr>
        <w:t>, incluindo hospedagem e backups conforme SLA descrito no Anexo I.</w:t>
      </w:r>
    </w:p>
    <w:p w14:paraId="30E63183" w14:textId="60E12903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1.2. Pacote contratado: </w:t>
      </w:r>
      <w:r w:rsidR="007E4057">
        <w:rPr>
          <w:b/>
          <w:bCs/>
          <w:color w:val="000000"/>
          <w:sz w:val="24"/>
          <w:szCs w:val="24"/>
        </w:rPr>
        <w:t>Sistema Completo</w:t>
      </w:r>
    </w:p>
    <w:p w14:paraId="2A8EDE3E" w14:textId="77777777" w:rsidR="0005184A" w:rsidRDefault="00000000">
      <w:pPr>
        <w:pStyle w:val="Ttulo3"/>
        <w:spacing w:before="240"/>
      </w:pPr>
      <w:bookmarkStart w:id="3" w:name="_Toc_CLUSULA_2_Valores_e_forma_de_pag_4"/>
      <w:r>
        <w:t>CLÁUSULA 2 — Valores e forma de pagamento</w:t>
      </w:r>
      <w:bookmarkEnd w:id="3"/>
    </w:p>
    <w:p w14:paraId="45F0BF93" w14:textId="3155356E" w:rsidR="0005184A" w:rsidRDefault="00000000">
      <w:pPr>
        <w:spacing w:before="240" w:after="24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2.1. </w:t>
      </w:r>
      <w:r>
        <w:rPr>
          <w:b/>
          <w:bCs/>
          <w:color w:val="000000"/>
          <w:sz w:val="24"/>
          <w:szCs w:val="24"/>
        </w:rPr>
        <w:t>Taxa de entrada (setup/onboarding):</w:t>
      </w:r>
      <w:r>
        <w:rPr>
          <w:color w:val="000000"/>
          <w:sz w:val="24"/>
          <w:szCs w:val="24"/>
        </w:rPr>
        <w:t xml:space="preserve"> R$</w:t>
      </w:r>
      <w:r w:rsidR="007E4057">
        <w:rPr>
          <w:color w:val="000000"/>
          <w:sz w:val="24"/>
          <w:szCs w:val="24"/>
        </w:rPr>
        <w:t xml:space="preserve"> 1.500,00</w:t>
      </w:r>
      <w:r>
        <w:rPr>
          <w:color w:val="000000"/>
          <w:sz w:val="24"/>
          <w:szCs w:val="24"/>
        </w:rPr>
        <w:t xml:space="preserve"> paga na assinatura, via </w:t>
      </w:r>
      <w:r>
        <w:rPr>
          <w:b/>
          <w:bCs/>
          <w:color w:val="000000"/>
          <w:sz w:val="24"/>
          <w:szCs w:val="24"/>
        </w:rPr>
        <w:t>PIX / boleto / transferência</w:t>
      </w:r>
      <w:r>
        <w:rPr>
          <w:color w:val="000000"/>
          <w:sz w:val="24"/>
          <w:szCs w:val="24"/>
        </w:rPr>
        <w:t>.</w:t>
      </w:r>
    </w:p>
    <w:p w14:paraId="540D6397" w14:textId="06281375" w:rsidR="007E4057" w:rsidRPr="007E4057" w:rsidRDefault="007E4057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2.2 Restante da taxa de entrada: R$ </w:t>
      </w:r>
      <w:r w:rsidR="0074798A">
        <w:rPr>
          <w:color w:val="000000"/>
          <w:sz w:val="24"/>
          <w:szCs w:val="24"/>
        </w:rPr>
        <w:t>1.500</w:t>
      </w:r>
      <w:r>
        <w:rPr>
          <w:color w:val="000000"/>
          <w:sz w:val="24"/>
          <w:szCs w:val="24"/>
        </w:rPr>
        <w:t>,00</w:t>
      </w:r>
      <w:r w:rsidR="009C735F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via </w:t>
      </w:r>
      <w:r>
        <w:rPr>
          <w:b/>
          <w:bCs/>
          <w:color w:val="000000"/>
          <w:sz w:val="24"/>
          <w:szCs w:val="24"/>
        </w:rPr>
        <w:t>PIX / boleto /</w:t>
      </w:r>
      <w:r w:rsidRPr="007E4057">
        <w:rPr>
          <w:b/>
          <w:bCs/>
          <w:color w:val="000000"/>
          <w:sz w:val="24"/>
          <w:szCs w:val="24"/>
        </w:rPr>
        <w:t xml:space="preserve"> transferência</w:t>
      </w:r>
      <w:r w:rsidRPr="007E4057">
        <w:rPr>
          <w:color w:val="000000"/>
          <w:sz w:val="24"/>
          <w:szCs w:val="24"/>
        </w:rPr>
        <w:t xml:space="preserve"> </w:t>
      </w:r>
      <w:r w:rsidR="009C735F">
        <w:rPr>
          <w:color w:val="000000"/>
          <w:sz w:val="24"/>
          <w:szCs w:val="24"/>
        </w:rPr>
        <w:t xml:space="preserve">paga </w:t>
      </w:r>
      <w:r w:rsidR="00462F90">
        <w:rPr>
          <w:color w:val="000000"/>
          <w:sz w:val="24"/>
          <w:szCs w:val="24"/>
        </w:rPr>
        <w:t>pós checagem da primeira fase 15 dias após start</w:t>
      </w:r>
      <w:r w:rsidR="0074798A">
        <w:rPr>
          <w:color w:val="000000"/>
          <w:sz w:val="24"/>
          <w:szCs w:val="24"/>
        </w:rPr>
        <w:t xml:space="preserve"> com prorrogação de mais 15 dias caso haja falha na alterações</w:t>
      </w:r>
      <w:r w:rsidR="00462F90">
        <w:rPr>
          <w:color w:val="000000"/>
          <w:sz w:val="24"/>
          <w:szCs w:val="24"/>
        </w:rPr>
        <w:t>.</w:t>
      </w:r>
    </w:p>
    <w:p w14:paraId="3FF23615" w14:textId="26E4994A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2.</w:t>
      </w:r>
      <w:r w:rsidR="007E4057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 xml:space="preserve">. </w:t>
      </w:r>
      <w:r>
        <w:rPr>
          <w:b/>
          <w:bCs/>
          <w:color w:val="000000"/>
          <w:sz w:val="24"/>
          <w:szCs w:val="24"/>
        </w:rPr>
        <w:t>Mensalidade fixa:</w:t>
      </w:r>
      <w:r>
        <w:rPr>
          <w:color w:val="000000"/>
          <w:sz w:val="24"/>
          <w:szCs w:val="24"/>
        </w:rPr>
        <w:t xml:space="preserve"> R$ </w:t>
      </w:r>
      <w:r w:rsidR="007E4057">
        <w:rPr>
          <w:b/>
          <w:bCs/>
          <w:color w:val="000000"/>
          <w:sz w:val="24"/>
          <w:szCs w:val="24"/>
        </w:rPr>
        <w:t>250</w:t>
      </w:r>
      <w:r>
        <w:rPr>
          <w:b/>
          <w:bCs/>
          <w:color w:val="000000"/>
          <w:sz w:val="24"/>
          <w:szCs w:val="24"/>
        </w:rPr>
        <w:t>,00</w:t>
      </w:r>
      <w:r>
        <w:rPr>
          <w:color w:val="000000"/>
          <w:sz w:val="24"/>
          <w:szCs w:val="24"/>
        </w:rPr>
        <w:t xml:space="preserve">, vencimento todo dia </w:t>
      </w:r>
      <w:r w:rsidR="0074798A">
        <w:rPr>
          <w:b/>
          <w:bCs/>
          <w:color w:val="000000"/>
          <w:sz w:val="24"/>
          <w:szCs w:val="24"/>
        </w:rPr>
        <w:t>10</w:t>
      </w:r>
      <w:r>
        <w:rPr>
          <w:color w:val="000000"/>
          <w:sz w:val="24"/>
          <w:szCs w:val="24"/>
        </w:rPr>
        <w:t xml:space="preserve"> de cada mês.</w:t>
      </w:r>
    </w:p>
    <w:p w14:paraId="1DB3BA38" w14:textId="77777777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2.4. A entrada é </w:t>
      </w:r>
      <w:r>
        <w:rPr>
          <w:b/>
          <w:bCs/>
          <w:color w:val="000000"/>
          <w:sz w:val="24"/>
          <w:szCs w:val="24"/>
        </w:rPr>
        <w:t>não reembolsável</w:t>
      </w:r>
      <w:r>
        <w:rPr>
          <w:color w:val="000000"/>
          <w:sz w:val="24"/>
          <w:szCs w:val="24"/>
        </w:rPr>
        <w:t xml:space="preserve"> após início do onboarding (criação do tenant e sessão de configuração).</w:t>
      </w:r>
    </w:p>
    <w:p w14:paraId="12FBCA7E" w14:textId="6B805186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2.5. Serviços fora do escopo </w:t>
      </w:r>
      <w:r w:rsidR="007E4057">
        <w:rPr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</w:rPr>
        <w:t>integração contábil, migração histórica superior a 12 meses, customizações) serão orçados à parte.</w:t>
      </w:r>
    </w:p>
    <w:p w14:paraId="6093F693" w14:textId="77777777" w:rsidR="0005184A" w:rsidRDefault="00000000">
      <w:pPr>
        <w:pStyle w:val="Ttulo3"/>
        <w:spacing w:before="240"/>
      </w:pPr>
      <w:bookmarkStart w:id="4" w:name="_Toc_CLUSULA_3_Vigncia_e_fidelidade_5"/>
      <w:r>
        <w:t>CLÁUSULA 3 — Vigência e fidelidade</w:t>
      </w:r>
      <w:bookmarkEnd w:id="4"/>
    </w:p>
    <w:p w14:paraId="27674516" w14:textId="7620DC28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3.1. Vigência mínima de </w:t>
      </w:r>
      <w:r>
        <w:rPr>
          <w:b/>
          <w:bCs/>
          <w:color w:val="000000"/>
          <w:sz w:val="24"/>
          <w:szCs w:val="24"/>
        </w:rPr>
        <w:t>12</w:t>
      </w:r>
      <w:r>
        <w:rPr>
          <w:color w:val="000000"/>
          <w:sz w:val="24"/>
          <w:szCs w:val="24"/>
        </w:rPr>
        <w:t xml:space="preserve"> meses contados da </w:t>
      </w:r>
      <w:r>
        <w:rPr>
          <w:b/>
          <w:bCs/>
          <w:color w:val="000000"/>
          <w:sz w:val="24"/>
          <w:szCs w:val="24"/>
        </w:rPr>
        <w:t>data de ativação</w:t>
      </w:r>
      <w:r>
        <w:rPr>
          <w:color w:val="000000"/>
          <w:sz w:val="24"/>
          <w:szCs w:val="24"/>
        </w:rPr>
        <w:t xml:space="preserve"> da licença (</w:t>
      </w:r>
      <w:r w:rsidR="00BC6A14">
        <w:rPr>
          <w:rFonts w:ascii="Courier New" w:eastAsia="Courier New" w:hAnsi="Courier New" w:cs="Courier New"/>
          <w:color w:val="444444"/>
          <w:shd w:val="clear" w:color="auto" w:fill="F5F5F5"/>
        </w:rPr>
        <w:t>2</w:t>
      </w:r>
      <w:r w:rsidR="00B77F11">
        <w:rPr>
          <w:rFonts w:ascii="Courier New" w:eastAsia="Courier New" w:hAnsi="Courier New" w:cs="Courier New"/>
          <w:color w:val="444444"/>
          <w:shd w:val="clear" w:color="auto" w:fill="F5F5F5"/>
        </w:rPr>
        <w:t>2</w:t>
      </w:r>
      <w:r w:rsidR="007E4057"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r w:rsidR="00BC6A14">
        <w:rPr>
          <w:rFonts w:ascii="Courier New" w:eastAsia="Courier New" w:hAnsi="Courier New" w:cs="Courier New"/>
          <w:color w:val="444444"/>
          <w:shd w:val="clear" w:color="auto" w:fill="F5F5F5"/>
        </w:rPr>
        <w:t>09</w:t>
      </w:r>
      <w:r w:rsidR="007E4057"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r w:rsidR="00BC6A14">
        <w:rPr>
          <w:rFonts w:ascii="Courier New" w:eastAsia="Courier New" w:hAnsi="Courier New" w:cs="Courier New"/>
          <w:color w:val="444444"/>
          <w:shd w:val="clear" w:color="auto" w:fill="F5F5F5"/>
        </w:rPr>
        <w:t>2026</w:t>
      </w:r>
      <w:r>
        <w:rPr>
          <w:color w:val="000000"/>
          <w:sz w:val="24"/>
          <w:szCs w:val="24"/>
        </w:rPr>
        <w:t>).</w:t>
      </w:r>
    </w:p>
    <w:p w14:paraId="3FD2351C" w14:textId="75EB6640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3.2. Rescisão antecipada pelo CLIENTE: multa equivalente ao </w:t>
      </w:r>
      <w:r>
        <w:rPr>
          <w:b/>
          <w:bCs/>
          <w:color w:val="000000"/>
          <w:sz w:val="24"/>
          <w:szCs w:val="24"/>
        </w:rPr>
        <w:t>saldo residual</w:t>
      </w:r>
      <w:r>
        <w:rPr>
          <w:color w:val="000000"/>
          <w:sz w:val="24"/>
          <w:szCs w:val="24"/>
        </w:rPr>
        <w:t xml:space="preserve"> das mensalidades do período de fidelidade, ou </w:t>
      </w:r>
      <w:r>
        <w:rPr>
          <w:b/>
          <w:bCs/>
          <w:color w:val="000000"/>
          <w:sz w:val="24"/>
          <w:szCs w:val="24"/>
        </w:rPr>
        <w:t>30%</w:t>
      </w:r>
      <w:r>
        <w:rPr>
          <w:color w:val="000000"/>
          <w:sz w:val="24"/>
          <w:szCs w:val="24"/>
        </w:rPr>
        <w:t xml:space="preserve"> das mensalidades restantes — o que for </w:t>
      </w:r>
      <w:r>
        <w:rPr>
          <w:b/>
          <w:bCs/>
          <w:color w:val="000000"/>
          <w:sz w:val="24"/>
          <w:szCs w:val="24"/>
        </w:rPr>
        <w:t>menor</w:t>
      </w:r>
      <w:r>
        <w:rPr>
          <w:color w:val="000000"/>
          <w:sz w:val="24"/>
          <w:szCs w:val="24"/>
        </w:rPr>
        <w:t>, salvo acordo escrito.</w:t>
      </w:r>
    </w:p>
    <w:p w14:paraId="7E4C3E06" w14:textId="46798957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lastRenderedPageBreak/>
        <w:t xml:space="preserve">3.3. Renovação automática por períodos sucessivos de 12 meses, salvo aviso prévio de </w:t>
      </w:r>
      <w:r>
        <w:rPr>
          <w:b/>
          <w:bCs/>
          <w:color w:val="000000"/>
          <w:sz w:val="24"/>
          <w:szCs w:val="24"/>
        </w:rPr>
        <w:t>30</w:t>
      </w:r>
      <w:r>
        <w:rPr>
          <w:color w:val="000000"/>
          <w:sz w:val="24"/>
          <w:szCs w:val="24"/>
        </w:rPr>
        <w:t xml:space="preserve"> dias antes do término.</w:t>
      </w:r>
    </w:p>
    <w:p w14:paraId="4DF457A0" w14:textId="77777777" w:rsidR="0005184A" w:rsidRDefault="00000000">
      <w:pPr>
        <w:pStyle w:val="Ttulo3"/>
        <w:spacing w:before="240"/>
      </w:pPr>
      <w:bookmarkStart w:id="5" w:name="_Toc_CLUSULA_4_Reajuste_6"/>
      <w:r>
        <w:t>CLÁUSULA 4 — Reajuste</w:t>
      </w:r>
      <w:bookmarkEnd w:id="5"/>
    </w:p>
    <w:p w14:paraId="31D2813F" w14:textId="10561FC6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4.1. Anualmente, na data de aniversário do contrato, a mensalidade poderá ser reajustada pelo </w:t>
      </w:r>
      <w:r>
        <w:rPr>
          <w:b/>
          <w:bCs/>
          <w:color w:val="000000"/>
          <w:sz w:val="24"/>
          <w:szCs w:val="24"/>
        </w:rPr>
        <w:t>IPCA/IBGE</w:t>
      </w:r>
      <w:r>
        <w:rPr>
          <w:color w:val="000000"/>
          <w:sz w:val="24"/>
          <w:szCs w:val="24"/>
        </w:rPr>
        <w:t xml:space="preserve"> acumulado nos últimos 12 meses, ou por </w:t>
      </w:r>
      <w:r>
        <w:rPr>
          <w:b/>
          <w:bCs/>
          <w:color w:val="000000"/>
          <w:sz w:val="24"/>
          <w:szCs w:val="24"/>
        </w:rPr>
        <w:t>6%</w:t>
      </w:r>
      <w:r>
        <w:rPr>
          <w:color w:val="000000"/>
          <w:sz w:val="24"/>
          <w:szCs w:val="24"/>
        </w:rPr>
        <w:t xml:space="preserve"> fixo, </w:t>
      </w:r>
      <w:r>
        <w:rPr>
          <w:b/>
          <w:bCs/>
          <w:color w:val="000000"/>
          <w:sz w:val="24"/>
          <w:szCs w:val="24"/>
        </w:rPr>
        <w:t>o que for menor</w:t>
      </w:r>
      <w:r>
        <w:rPr>
          <w:color w:val="000000"/>
          <w:sz w:val="24"/>
          <w:szCs w:val="24"/>
        </w:rPr>
        <w:t>, salvo negociação expressa.</w:t>
      </w:r>
    </w:p>
    <w:p w14:paraId="73B52BD8" w14:textId="77777777" w:rsidR="0005184A" w:rsidRDefault="00000000">
      <w:pPr>
        <w:pStyle w:val="Ttulo3"/>
        <w:spacing w:before="240"/>
      </w:pPr>
      <w:bookmarkStart w:id="6" w:name="_Toc_CLUSULA_5_Licenciamento_e_suspen_7"/>
      <w:r>
        <w:t>CLÁUSULA 5 — Licenciamento e suspensão por inadimplência</w:t>
      </w:r>
      <w:bookmarkEnd w:id="6"/>
    </w:p>
    <w:p w14:paraId="085FF522" w14:textId="77777777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5.1. A FORNECEDORA controla o acesso mediante status de licença no ambiente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active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suspended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expired</w:t>
      </w:r>
      <w:r>
        <w:rPr>
          <w:color w:val="000000"/>
          <w:sz w:val="24"/>
          <w:szCs w:val="24"/>
        </w:rPr>
        <w:t>).</w:t>
      </w:r>
    </w:p>
    <w:p w14:paraId="644BCFF9" w14:textId="4C392BAB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5.2. Atraso superior a </w:t>
      </w:r>
      <w:r>
        <w:rPr>
          <w:b/>
          <w:bCs/>
          <w:color w:val="000000"/>
          <w:sz w:val="24"/>
          <w:szCs w:val="24"/>
        </w:rPr>
        <w:t>15</w:t>
      </w:r>
      <w:r>
        <w:rPr>
          <w:color w:val="000000"/>
          <w:sz w:val="24"/>
          <w:szCs w:val="24"/>
        </w:rPr>
        <w:t xml:space="preserve"> dias no pagamento da mensalidade autoriza a </w:t>
      </w:r>
      <w:r>
        <w:rPr>
          <w:b/>
          <w:bCs/>
          <w:color w:val="000000"/>
          <w:sz w:val="24"/>
          <w:szCs w:val="24"/>
        </w:rPr>
        <w:t>suspensão</w:t>
      </w:r>
      <w:r>
        <w:rPr>
          <w:color w:val="000000"/>
          <w:sz w:val="24"/>
          <w:szCs w:val="24"/>
        </w:rPr>
        <w:t xml:space="preserve"> do acesso até a regularização, sem prejuízo da cobrança dos valores devidos.</w:t>
      </w:r>
    </w:p>
    <w:p w14:paraId="4B766D41" w14:textId="537DE79D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5.3. Após </w:t>
      </w:r>
      <w:r>
        <w:rPr>
          <w:b/>
          <w:bCs/>
          <w:color w:val="000000"/>
          <w:sz w:val="24"/>
          <w:szCs w:val="24"/>
        </w:rPr>
        <w:t>90</w:t>
      </w:r>
      <w:r>
        <w:rPr>
          <w:color w:val="000000"/>
          <w:sz w:val="24"/>
          <w:szCs w:val="24"/>
        </w:rPr>
        <w:t xml:space="preserve"> dias de inadimplência, a licença poderá ser marcada como </w:t>
      </w:r>
      <w:r>
        <w:rPr>
          <w:b/>
          <w:bCs/>
          <w:color w:val="000000"/>
          <w:sz w:val="24"/>
          <w:szCs w:val="24"/>
        </w:rPr>
        <w:t>expirada</w:t>
      </w:r>
      <w:r>
        <w:rPr>
          <w:color w:val="000000"/>
          <w:sz w:val="24"/>
          <w:szCs w:val="24"/>
        </w:rPr>
        <w:t xml:space="preserve"> e os dados tratados conforme Cláusula 8.</w:t>
      </w:r>
    </w:p>
    <w:p w14:paraId="194A42BD" w14:textId="376109AE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5.4. Durante suspensão, o CLIENTE não poderá exportar dados pela interface, salvo solicitação formal por e-mail (exportação em até </w:t>
      </w:r>
      <w:r>
        <w:rPr>
          <w:b/>
          <w:bCs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 dias úteis após quitação ou encerramento).</w:t>
      </w:r>
    </w:p>
    <w:p w14:paraId="50EF0442" w14:textId="77777777" w:rsidR="0005184A" w:rsidRDefault="00000000">
      <w:pPr>
        <w:pStyle w:val="Ttulo3"/>
        <w:spacing w:before="240"/>
      </w:pPr>
      <w:bookmarkStart w:id="7" w:name="_Toc_CLUSULA_6_Suporte_8"/>
      <w:r>
        <w:t>CLÁUSULA 6 — Suporte</w:t>
      </w:r>
      <w:bookmarkEnd w:id="7"/>
    </w:p>
    <w:p w14:paraId="7C832945" w14:textId="501CE764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6.1. Canal: </w:t>
      </w:r>
      <w:r>
        <w:rPr>
          <w:b/>
          <w:bCs/>
          <w:color w:val="000000"/>
          <w:sz w:val="24"/>
          <w:szCs w:val="24"/>
        </w:rPr>
        <w:t xml:space="preserve">WhatsApp </w:t>
      </w:r>
      <w:r w:rsidR="007E4057">
        <w:rPr>
          <w:b/>
          <w:bCs/>
          <w:color w:val="000000"/>
          <w:sz w:val="24"/>
          <w:szCs w:val="24"/>
        </w:rPr>
        <w:t>92981957114</w:t>
      </w:r>
      <w:r>
        <w:rPr>
          <w:b/>
          <w:bCs/>
          <w:color w:val="000000"/>
          <w:sz w:val="24"/>
          <w:szCs w:val="24"/>
        </w:rPr>
        <w:t xml:space="preserve"> / e-mail </w:t>
      </w:r>
      <w:r w:rsidR="007E4057">
        <w:rPr>
          <w:b/>
          <w:bCs/>
          <w:color w:val="000000"/>
          <w:sz w:val="24"/>
          <w:szCs w:val="24"/>
        </w:rPr>
        <w:t>nlogicnunes</w:t>
      </w:r>
      <w:r>
        <w:rPr>
          <w:b/>
          <w:bCs/>
          <w:color w:val="000000"/>
          <w:sz w:val="24"/>
          <w:szCs w:val="24"/>
        </w:rPr>
        <w:t>@</w:t>
      </w:r>
      <w:r w:rsidR="007E4057">
        <w:rPr>
          <w:b/>
          <w:bCs/>
          <w:color w:val="000000"/>
          <w:sz w:val="24"/>
          <w:szCs w:val="24"/>
        </w:rPr>
        <w:t>gmail.com</w:t>
      </w:r>
      <w:r>
        <w:rPr>
          <w:color w:val="000000"/>
          <w:sz w:val="24"/>
          <w:szCs w:val="24"/>
        </w:rPr>
        <w:t xml:space="preserve"> em dias úteis, </w:t>
      </w:r>
      <w:r>
        <w:rPr>
          <w:b/>
          <w:bCs/>
          <w:color w:val="000000"/>
          <w:sz w:val="24"/>
          <w:szCs w:val="24"/>
        </w:rPr>
        <w:t>9h–18h</w:t>
      </w:r>
      <w:r>
        <w:rPr>
          <w:color w:val="000000"/>
          <w:sz w:val="24"/>
          <w:szCs w:val="24"/>
        </w:rPr>
        <w:t>.</w:t>
      </w:r>
    </w:p>
    <w:p w14:paraId="1931CF70" w14:textId="77777777" w:rsidR="0005184A" w:rsidRDefault="00000000">
      <w:pPr>
        <w:pStyle w:val="Ttulo3"/>
        <w:spacing w:before="240"/>
      </w:pPr>
      <w:bookmarkStart w:id="8" w:name="_Toc_CLUSULA_7_Obrigaes_do_CLIENTE_9"/>
      <w:r>
        <w:t>CLÁUSULA 7 — Obrigações do CLIENTE</w:t>
      </w:r>
      <w:bookmarkEnd w:id="8"/>
    </w:p>
    <w:p w14:paraId="26EFC592" w14:textId="77777777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7.1. Fornecer dados verídicos, manter confidencialidade de credenciais e utilizar o sistema conforme legislação aplicável (LGPD, trabalhista, fiscal).</w:t>
      </w:r>
    </w:p>
    <w:p w14:paraId="577B2943" w14:textId="7014BE4D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7.2. Não realizar engenharia reversa, scraping abusivo</w:t>
      </w:r>
      <w:r w:rsidR="00D411CD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</w:p>
    <w:p w14:paraId="2AEAC429" w14:textId="77777777" w:rsidR="0005184A" w:rsidRDefault="00000000">
      <w:pPr>
        <w:pStyle w:val="Ttulo3"/>
        <w:spacing w:before="240"/>
      </w:pPr>
      <w:bookmarkStart w:id="9" w:name="_Toc_CLUSULA_8_Dados_e_encerramento_10"/>
      <w:r>
        <w:t>CLÁUSULA 8 — Dados e encerramento</w:t>
      </w:r>
      <w:bookmarkEnd w:id="9"/>
    </w:p>
    <w:p w14:paraId="0B74240D" w14:textId="77777777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8.1. Os dados inseridos pelo CLIENTE permanecem de sua titularidade.</w:t>
      </w:r>
    </w:p>
    <w:p w14:paraId="0197C152" w14:textId="2995E545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8.2. Em caso de encerramento, a FORNECEDORA disponibilizará exportação (</w:t>
      </w:r>
      <w:r>
        <w:rPr>
          <w:b/>
          <w:bCs/>
          <w:color w:val="000000"/>
          <w:sz w:val="24"/>
          <w:szCs w:val="24"/>
        </w:rPr>
        <w:t>CSV</w:t>
      </w:r>
      <w:r>
        <w:rPr>
          <w:color w:val="000000"/>
          <w:sz w:val="24"/>
          <w:szCs w:val="24"/>
        </w:rPr>
        <w:t xml:space="preserve"> ou formato acordado) em até </w:t>
      </w:r>
      <w:r>
        <w:rPr>
          <w:b/>
          <w:bCs/>
          <w:color w:val="000000"/>
          <w:sz w:val="24"/>
          <w:szCs w:val="24"/>
        </w:rPr>
        <w:t>30</w:t>
      </w:r>
      <w:r>
        <w:rPr>
          <w:color w:val="000000"/>
          <w:sz w:val="24"/>
          <w:szCs w:val="24"/>
        </w:rPr>
        <w:t xml:space="preserve"> dias após solicitação.</w:t>
      </w:r>
    </w:p>
    <w:p w14:paraId="35E01BEA" w14:textId="0C6D1643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8.3. Retenção em backup: </w:t>
      </w:r>
      <w:r>
        <w:rPr>
          <w:b/>
          <w:bCs/>
          <w:color w:val="000000"/>
          <w:sz w:val="24"/>
          <w:szCs w:val="24"/>
        </w:rPr>
        <w:t>90</w:t>
      </w:r>
      <w:r>
        <w:rPr>
          <w:color w:val="000000"/>
          <w:sz w:val="24"/>
          <w:szCs w:val="24"/>
        </w:rPr>
        <w:t xml:space="preserve"> dias após encerramento, salvo obrigação legal em contrário.</w:t>
      </w:r>
    </w:p>
    <w:p w14:paraId="719BB187" w14:textId="77777777" w:rsidR="0005184A" w:rsidRDefault="00000000">
      <w:pPr>
        <w:pStyle w:val="Ttulo3"/>
        <w:spacing w:before="240"/>
      </w:pPr>
      <w:bookmarkStart w:id="10" w:name="_Toc_CLUSULA_9_Limitao_de_responsabi_11"/>
      <w:r>
        <w:t>CLÁUSULA 9 — Limitação de responsabilidade</w:t>
      </w:r>
      <w:bookmarkEnd w:id="10"/>
    </w:p>
    <w:p w14:paraId="7CF68552" w14:textId="77777777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9.1. O software é ferramenta de gestão; decisões zootécnicas, fiscais e trabalhistas são de responsabilidade do CLIENTE e de seus consultores.</w:t>
      </w:r>
    </w:p>
    <w:p w14:paraId="18658F9B" w14:textId="77777777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lastRenderedPageBreak/>
        <w:t>9.2. Limitação de danos indiretos conforme legislação aplicável; SLA de disponibilidade conforme Anexo I.</w:t>
      </w:r>
    </w:p>
    <w:p w14:paraId="0B42E7AE" w14:textId="77777777" w:rsidR="0005184A" w:rsidRDefault="00000000">
      <w:pPr>
        <w:pStyle w:val="Ttulo3"/>
        <w:spacing w:before="240"/>
      </w:pPr>
      <w:bookmarkStart w:id="11" w:name="_Toc_CLUSULA_10_Foro_12"/>
      <w:r>
        <w:t>CLÁUSULA 10 — Foro</w:t>
      </w:r>
      <w:bookmarkEnd w:id="11"/>
    </w:p>
    <w:p w14:paraId="20BEC4CC" w14:textId="18F9D3E6" w:rsidR="0005184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Foro da comarca de </w:t>
      </w:r>
      <w:r w:rsidR="00D411CD">
        <w:rPr>
          <w:b/>
          <w:bCs/>
          <w:color w:val="000000"/>
          <w:sz w:val="24"/>
          <w:szCs w:val="24"/>
        </w:rPr>
        <w:t>Manacapuru-AM</w:t>
      </w:r>
      <w:r>
        <w:rPr>
          <w:color w:val="000000"/>
          <w:sz w:val="24"/>
          <w:szCs w:val="24"/>
        </w:rPr>
        <w:t>, com renúncia a qualquer outro.</w:t>
      </w:r>
    </w:p>
    <w:p w14:paraId="51907DA1" w14:textId="77777777" w:rsidR="0005184A" w:rsidRDefault="0005184A">
      <w:pPr>
        <w:pBdr>
          <w:bottom w:val="single" w:sz="6" w:space="1" w:color="A6A6A6"/>
        </w:pBdr>
        <w:spacing w:before="120" w:after="120"/>
      </w:pPr>
    </w:p>
    <w:p w14:paraId="2F307A2F" w14:textId="197191A7" w:rsidR="0005184A" w:rsidRDefault="00B77F11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Manacapuru, 22 de setembro de 2026</w:t>
      </w:r>
    </w:p>
    <w:p w14:paraId="71CC17BE" w14:textId="4A1E85CC" w:rsidR="0005184A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FORNECEDORA</w:t>
      </w:r>
      <w:r w:rsidR="00B77F11">
        <w:rPr>
          <w:color w:val="000000"/>
          <w:sz w:val="24"/>
          <w:szCs w:val="24"/>
        </w:rPr>
        <w:t xml:space="preserve">: </w:t>
      </w:r>
      <w:r w:rsidR="00B77F11">
        <w:rPr>
          <w:color w:val="000000"/>
          <w:sz w:val="24"/>
          <w:szCs w:val="24"/>
        </w:rPr>
        <w:t>J D NUNES</w:t>
      </w:r>
      <w:r w:rsidR="00B77F11">
        <w:rPr>
          <w:color w:val="000000"/>
          <w:sz w:val="24"/>
          <w:szCs w:val="24"/>
        </w:rPr>
        <w:t xml:space="preserve"> |</w:t>
      </w:r>
      <w:r w:rsidR="00B77F11">
        <w:rPr>
          <w:color w:val="000000"/>
          <w:sz w:val="24"/>
          <w:szCs w:val="24"/>
        </w:rPr>
        <w:t xml:space="preserve"> CNPJ 39.302.075/0001-62</w:t>
      </w:r>
    </w:p>
    <w:p w14:paraId="3DB7B67B" w14:textId="734B8F74" w:rsidR="0005184A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CLIENTE</w:t>
      </w:r>
      <w:r w:rsidR="00B77F11">
        <w:rPr>
          <w:b/>
          <w:bCs/>
          <w:color w:val="000000"/>
          <w:sz w:val="24"/>
          <w:szCs w:val="24"/>
        </w:rPr>
        <w:t xml:space="preserve">: </w:t>
      </w:r>
      <w:r w:rsidR="00B77F11">
        <w:rPr>
          <w:color w:val="000000"/>
          <w:sz w:val="24"/>
          <w:szCs w:val="24"/>
        </w:rPr>
        <w:t>GRANJA AURORA LTDA</w:t>
      </w:r>
      <w:r w:rsidR="00B77F11">
        <w:rPr>
          <w:color w:val="000000"/>
          <w:sz w:val="24"/>
          <w:szCs w:val="24"/>
        </w:rPr>
        <w:t xml:space="preserve"> | </w:t>
      </w:r>
      <w:r w:rsidR="00B77F11">
        <w:rPr>
          <w:color w:val="000000"/>
          <w:sz w:val="24"/>
          <w:szCs w:val="24"/>
        </w:rPr>
        <w:t>CNPJ 53.848.534/0001-39</w:t>
      </w:r>
      <w:r>
        <w:rPr>
          <w:color w:val="000000"/>
          <w:sz w:val="24"/>
          <w:szCs w:val="24"/>
        </w:rPr>
        <w:t xml:space="preserve"> </w:t>
      </w:r>
    </w:p>
    <w:p w14:paraId="4BE05A3C" w14:textId="77777777" w:rsidR="0005184A" w:rsidRDefault="0005184A">
      <w:pPr>
        <w:pBdr>
          <w:bottom w:val="single" w:sz="6" w:space="1" w:color="A6A6A6"/>
        </w:pBdr>
        <w:spacing w:before="120" w:after="120"/>
      </w:pPr>
    </w:p>
    <w:p w14:paraId="78F2898F" w14:textId="77777777" w:rsidR="0005184A" w:rsidRDefault="00000000">
      <w:pPr>
        <w:pStyle w:val="Ttulo3"/>
        <w:spacing w:before="240"/>
      </w:pPr>
      <w:bookmarkStart w:id="12" w:name="_Toc_ANEXO_I_SLA_resumo_13"/>
      <w:r>
        <w:t>ANEXO I — SLA (resumo)</w:t>
      </w:r>
      <w:bookmarkEnd w:id="12"/>
    </w:p>
    <w:p w14:paraId="0B942405" w14:textId="786E8CD2" w:rsidR="0005184A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Disponibilidade alvo: </w:t>
      </w:r>
      <w:r>
        <w:rPr>
          <w:b/>
          <w:bCs/>
          <w:color w:val="000000"/>
          <w:sz w:val="24"/>
          <w:szCs w:val="24"/>
        </w:rPr>
        <w:t>99,5%</w:t>
      </w:r>
      <w:r>
        <w:rPr>
          <w:color w:val="000000"/>
          <w:sz w:val="24"/>
          <w:szCs w:val="24"/>
        </w:rPr>
        <w:t xml:space="preserve"> mensal (exceto manutenção programada).</w:t>
      </w:r>
    </w:p>
    <w:p w14:paraId="4D368B0A" w14:textId="2AB550C6" w:rsidR="0005184A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Backups: </w:t>
      </w:r>
      <w:r>
        <w:rPr>
          <w:b/>
          <w:bCs/>
          <w:color w:val="000000"/>
          <w:sz w:val="24"/>
          <w:szCs w:val="24"/>
        </w:rPr>
        <w:t>diários</w:t>
      </w:r>
      <w:r>
        <w:rPr>
          <w:color w:val="000000"/>
          <w:sz w:val="24"/>
          <w:szCs w:val="24"/>
        </w:rPr>
        <w:t xml:space="preserve">, retenção </w:t>
      </w:r>
      <w:r>
        <w:rPr>
          <w:b/>
          <w:bCs/>
          <w:color w:val="000000"/>
          <w:sz w:val="24"/>
          <w:szCs w:val="24"/>
        </w:rPr>
        <w:t>7–30</w:t>
      </w:r>
      <w:r>
        <w:rPr>
          <w:color w:val="000000"/>
          <w:sz w:val="24"/>
          <w:szCs w:val="24"/>
        </w:rPr>
        <w:t xml:space="preserve"> dias.</w:t>
      </w:r>
    </w:p>
    <w:p w14:paraId="4080D374" w14:textId="5D78DBBB" w:rsidR="0005184A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Manutenção programada: aviso prévio </w:t>
      </w:r>
      <w:r>
        <w:rPr>
          <w:b/>
          <w:bCs/>
          <w:color w:val="000000"/>
          <w:sz w:val="24"/>
          <w:szCs w:val="24"/>
        </w:rPr>
        <w:t>24h</w:t>
      </w:r>
      <w:r>
        <w:rPr>
          <w:color w:val="000000"/>
          <w:sz w:val="24"/>
          <w:szCs w:val="24"/>
        </w:rPr>
        <w:t>.</w:t>
      </w:r>
    </w:p>
    <w:sectPr w:rsidR="0005184A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5E536" w14:textId="77777777" w:rsidR="00E869B9" w:rsidRDefault="00E869B9">
      <w:r>
        <w:separator/>
      </w:r>
    </w:p>
  </w:endnote>
  <w:endnote w:type="continuationSeparator" w:id="0">
    <w:p w14:paraId="58D3B63E" w14:textId="77777777" w:rsidR="00E869B9" w:rsidRDefault="00E86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35071" w14:textId="77777777" w:rsidR="0005184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E4057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AD70F" w14:textId="77777777" w:rsidR="00E869B9" w:rsidRDefault="00E869B9">
      <w:r>
        <w:separator/>
      </w:r>
    </w:p>
  </w:footnote>
  <w:footnote w:type="continuationSeparator" w:id="0">
    <w:p w14:paraId="0794BCED" w14:textId="77777777" w:rsidR="00E869B9" w:rsidRDefault="00E86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41FDE"/>
    <w:multiLevelType w:val="hybridMultilevel"/>
    <w:tmpl w:val="5CFCB238"/>
    <w:lvl w:ilvl="0" w:tplc="BFFCCE14">
      <w:start w:val="1"/>
      <w:numFmt w:val="bullet"/>
      <w:lvlText w:val="●"/>
      <w:lvlJc w:val="left"/>
      <w:pPr>
        <w:ind w:left="720" w:hanging="360"/>
      </w:pPr>
    </w:lvl>
    <w:lvl w:ilvl="1" w:tplc="6360CBF8">
      <w:start w:val="1"/>
      <w:numFmt w:val="bullet"/>
      <w:lvlText w:val="○"/>
      <w:lvlJc w:val="left"/>
      <w:pPr>
        <w:ind w:left="1440" w:hanging="360"/>
      </w:pPr>
    </w:lvl>
    <w:lvl w:ilvl="2" w:tplc="663C7944">
      <w:start w:val="1"/>
      <w:numFmt w:val="bullet"/>
      <w:lvlText w:val="■"/>
      <w:lvlJc w:val="left"/>
      <w:pPr>
        <w:ind w:left="2160" w:hanging="360"/>
      </w:pPr>
    </w:lvl>
    <w:lvl w:ilvl="3" w:tplc="8D0C7518">
      <w:start w:val="1"/>
      <w:numFmt w:val="bullet"/>
      <w:lvlText w:val="●"/>
      <w:lvlJc w:val="left"/>
      <w:pPr>
        <w:ind w:left="2880" w:hanging="360"/>
      </w:pPr>
    </w:lvl>
    <w:lvl w:ilvl="4" w:tplc="9266B516">
      <w:start w:val="1"/>
      <w:numFmt w:val="bullet"/>
      <w:lvlText w:val="○"/>
      <w:lvlJc w:val="left"/>
      <w:pPr>
        <w:ind w:left="3600" w:hanging="360"/>
      </w:pPr>
    </w:lvl>
    <w:lvl w:ilvl="5" w:tplc="8B662B64">
      <w:start w:val="1"/>
      <w:numFmt w:val="bullet"/>
      <w:lvlText w:val="■"/>
      <w:lvlJc w:val="left"/>
      <w:pPr>
        <w:ind w:left="4320" w:hanging="360"/>
      </w:pPr>
    </w:lvl>
    <w:lvl w:ilvl="6" w:tplc="F870A482">
      <w:start w:val="1"/>
      <w:numFmt w:val="bullet"/>
      <w:lvlText w:val="●"/>
      <w:lvlJc w:val="left"/>
      <w:pPr>
        <w:ind w:left="5040" w:hanging="360"/>
      </w:pPr>
    </w:lvl>
    <w:lvl w:ilvl="7" w:tplc="A788A060">
      <w:start w:val="1"/>
      <w:numFmt w:val="bullet"/>
      <w:lvlText w:val="●"/>
      <w:lvlJc w:val="left"/>
      <w:pPr>
        <w:ind w:left="5760" w:hanging="360"/>
      </w:pPr>
    </w:lvl>
    <w:lvl w:ilvl="8" w:tplc="181C5AE2">
      <w:start w:val="1"/>
      <w:numFmt w:val="bullet"/>
      <w:lvlText w:val="●"/>
      <w:lvlJc w:val="left"/>
      <w:pPr>
        <w:ind w:left="6480" w:hanging="360"/>
      </w:pPr>
    </w:lvl>
  </w:abstractNum>
  <w:num w:numId="1" w16cid:durableId="168953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84A"/>
    <w:rsid w:val="0005184A"/>
    <w:rsid w:val="003C4C22"/>
    <w:rsid w:val="00462F90"/>
    <w:rsid w:val="0055022C"/>
    <w:rsid w:val="0074798A"/>
    <w:rsid w:val="007E4057"/>
    <w:rsid w:val="008213A4"/>
    <w:rsid w:val="008E526B"/>
    <w:rsid w:val="009C735F"/>
    <w:rsid w:val="00B77F11"/>
    <w:rsid w:val="00BC6A14"/>
    <w:rsid w:val="00C47680"/>
    <w:rsid w:val="00CC32DF"/>
    <w:rsid w:val="00D411CD"/>
    <w:rsid w:val="00D4250E"/>
    <w:rsid w:val="00E8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74D95"/>
  <w15:docId w15:val="{D08922CB-4527-40CE-A977-EC499974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Ttulo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Ttulo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Ttulo6">
    <w:name w:val="heading 6"/>
    <w:uiPriority w:val="9"/>
    <w:semiHidden/>
    <w:unhideWhenUsed/>
    <w:qFormat/>
    <w:pPr>
      <w:spacing w:before="200" w:after="100"/>
      <w:outlineLvl w:val="5"/>
    </w:pPr>
    <w:rPr>
      <w:b/>
      <w:bCs/>
      <w:color w:val="000000"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625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Desklocal</cp:lastModifiedBy>
  <cp:revision>8</cp:revision>
  <dcterms:created xsi:type="dcterms:W3CDTF">2026-09-18T20:43:00Z</dcterms:created>
  <dcterms:modified xsi:type="dcterms:W3CDTF">2026-09-22T20:30:00Z</dcterms:modified>
</cp:coreProperties>
</file>