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Calibri" w:cs="Calibri" w:eastAsia="Calibri" w:hAnsi="Calibri"/>
          <w:b/>
          <w:bCs/>
          <w:color w:val="0B3D4E"/>
          <w:sz w:val="40"/>
          <w:szCs w:val="40"/>
        </w:rPr>
        <w:t xml:space="preserve">PROJECT KALINGA</w:t>
      </w:r>
    </w:p>
    <w:p>
      <w:pPr>
        <w:spacing w:after="200"/>
        <w:jc w:val="center"/>
      </w:pPr>
      <w:r>
        <w:rPr>
          <w:rFonts w:ascii="Calibri" w:cs="Calibri" w:eastAsia="Calibri" w:hAnsi="Calibri"/>
          <w:color w:val="028090"/>
          <w:sz w:val="28"/>
          <w:szCs w:val="28"/>
        </w:rPr>
        <w:t xml:space="preserve">MDT Case Simulation Activity Packet</w:t>
      </w:r>
    </w:p>
    <w:p>
      <w:pPr>
        <w:spacing w:after="400"/>
        <w:jc w:val="center"/>
      </w:pPr>
      <w:r>
        <w:rPr>
          <w:rFonts w:ascii="Calibri" w:cs="Calibri" w:eastAsia="Calibri" w:hAnsi="Calibri"/>
          <w:i/>
          <w:iCs/>
          <w:color w:val="666666"/>
          <w:sz w:val="20"/>
          <w:szCs w:val="20"/>
        </w:rPr>
        <w:t xml:space="preserve">Hands-On Training for UNICEF &amp; LGU Implementers</w:t>
      </w:r>
    </w:p>
    <w:p>
      <w:pPr>
        <w:jc w:val="center"/>
      </w:pPr>
      <w:r>
        <w:rPr>
          <w:rFonts w:ascii="Calibri" w:cs="Calibri" w:eastAsia="Calibri" w:hAnsi="Calibri"/>
          <w:color w:val="999999"/>
          <w:sz w:val="18"/>
          <w:szCs w:val="18"/>
        </w:rPr>
        <w:t xml:space="preserve">DSWD-ICTMS  |  July 2026</w:t>
      </w:r>
    </w:p>
    <w:p>
      <w:r>
        <w:br w:type="page"/>
      </w:r>
    </w:p>
    <w:p>
      <w:pPr>
        <w:pStyle w:val="Heading1"/>
        <w:spacing w:after="160" w:before="360"/>
      </w:pPr>
      <w:r>
        <w:rPr>
          <w:rFonts w:ascii="Calibri" w:cs="Calibri" w:eastAsia="Calibri" w:hAnsi="Calibri"/>
          <w:b/>
          <w:bCs/>
          <w:color w:val="0B3D4E"/>
          <w:sz w:val="30"/>
          <w:szCs w:val="30"/>
        </w:rPr>
        <w:t xml:space="preserve">Facilitator Guide</w:t>
      </w:r>
    </w:p>
    <w:p>
      <w:pPr>
        <w:pStyle w:val="Heading2"/>
        <w:spacing w:after="120" w:before="280"/>
      </w:pPr>
      <w:r>
        <w:rPr>
          <w:rFonts w:ascii="Calibri" w:cs="Calibri" w:eastAsia="Calibri" w:hAnsi="Calibri"/>
          <w:b/>
          <w:bCs/>
          <w:color w:val="028090"/>
          <w:sz w:val="26"/>
          <w:szCs w:val="26"/>
        </w:rPr>
        <w:t xml:space="preserve">Activity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4C6D9" w:sz="1"/>
              <w:left w:val="single" w:color="B4C6D9" w:sz="1"/>
              <w:bottom w:val="single" w:color="B4C6D9" w:sz="1"/>
              <w:right w:val="single" w:color="B4C6D9" w:sz="1"/>
            </w:tcBorders>
            <w:shd w:fill="0B3D4E"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Item</w:t>
            </w:r>
          </w:p>
        </w:tc>
        <w:tc>
          <w:tcPr>
            <w:tcW w:type="dxa" w:w="6960"/>
            <w:tcBorders>
              <w:top w:val="single" w:color="B4C6D9" w:sz="1"/>
              <w:left w:val="single" w:color="B4C6D9" w:sz="1"/>
              <w:bottom w:val="single" w:color="B4C6D9" w:sz="1"/>
              <w:right w:val="single" w:color="B4C6D9" w:sz="1"/>
            </w:tcBorders>
            <w:shd w:fill="0B3D4E"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Details</w:t>
            </w:r>
          </w:p>
        </w:tc>
      </w:tr>
      <w:tr>
        <w:tc>
          <w:tcPr>
            <w:tcW w:type="dxa" w:w="24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Duration</w:t>
            </w:r>
          </w:p>
        </w:tc>
        <w:tc>
          <w:tcPr>
            <w:tcW w:type="dxa" w:w="696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40-50 minutes (adjustable)</w:t>
            </w:r>
          </w:p>
        </w:tc>
      </w:tr>
      <w:tr>
        <w:tc>
          <w:tcPr>
            <w:tcW w:type="dxa" w:w="24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Group Size</w:t>
            </w:r>
          </w:p>
        </w:tc>
        <w:tc>
          <w:tcPr>
            <w:tcW w:type="dxa" w:w="696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5-6 participants per group</w:t>
            </w:r>
          </w:p>
        </w:tc>
      </w:tr>
      <w:tr>
        <w:tc>
          <w:tcPr>
            <w:tcW w:type="dxa" w:w="24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Materials</w:t>
            </w:r>
          </w:p>
        </w:tc>
        <w:tc>
          <w:tcPr>
            <w:tcW w:type="dxa" w:w="696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This packet, laptop/tablet per group (with internet), login credentials sheet</w:t>
            </w:r>
          </w:p>
        </w:tc>
      </w:tr>
      <w:tr>
        <w:tc>
          <w:tcPr>
            <w:tcW w:type="dxa" w:w="24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Objective</w:t>
            </w:r>
          </w:p>
        </w:tc>
        <w:tc>
          <w:tcPr>
            <w:tcW w:type="dxa" w:w="696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Participants experience the full CEFMU case lifecycle using Project Kalinga as an MDT</w:t>
            </w:r>
          </w:p>
        </w:tc>
      </w:tr>
      <w:tr>
        <w:tc>
          <w:tcPr>
            <w:tcW w:type="dxa" w:w="24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System URL</w:t>
            </w:r>
          </w:p>
        </w:tc>
        <w:tc>
          <w:tcPr>
            <w:tcW w:type="dxa" w:w="696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https://dswd-kalinga.vercel.app (staging environment)</w:t>
            </w:r>
          </w:p>
        </w:tc>
      </w:tr>
    </w:tbl>
    <w:p>
      <w:pPr>
        <w:pStyle w:val="Heading2"/>
        <w:spacing w:after="120" w:before="280"/>
      </w:pPr>
      <w:r>
        <w:rPr>
          <w:rFonts w:ascii="Calibri" w:cs="Calibri" w:eastAsia="Calibri" w:hAnsi="Calibri"/>
          <w:b/>
          <w:bCs/>
          <w:color w:val="028090"/>
          <w:sz w:val="26"/>
          <w:szCs w:val="26"/>
        </w:rPr>
        <w:t xml:space="preserve">Before the Activity</w:t>
      </w:r>
    </w:p>
    <w:p>
      <w:pPr>
        <w:pStyle w:val="ListParagraph"/>
        <w:numPr>
          <w:ilvl w:val="0"/>
          <w:numId w:val="2"/>
        </w:numPr>
        <w:spacing w:after="30" w:before="30"/>
      </w:pPr>
      <w:r>
        <w:rPr>
          <w:rFonts w:ascii="Calibri" w:cs="Calibri" w:eastAsia="Calibri" w:hAnsi="Calibri"/>
          <w:sz w:val="22"/>
          <w:szCs w:val="22"/>
        </w:rPr>
        <w:t xml:space="preserve">Ensure staging environment is deployed and accessible</w:t>
      </w:r>
    </w:p>
    <w:p>
      <w:pPr>
        <w:pStyle w:val="ListParagraph"/>
        <w:numPr>
          <w:ilvl w:val="0"/>
          <w:numId w:val="2"/>
        </w:numPr>
        <w:spacing w:after="30" w:before="30"/>
      </w:pPr>
      <w:r>
        <w:rPr>
          <w:rFonts w:ascii="Calibri" w:cs="Calibri" w:eastAsia="Calibri" w:hAnsi="Calibri"/>
          <w:sz w:val="22"/>
          <w:szCs w:val="22"/>
        </w:rPr>
        <w:t xml:space="preserve">Verify all test accounts can log in (see credentials below)</w:t>
      </w:r>
    </w:p>
    <w:p>
      <w:pPr>
        <w:pStyle w:val="ListParagraph"/>
        <w:numPr>
          <w:ilvl w:val="0"/>
          <w:numId w:val="2"/>
        </w:numPr>
        <w:spacing w:after="30" w:before="30"/>
      </w:pPr>
      <w:r>
        <w:rPr>
          <w:rFonts w:ascii="Calibri" w:cs="Calibri" w:eastAsia="Calibri" w:hAnsi="Calibri"/>
          <w:sz w:val="22"/>
          <w:szCs w:val="22"/>
        </w:rPr>
        <w:t xml:space="preserve">Prepare one laptop/tablet per group with the URL bookmarked</w:t>
      </w:r>
    </w:p>
    <w:p>
      <w:pPr>
        <w:pStyle w:val="ListParagraph"/>
        <w:numPr>
          <w:ilvl w:val="0"/>
          <w:numId w:val="2"/>
        </w:numPr>
        <w:spacing w:after="30" w:before="30"/>
      </w:pPr>
      <w:r>
        <w:rPr>
          <w:rFonts w:ascii="Calibri" w:cs="Calibri" w:eastAsia="Calibri" w:hAnsi="Calibri"/>
          <w:sz w:val="22"/>
          <w:szCs w:val="22"/>
        </w:rPr>
        <w:t xml:space="preserve">Print this packet (one per group) or display on second screen</w:t>
      </w:r>
    </w:p>
    <w:p>
      <w:pPr>
        <w:pStyle w:val="ListParagraph"/>
        <w:numPr>
          <w:ilvl w:val="0"/>
          <w:numId w:val="2"/>
        </w:numPr>
        <w:spacing w:after="30" w:before="30"/>
      </w:pPr>
      <w:r>
        <w:rPr>
          <w:rFonts w:ascii="Calibri" w:cs="Calibri" w:eastAsia="Calibri" w:hAnsi="Calibri"/>
          <w:sz w:val="22"/>
          <w:szCs w:val="22"/>
        </w:rPr>
        <w:t xml:space="preserve">Assign a facilitator/roamer to help groups that get stuck</w:t>
      </w:r>
    </w:p>
    <w:p>
      <w:pPr>
        <w:pStyle w:val="Heading2"/>
        <w:spacing w:after="120" w:before="280"/>
      </w:pPr>
      <w:r>
        <w:rPr>
          <w:rFonts w:ascii="Calibri" w:cs="Calibri" w:eastAsia="Calibri" w:hAnsi="Calibri"/>
          <w:b/>
          <w:bCs/>
          <w:color w:val="028090"/>
          <w:sz w:val="26"/>
          <w:szCs w:val="26"/>
        </w:rPr>
        <w:t xml:space="preserve">Login Credentials for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800"/>
        <w:gridCol w:w="2760"/>
      </w:tblGrid>
      <w:tr>
        <w:trPr>
          <w:tblHeader/>
        </w:trPr>
        <w:tc>
          <w:tcPr>
            <w:tcW w:type="dxa" w:w="2000"/>
            <w:tcBorders>
              <w:top w:val="single" w:color="B4C6D9" w:sz="1"/>
              <w:left w:val="single" w:color="B4C6D9" w:sz="1"/>
              <w:bottom w:val="single" w:color="B4C6D9" w:sz="1"/>
              <w:right w:val="single" w:color="B4C6D9" w:sz="1"/>
            </w:tcBorders>
            <w:shd w:fill="0B3D4E"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Role</w:t>
            </w:r>
          </w:p>
        </w:tc>
        <w:tc>
          <w:tcPr>
            <w:tcW w:type="dxa" w:w="2800"/>
            <w:tcBorders>
              <w:top w:val="single" w:color="B4C6D9" w:sz="1"/>
              <w:left w:val="single" w:color="B4C6D9" w:sz="1"/>
              <w:bottom w:val="single" w:color="B4C6D9" w:sz="1"/>
              <w:right w:val="single" w:color="B4C6D9" w:sz="1"/>
            </w:tcBorders>
            <w:shd w:fill="0B3D4E"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Email</w:t>
            </w:r>
          </w:p>
        </w:tc>
        <w:tc>
          <w:tcPr>
            <w:tcW w:type="dxa" w:w="1800"/>
            <w:tcBorders>
              <w:top w:val="single" w:color="B4C6D9" w:sz="1"/>
              <w:left w:val="single" w:color="B4C6D9" w:sz="1"/>
              <w:bottom w:val="single" w:color="B4C6D9" w:sz="1"/>
              <w:right w:val="single" w:color="B4C6D9" w:sz="1"/>
            </w:tcBorders>
            <w:shd w:fill="0B3D4E"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Password</w:t>
            </w:r>
          </w:p>
        </w:tc>
        <w:tc>
          <w:tcPr>
            <w:tcW w:type="dxa" w:w="2760"/>
            <w:tcBorders>
              <w:top w:val="single" w:color="B4C6D9" w:sz="1"/>
              <w:left w:val="single" w:color="B4C6D9" w:sz="1"/>
              <w:bottom w:val="single" w:color="B4C6D9" w:sz="1"/>
              <w:right w:val="single" w:color="B4C6D9" w:sz="1"/>
            </w:tcBorders>
            <w:shd w:fill="0B3D4E"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Notes</w:t>
            </w:r>
          </w:p>
        </w:tc>
      </w:tr>
      <w:tr>
        <w:tc>
          <w:tcPr>
            <w:tcW w:type="dxa" w:w="20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Case Worker</w:t>
            </w:r>
          </w:p>
        </w:tc>
        <w:tc>
          <w:tcPr>
            <w:tcW w:type="dxa" w:w="28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qa.caseworker@dswd.gov.ph</w:t>
            </w:r>
          </w:p>
        </w:tc>
        <w:tc>
          <w:tcPr>
            <w:tcW w:type="dxa" w:w="18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Kalinga2026!</w:t>
            </w:r>
          </w:p>
        </w:tc>
        <w:tc>
          <w:tcPr>
            <w:tcW w:type="dxa" w:w="276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Main typist for the activity</w:t>
            </w:r>
          </w:p>
        </w:tc>
      </w:tr>
      <w:tr>
        <w:tc>
          <w:tcPr>
            <w:tcW w:type="dxa" w:w="20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LGU Supervisor</w:t>
            </w:r>
          </w:p>
        </w:tc>
        <w:tc>
          <w:tcPr>
            <w:tcW w:type="dxa" w:w="28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qa.supervisor@kalinga.local</w:t>
            </w:r>
          </w:p>
        </w:tc>
        <w:tc>
          <w:tcPr>
            <w:tcW w:type="dxa" w:w="18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Kalinga2026!</w:t>
            </w:r>
          </w:p>
        </w:tc>
        <w:tc>
          <w:tcPr>
            <w:tcW w:type="dxa" w:w="276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Can view and update cases</w:t>
            </w:r>
          </w:p>
        </w:tc>
      </w:tr>
      <w:tr>
        <w:tc>
          <w:tcPr>
            <w:tcW w:type="dxa" w:w="20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CPU Monitor</w:t>
            </w:r>
          </w:p>
        </w:tc>
        <w:tc>
          <w:tcPr>
            <w:tcW w:type="dxa" w:w="28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qa.monitor@kalinga.local</w:t>
            </w:r>
          </w:p>
        </w:tc>
        <w:tc>
          <w:tcPr>
            <w:tcW w:type="dxa" w:w="18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Kalinga2026!</w:t>
            </w:r>
          </w:p>
        </w:tc>
        <w:tc>
          <w:tcPr>
            <w:tcW w:type="dxa" w:w="276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Read-only access (dashboard, reports)</w:t>
            </w:r>
          </w:p>
        </w:tc>
      </w:tr>
      <w:tr>
        <w:tc>
          <w:tcPr>
            <w:tcW w:type="dxa" w:w="20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Admin</w:t>
            </w:r>
          </w:p>
        </w:tc>
        <w:tc>
          <w:tcPr>
            <w:tcW w:type="dxa" w:w="28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qa.admin@dswd.gov.ph</w:t>
            </w:r>
          </w:p>
        </w:tc>
        <w:tc>
          <w:tcPr>
            <w:tcW w:type="dxa" w:w="18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Kalinga2026!</w:t>
            </w:r>
          </w:p>
        </w:tc>
        <w:tc>
          <w:tcPr>
            <w:tcW w:type="dxa" w:w="276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For demo only (user management)</w:t>
            </w:r>
          </w:p>
        </w:tc>
      </w:tr>
    </w:tbl>
    <w:p>
      <w:pPr>
        <w:pStyle w:val="Heading2"/>
        <w:spacing w:after="120" w:before="280"/>
      </w:pPr>
      <w:r>
        <w:rPr>
          <w:rFonts w:ascii="Calibri" w:cs="Calibri" w:eastAsia="Calibri" w:hAnsi="Calibri"/>
          <w:b/>
          <w:bCs/>
          <w:color w:val="028090"/>
          <w:sz w:val="26"/>
          <w:szCs w:val="26"/>
        </w:rPr>
        <w:t xml:space="preserve">Activity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rPr>
          <w:tblHeader/>
        </w:trPr>
        <w:tc>
          <w:tcPr>
            <w:tcW w:type="dxa" w:w="1200"/>
            <w:tcBorders>
              <w:top w:val="single" w:color="B4C6D9" w:sz="1"/>
              <w:left w:val="single" w:color="B4C6D9" w:sz="1"/>
              <w:bottom w:val="single" w:color="B4C6D9" w:sz="1"/>
              <w:right w:val="single" w:color="B4C6D9" w:sz="1"/>
            </w:tcBorders>
            <w:shd w:fill="0B3D4E"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Time</w:t>
            </w:r>
          </w:p>
        </w:tc>
        <w:tc>
          <w:tcPr>
            <w:tcW w:type="dxa" w:w="2000"/>
            <w:tcBorders>
              <w:top w:val="single" w:color="B4C6D9" w:sz="1"/>
              <w:left w:val="single" w:color="B4C6D9" w:sz="1"/>
              <w:bottom w:val="single" w:color="B4C6D9" w:sz="1"/>
              <w:right w:val="single" w:color="B4C6D9" w:sz="1"/>
            </w:tcBorders>
            <w:shd w:fill="0B3D4E"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Phase</w:t>
            </w:r>
          </w:p>
        </w:tc>
        <w:tc>
          <w:tcPr>
            <w:tcW w:type="dxa" w:w="6160"/>
            <w:tcBorders>
              <w:top w:val="single" w:color="B4C6D9" w:sz="1"/>
              <w:left w:val="single" w:color="B4C6D9" w:sz="1"/>
              <w:bottom w:val="single" w:color="B4C6D9" w:sz="1"/>
              <w:right w:val="single" w:color="B4C6D9" w:sz="1"/>
            </w:tcBorders>
            <w:shd w:fill="0B3D4E"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What Happens</w:t>
            </w:r>
          </w:p>
        </w:tc>
      </w:tr>
      <w:tr>
        <w:tc>
          <w:tcPr>
            <w:tcW w:type="dxa" w:w="12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0-5 min</w:t>
            </w:r>
          </w:p>
        </w:tc>
        <w:tc>
          <w:tcPr>
            <w:tcW w:type="dxa" w:w="20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Setup</w:t>
            </w:r>
          </w:p>
        </w:tc>
        <w:tc>
          <w:tcPr>
            <w:tcW w:type="dxa" w:w="616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Groups form, read scenario, assign roles. Narrator reads case aloud.</w:t>
            </w:r>
          </w:p>
        </w:tc>
      </w:tr>
      <w:tr>
        <w:tc>
          <w:tcPr>
            <w:tcW w:type="dxa" w:w="12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5-15 min</w:t>
            </w:r>
          </w:p>
        </w:tc>
        <w:tc>
          <w:tcPr>
            <w:tcW w:type="dxa" w:w="20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Case Registration</w:t>
            </w:r>
          </w:p>
        </w:tc>
        <w:tc>
          <w:tcPr>
            <w:tcW w:type="dxa" w:w="616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Case Worker logs in and creates the case. Team dictates client information.</w:t>
            </w:r>
          </w:p>
        </w:tc>
      </w:tr>
      <w:tr>
        <w:tc>
          <w:tcPr>
            <w:tcW w:type="dxa" w:w="12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15-25 min</w:t>
            </w:r>
          </w:p>
        </w:tc>
        <w:tc>
          <w:tcPr>
            <w:tcW w:type="dxa" w:w="20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Services &amp; Notes</w:t>
            </w:r>
          </w:p>
        </w:tc>
        <w:tc>
          <w:tcPr>
            <w:tcW w:type="dxa" w:w="616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Team discusses interventions. Case Worker adds services and progress notes.</w:t>
            </w:r>
          </w:p>
        </w:tc>
      </w:tr>
      <w:tr>
        <w:tc>
          <w:tcPr>
            <w:tcW w:type="dxa" w:w="12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25-30 min</w:t>
            </w:r>
          </w:p>
        </w:tc>
        <w:tc>
          <w:tcPr>
            <w:tcW w:type="dxa" w:w="20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Dashboard Check</w:t>
            </w:r>
          </w:p>
        </w:tc>
        <w:tc>
          <w:tcPr>
            <w:tcW w:type="dxa" w:w="616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CPU Monitor logs in to check dashboard. Team verifies their case appears.</w:t>
            </w:r>
          </w:p>
        </w:tc>
      </w:tr>
      <w:tr>
        <w:tc>
          <w:tcPr>
            <w:tcW w:type="dxa" w:w="12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30-40 min</w:t>
            </w:r>
          </w:p>
        </w:tc>
        <w:tc>
          <w:tcPr>
            <w:tcW w:type="dxa" w:w="20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Group Sharing</w:t>
            </w:r>
          </w:p>
        </w:tc>
        <w:tc>
          <w:tcPr>
            <w:tcW w:type="dxa" w:w="616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Reporter shares: What was easy? What was confusing? Real-life applicability?</w:t>
            </w:r>
          </w:p>
        </w:tc>
      </w:tr>
    </w:tbl>
    <w:p>
      <w:pPr>
        <w:pStyle w:val="Heading2"/>
        <w:spacing w:after="120" w:before="280"/>
      </w:pPr>
      <w:r>
        <w:rPr>
          <w:rFonts w:ascii="Calibri" w:cs="Calibri" w:eastAsia="Calibri" w:hAnsi="Calibri"/>
          <w:b/>
          <w:bCs/>
          <w:color w:val="028090"/>
          <w:sz w:val="26"/>
          <w:szCs w:val="26"/>
        </w:rPr>
        <w:t xml:space="preserve">Debrief Questions</w:t>
      </w:r>
    </w:p>
    <w:p>
      <w:pPr>
        <w:pStyle w:val="ListParagraph"/>
        <w:numPr>
          <w:ilvl w:val="0"/>
          <w:numId w:val="2"/>
        </w:numPr>
        <w:spacing w:after="30" w:before="30"/>
      </w:pPr>
      <w:r>
        <w:rPr>
          <w:rFonts w:ascii="Calibri" w:cs="Calibri" w:eastAsia="Calibri" w:hAnsi="Calibri"/>
          <w:sz w:val="22"/>
          <w:szCs w:val="22"/>
        </w:rPr>
        <w:t xml:space="preserve">How does having one system for the whole MDT improve coordination?</w:t>
      </w:r>
    </w:p>
    <w:p>
      <w:pPr>
        <w:pStyle w:val="ListParagraph"/>
        <w:numPr>
          <w:ilvl w:val="0"/>
          <w:numId w:val="2"/>
        </w:numPr>
        <w:spacing w:after="30" w:before="30"/>
      </w:pPr>
      <w:r>
        <w:rPr>
          <w:rFonts w:ascii="Calibri" w:cs="Calibri" w:eastAsia="Calibri" w:hAnsi="Calibri"/>
          <w:sz w:val="22"/>
          <w:szCs w:val="22"/>
        </w:rPr>
        <w:t xml:space="preserve">What information would you want to see on the dashboard that is not there yet?</w:t>
      </w:r>
    </w:p>
    <w:p>
      <w:pPr>
        <w:pStyle w:val="ListParagraph"/>
        <w:numPr>
          <w:ilvl w:val="0"/>
          <w:numId w:val="2"/>
        </w:numPr>
        <w:spacing w:after="30" w:before="30"/>
      </w:pPr>
      <w:r>
        <w:rPr>
          <w:rFonts w:ascii="Calibri" w:cs="Calibri" w:eastAsia="Calibri" w:hAnsi="Calibri"/>
          <w:sz w:val="22"/>
          <w:szCs w:val="22"/>
        </w:rPr>
        <w:t xml:space="preserve">How would this change your current paper-based or fragmented workflow?</w:t>
      </w:r>
    </w:p>
    <w:p>
      <w:pPr>
        <w:pStyle w:val="ListParagraph"/>
        <w:numPr>
          <w:ilvl w:val="0"/>
          <w:numId w:val="2"/>
        </w:numPr>
        <w:spacing w:after="30" w:before="30"/>
      </w:pPr>
      <w:r>
        <w:rPr>
          <w:rFonts w:ascii="Calibri" w:cs="Calibri" w:eastAsia="Calibri" w:hAnsi="Calibri"/>
          <w:sz w:val="22"/>
          <w:szCs w:val="22"/>
        </w:rPr>
        <w:t xml:space="preserve">What training would your team need to use this daily?</w:t>
      </w:r>
    </w:p>
    <w:p>
      <w:pPr>
        <w:pStyle w:val="ListParagraph"/>
        <w:numPr>
          <w:ilvl w:val="0"/>
          <w:numId w:val="2"/>
        </w:numPr>
        <w:spacing w:after="30" w:before="30"/>
      </w:pPr>
      <w:r>
        <w:rPr>
          <w:rFonts w:ascii="Calibri" w:cs="Calibri" w:eastAsia="Calibri" w:hAnsi="Calibri"/>
          <w:sz w:val="22"/>
          <w:szCs w:val="22"/>
        </w:rPr>
        <w:t xml:space="preserve">Any features missing that would help your specific LGU context?</w:t>
      </w:r>
    </w:p>
    <w:p>
      <w:r>
        <w:br w:type="page"/>
      </w:r>
    </w:p>
    <w:p>
      <w:pPr>
        <w:pStyle w:val="Heading1"/>
        <w:spacing w:after="160" w:before="360"/>
      </w:pPr>
      <w:r>
        <w:rPr>
          <w:rFonts w:ascii="Calibri" w:cs="Calibri" w:eastAsia="Calibri" w:hAnsi="Calibri"/>
          <w:b/>
          <w:bCs/>
          <w:color w:val="0B3D4E"/>
          <w:sz w:val="30"/>
          <w:szCs w:val="30"/>
        </w:rPr>
        <w:t xml:space="preserve">CASE A — "Maria"</w:t>
      </w:r>
    </w:p>
    <w:p>
      <w:pPr>
        <w:spacing w:after="60" w:before="60"/>
      </w:pPr>
      <w:r>
        <w:rPr>
          <w:rFonts w:ascii="Calibri" w:cs="Calibri" w:eastAsia="Calibri" w:hAnsi="Calibri"/>
          <w:b w:val="false"/>
          <w:bCs w:val="false"/>
          <w:i/>
          <w:iCs/>
          <w:color w:val="999999"/>
          <w:sz w:val="22"/>
          <w:szCs w:val="22"/>
        </w:rPr>
        <w:t xml:space="preserve">(Distribute to Groups 1, 3, 5)</w:t>
      </w:r>
    </w:p>
    <w:p>
      <w:pPr>
        <w:pStyle w:val="Heading2"/>
        <w:spacing w:after="120" w:before="280"/>
      </w:pPr>
      <w:r>
        <w:rPr>
          <w:rFonts w:ascii="Calibri" w:cs="Calibri" w:eastAsia="Calibri" w:hAnsi="Calibri"/>
          <w:b/>
          <w:bCs/>
          <w:color w:val="028090"/>
          <w:sz w:val="26"/>
          <w:szCs w:val="26"/>
        </w:rPr>
        <w:t xml:space="preserve">Scenario</w:t>
      </w:r>
    </w:p>
    <w:p>
      <w:pPr>
        <w:spacing w:after="60" w:before="60"/>
      </w:pPr>
      <w:r>
        <w:rPr>
          <w:rFonts w:ascii="Calibri" w:cs="Calibri" w:eastAsia="Calibri" w:hAnsi="Calibri"/>
          <w:b w:val="false"/>
          <w:bCs w:val="false"/>
          <w:i w:val="false"/>
          <w:iCs w:val="false"/>
          <w:color w:val="000000"/>
          <w:sz w:val="22"/>
          <w:szCs w:val="22"/>
        </w:rPr>
        <w:t xml:space="preserve">Maria Santos, 16 years old, was referred to the DSWD Field Office by Barangay Captain Reyes of Brgy. Dagupan, Tabuk City, Kalinga. The barangay captain reports that Maria has been living with a 24-year-old man named Joel for 3 months following an arrangement between their families. Maria dropped out of Grade 10 and has expressed desire to return to school but feels she cannot leave.</w:t>
      </w:r>
    </w:p>
    <w:p>
      <w:pPr>
        <w:spacing w:after="60" w:before="60"/>
      </w:pPr>
      <w:r>
        <w:rPr>
          <w:rFonts w:ascii="Calibri" w:cs="Calibri" w:eastAsia="Calibri" w:hAnsi="Calibri"/>
          <w:b w:val="false"/>
          <w:bCs w:val="false"/>
          <w:i w:val="false"/>
          <w:iCs w:val="false"/>
          <w:color w:val="000000"/>
          <w:sz w:val="22"/>
          <w:szCs w:val="22"/>
        </w:rPr>
        <w:t xml:space="preserve">Maria appears healthy but withdrawn during the initial interview. She mentions that Joel works as a construction laborer and earns irregularly. She has no source of income herself and depends entirely on Joel and his family.</w:t>
      </w:r>
    </w:p>
    <w:p>
      <w:pPr>
        <w:pStyle w:val="Heading2"/>
        <w:spacing w:after="120" w:before="280"/>
      </w:pPr>
      <w:r>
        <w:rPr>
          <w:rFonts w:ascii="Calibri" w:cs="Calibri" w:eastAsia="Calibri" w:hAnsi="Calibri"/>
          <w:b/>
          <w:bCs/>
          <w:color w:val="028090"/>
          <w:sz w:val="26"/>
          <w:szCs w:val="26"/>
        </w:rPr>
        <w:t xml:space="preserve">Client Information (for data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4C6D9" w:sz="1"/>
              <w:left w:val="single" w:color="B4C6D9" w:sz="1"/>
              <w:bottom w:val="single" w:color="B4C6D9" w:sz="1"/>
              <w:right w:val="single" w:color="B4C6D9" w:sz="1"/>
            </w:tcBorders>
            <w:shd w:fill="0B3D4E"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Field</w:t>
            </w:r>
          </w:p>
        </w:tc>
        <w:tc>
          <w:tcPr>
            <w:tcW w:type="dxa" w:w="6960"/>
            <w:tcBorders>
              <w:top w:val="single" w:color="B4C6D9" w:sz="1"/>
              <w:left w:val="single" w:color="B4C6D9" w:sz="1"/>
              <w:bottom w:val="single" w:color="B4C6D9" w:sz="1"/>
              <w:right w:val="single" w:color="B4C6D9" w:sz="1"/>
            </w:tcBorders>
            <w:shd w:fill="0B3D4E"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Value</w:t>
            </w:r>
          </w:p>
        </w:tc>
      </w:tr>
      <w:tr>
        <w:tc>
          <w:tcPr>
            <w:tcW w:type="dxa" w:w="24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Last Name</w:t>
            </w:r>
          </w:p>
        </w:tc>
        <w:tc>
          <w:tcPr>
            <w:tcW w:type="dxa" w:w="696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Santos</w:t>
            </w:r>
          </w:p>
        </w:tc>
      </w:tr>
      <w:tr>
        <w:tc>
          <w:tcPr>
            <w:tcW w:type="dxa" w:w="24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First Name</w:t>
            </w:r>
          </w:p>
        </w:tc>
        <w:tc>
          <w:tcPr>
            <w:tcW w:type="dxa" w:w="696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Maria</w:t>
            </w:r>
          </w:p>
        </w:tc>
      </w:tr>
      <w:tr>
        <w:tc>
          <w:tcPr>
            <w:tcW w:type="dxa" w:w="24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Middle Initial</w:t>
            </w:r>
          </w:p>
        </w:tc>
        <w:tc>
          <w:tcPr>
            <w:tcW w:type="dxa" w:w="696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D</w:t>
            </w:r>
          </w:p>
        </w:tc>
      </w:tr>
      <w:tr>
        <w:tc>
          <w:tcPr>
            <w:tcW w:type="dxa" w:w="24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Birthdate</w:t>
            </w:r>
          </w:p>
        </w:tc>
        <w:tc>
          <w:tcPr>
            <w:tcW w:type="dxa" w:w="696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March 15, 2010</w:t>
            </w:r>
          </w:p>
        </w:tc>
      </w:tr>
      <w:tr>
        <w:tc>
          <w:tcPr>
            <w:tcW w:type="dxa" w:w="24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Sex</w:t>
            </w:r>
          </w:p>
        </w:tc>
        <w:tc>
          <w:tcPr>
            <w:tcW w:type="dxa" w:w="696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Female</w:t>
            </w:r>
          </w:p>
        </w:tc>
      </w:tr>
      <w:tr>
        <w:tc>
          <w:tcPr>
            <w:tcW w:type="dxa" w:w="24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Age</w:t>
            </w:r>
          </w:p>
        </w:tc>
        <w:tc>
          <w:tcPr>
            <w:tcW w:type="dxa" w:w="696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16</w:t>
            </w:r>
          </w:p>
        </w:tc>
      </w:tr>
      <w:tr>
        <w:tc>
          <w:tcPr>
            <w:tcW w:type="dxa" w:w="24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Civil Status</w:t>
            </w:r>
          </w:p>
        </w:tc>
        <w:tc>
          <w:tcPr>
            <w:tcW w:type="dxa" w:w="696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Single</w:t>
            </w:r>
          </w:p>
        </w:tc>
      </w:tr>
      <w:tr>
        <w:tc>
          <w:tcPr>
            <w:tcW w:type="dxa" w:w="24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Religion</w:t>
            </w:r>
          </w:p>
        </w:tc>
        <w:tc>
          <w:tcPr>
            <w:tcW w:type="dxa" w:w="696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Roman Catholic</w:t>
            </w:r>
          </w:p>
        </w:tc>
      </w:tr>
      <w:tr>
        <w:tc>
          <w:tcPr>
            <w:tcW w:type="dxa" w:w="24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Education</w:t>
            </w:r>
          </w:p>
        </w:tc>
        <w:tc>
          <w:tcPr>
            <w:tcW w:type="dxa" w:w="696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Grade 10 (incomplete)</w:t>
            </w:r>
          </w:p>
        </w:tc>
      </w:tr>
      <w:tr>
        <w:tc>
          <w:tcPr>
            <w:tcW w:type="dxa" w:w="24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Phone</w:t>
            </w:r>
          </w:p>
        </w:tc>
        <w:tc>
          <w:tcPr>
            <w:tcW w:type="dxa" w:w="696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0917-XXX-XXXX (via barangay)</w:t>
            </w:r>
          </w:p>
        </w:tc>
      </w:tr>
      <w:tr>
        <w:tc>
          <w:tcPr>
            <w:tcW w:type="dxa" w:w="24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Region</w:t>
            </w:r>
          </w:p>
        </w:tc>
        <w:tc>
          <w:tcPr>
            <w:tcW w:type="dxa" w:w="696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CAR (Cordillera Administrative Region)</w:t>
            </w:r>
          </w:p>
        </w:tc>
      </w:tr>
      <w:tr>
        <w:tc>
          <w:tcPr>
            <w:tcW w:type="dxa" w:w="24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Province</w:t>
            </w:r>
          </w:p>
        </w:tc>
        <w:tc>
          <w:tcPr>
            <w:tcW w:type="dxa" w:w="696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Kalinga</w:t>
            </w:r>
          </w:p>
        </w:tc>
      </w:tr>
      <w:tr>
        <w:tc>
          <w:tcPr>
            <w:tcW w:type="dxa" w:w="24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City/Municipality</w:t>
            </w:r>
          </w:p>
        </w:tc>
        <w:tc>
          <w:tcPr>
            <w:tcW w:type="dxa" w:w="696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Tabuk City</w:t>
            </w:r>
          </w:p>
        </w:tc>
      </w:tr>
      <w:tr>
        <w:tc>
          <w:tcPr>
            <w:tcW w:type="dxa" w:w="24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Barangay</w:t>
            </w:r>
          </w:p>
        </w:tc>
        <w:tc>
          <w:tcPr>
            <w:tcW w:type="dxa" w:w="696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Dagupan</w:t>
            </w:r>
          </w:p>
        </w:tc>
      </w:tr>
      <w:tr>
        <w:tc>
          <w:tcPr>
            <w:tcW w:type="dxa" w:w="24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Classification</w:t>
            </w:r>
          </w:p>
        </w:tc>
        <w:tc>
          <w:tcPr>
            <w:tcW w:type="dxa" w:w="696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Child</w:t>
            </w:r>
          </w:p>
        </w:tc>
      </w:tr>
      <w:tr>
        <w:tc>
          <w:tcPr>
            <w:tcW w:type="dxa" w:w="24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CEFMU Type</w:t>
            </w:r>
          </w:p>
        </w:tc>
        <w:tc>
          <w:tcPr>
            <w:tcW w:type="dxa" w:w="696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Child Marriage (family-arranged)</w:t>
            </w:r>
          </w:p>
        </w:tc>
      </w:tr>
      <w:tr>
        <w:tc>
          <w:tcPr>
            <w:tcW w:type="dxa" w:w="24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Admission Mode</w:t>
            </w:r>
          </w:p>
        </w:tc>
        <w:tc>
          <w:tcPr>
            <w:tcW w:type="dxa" w:w="696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Referral</w:t>
            </w:r>
          </w:p>
        </w:tc>
      </w:tr>
      <w:tr>
        <w:tc>
          <w:tcPr>
            <w:tcW w:type="dxa" w:w="24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Referred By</w:t>
            </w:r>
          </w:p>
        </w:tc>
        <w:tc>
          <w:tcPr>
            <w:tcW w:type="dxa" w:w="696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Brgy. Captain Roberto Reyes</w:t>
            </w:r>
          </w:p>
        </w:tc>
      </w:tr>
      <w:tr>
        <w:tc>
          <w:tcPr>
            <w:tcW w:type="dxa" w:w="24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Referral Date</w:t>
            </w:r>
          </w:p>
        </w:tc>
        <w:tc>
          <w:tcPr>
            <w:tcW w:type="dxa" w:w="696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July 15, 2026</w:t>
            </w:r>
          </w:p>
        </w:tc>
      </w:tr>
      <w:tr>
        <w:tc>
          <w:tcPr>
            <w:tcW w:type="dxa" w:w="24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LGU Code</w:t>
            </w:r>
          </w:p>
        </w:tc>
        <w:tc>
          <w:tcPr>
            <w:tcW w:type="dxa" w:w="696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KALINGA-001</w:t>
            </w:r>
          </w:p>
        </w:tc>
      </w:tr>
    </w:tbl>
    <w:p>
      <w:pPr>
        <w:pStyle w:val="Heading2"/>
        <w:spacing w:after="120" w:before="280"/>
      </w:pPr>
      <w:r>
        <w:rPr>
          <w:rFonts w:ascii="Calibri" w:cs="Calibri" w:eastAsia="Calibri" w:hAnsi="Calibri"/>
          <w:b/>
          <w:bCs/>
          <w:color w:val="028090"/>
          <w:sz w:val="26"/>
          <w:szCs w:val="26"/>
        </w:rPr>
        <w:t xml:space="preserve">Assessment (for data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4C6D9" w:sz="1"/>
              <w:left w:val="single" w:color="B4C6D9" w:sz="1"/>
              <w:bottom w:val="single" w:color="B4C6D9" w:sz="1"/>
              <w:right w:val="single" w:color="B4C6D9" w:sz="1"/>
            </w:tcBorders>
            <w:shd w:fill="0B3D4E"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Field</w:t>
            </w:r>
          </w:p>
        </w:tc>
        <w:tc>
          <w:tcPr>
            <w:tcW w:type="dxa" w:w="6960"/>
            <w:tcBorders>
              <w:top w:val="single" w:color="B4C6D9" w:sz="1"/>
              <w:left w:val="single" w:color="B4C6D9" w:sz="1"/>
              <w:bottom w:val="single" w:color="B4C6D9" w:sz="1"/>
              <w:right w:val="single" w:color="B4C6D9" w:sz="1"/>
            </w:tcBorders>
            <w:shd w:fill="0B3D4E"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Value</w:t>
            </w:r>
          </w:p>
        </w:tc>
      </w:tr>
      <w:tr>
        <w:tc>
          <w:tcPr>
            <w:tcW w:type="dxa" w:w="24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Presenting Problem</w:t>
            </w:r>
          </w:p>
        </w:tc>
        <w:tc>
          <w:tcPr>
            <w:tcW w:type="dxa" w:w="696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Client is a 16-year-old girl living in a family-arranged union with a 24-year-old male. Has dropped out of school. Expresses desire to resume education but feels trapped in the arrangement.</w:t>
            </w:r>
          </w:p>
        </w:tc>
      </w:tr>
      <w:tr>
        <w:tc>
          <w:tcPr>
            <w:tcW w:type="dxa" w:w="24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Initial Assessment</w:t>
            </w:r>
          </w:p>
        </w:tc>
        <w:tc>
          <w:tcPr>
            <w:tcW w:type="dxa" w:w="696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Client is at risk of further exploitation. Educational development disrupted. No independent source of income. Family pressure to maintain the arrangement. Client shows signs of emotional distress but no immediate physical danger.</w:t>
            </w:r>
          </w:p>
        </w:tc>
      </w:tr>
      <w:tr>
        <w:tc>
          <w:tcPr>
            <w:tcW w:type="dxa" w:w="24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Plan of Action</w:t>
            </w:r>
          </w:p>
        </w:tc>
        <w:tc>
          <w:tcPr>
            <w:tcW w:type="dxa" w:w="696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1) Psychosocial counseling for Maria and family engagement, 2) Legal consultation on child protection options, 3) Coordinate with DepEd for educational reintegration, 4) Assess eligibility for livelihood assistance, 5) Regular MDT case conference monthly.</w:t>
            </w:r>
          </w:p>
        </w:tc>
      </w:tr>
    </w:tbl>
    <w:p>
      <w:pPr>
        <w:pStyle w:val="Heading2"/>
        <w:spacing w:after="120" w:before="280"/>
      </w:pPr>
      <w:r>
        <w:rPr>
          <w:rFonts w:ascii="Calibri" w:cs="Calibri" w:eastAsia="Calibri" w:hAnsi="Calibri"/>
          <w:b/>
          <w:bCs/>
          <w:color w:val="028090"/>
          <w:sz w:val="26"/>
          <w:szCs w:val="26"/>
        </w:rPr>
        <w:t xml:space="preserve">Services to 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400"/>
        <w:gridCol w:w="2960"/>
      </w:tblGrid>
      <w:tr>
        <w:trPr>
          <w:tblHeader/>
        </w:trPr>
        <w:tc>
          <w:tcPr>
            <w:tcW w:type="dxa" w:w="2400"/>
            <w:tcBorders>
              <w:top w:val="single" w:color="B4C6D9" w:sz="1"/>
              <w:left w:val="single" w:color="B4C6D9" w:sz="1"/>
              <w:bottom w:val="single" w:color="B4C6D9" w:sz="1"/>
              <w:right w:val="single" w:color="B4C6D9" w:sz="1"/>
            </w:tcBorders>
            <w:shd w:fill="0B3D4E"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Service Type</w:t>
            </w:r>
          </w:p>
        </w:tc>
        <w:tc>
          <w:tcPr>
            <w:tcW w:type="dxa" w:w="1600"/>
            <w:tcBorders>
              <w:top w:val="single" w:color="B4C6D9" w:sz="1"/>
              <w:left w:val="single" w:color="B4C6D9" w:sz="1"/>
              <w:bottom w:val="single" w:color="B4C6D9" w:sz="1"/>
              <w:right w:val="single" w:color="B4C6D9" w:sz="1"/>
            </w:tcBorders>
            <w:shd w:fill="0B3D4E"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Amount</w:t>
            </w:r>
          </w:p>
        </w:tc>
        <w:tc>
          <w:tcPr>
            <w:tcW w:type="dxa" w:w="2400"/>
            <w:tcBorders>
              <w:top w:val="single" w:color="B4C6D9" w:sz="1"/>
              <w:left w:val="single" w:color="B4C6D9" w:sz="1"/>
              <w:bottom w:val="single" w:color="B4C6D9" w:sz="1"/>
              <w:right w:val="single" w:color="B4C6D9" w:sz="1"/>
            </w:tcBorders>
            <w:shd w:fill="0B3D4E"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Date</w:t>
            </w:r>
          </w:p>
        </w:tc>
        <w:tc>
          <w:tcPr>
            <w:tcW w:type="dxa" w:w="2960"/>
            <w:tcBorders>
              <w:top w:val="single" w:color="B4C6D9" w:sz="1"/>
              <w:left w:val="single" w:color="B4C6D9" w:sz="1"/>
              <w:bottom w:val="single" w:color="B4C6D9" w:sz="1"/>
              <w:right w:val="single" w:color="B4C6D9" w:sz="1"/>
            </w:tcBorders>
            <w:shd w:fill="0B3D4E"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Provider</w:t>
            </w:r>
          </w:p>
        </w:tc>
      </w:tr>
      <w:tr>
        <w:tc>
          <w:tcPr>
            <w:tcW w:type="dxa" w:w="24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Psychosocial Counseling</w:t>
            </w:r>
          </w:p>
        </w:tc>
        <w:tc>
          <w:tcPr>
            <w:tcW w:type="dxa" w:w="16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
            </w:r>
          </w:p>
        </w:tc>
        <w:tc>
          <w:tcPr>
            <w:tcW w:type="dxa" w:w="24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July 16, 2026</w:t>
            </w:r>
          </w:p>
        </w:tc>
        <w:tc>
          <w:tcPr>
            <w:tcW w:type="dxa" w:w="296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MSW Elena Cruz, DSWD-CAR</w:t>
            </w:r>
          </w:p>
        </w:tc>
      </w:tr>
      <w:tr>
        <w:tc>
          <w:tcPr>
            <w:tcW w:type="dxa" w:w="24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Legal Consultation</w:t>
            </w:r>
          </w:p>
        </w:tc>
        <w:tc>
          <w:tcPr>
            <w:tcW w:type="dxa" w:w="16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
            </w:r>
          </w:p>
        </w:tc>
        <w:tc>
          <w:tcPr>
            <w:tcW w:type="dxa" w:w="24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July 18, 2026</w:t>
            </w:r>
          </w:p>
        </w:tc>
        <w:tc>
          <w:tcPr>
            <w:tcW w:type="dxa" w:w="296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PAO Atty. Garcia</w:t>
            </w:r>
          </w:p>
        </w:tc>
      </w:tr>
      <w:tr>
        <w:tc>
          <w:tcPr>
            <w:tcW w:type="dxa" w:w="24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Educational Assistance</w:t>
            </w:r>
          </w:p>
        </w:tc>
        <w:tc>
          <w:tcPr>
            <w:tcW w:type="dxa" w:w="16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5,000</w:t>
            </w:r>
          </w:p>
        </w:tc>
        <w:tc>
          <w:tcPr>
            <w:tcW w:type="dxa" w:w="24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July 20, 2026</w:t>
            </w:r>
          </w:p>
        </w:tc>
        <w:tc>
          <w:tcPr>
            <w:tcW w:type="dxa" w:w="296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DepEd Tabuk Division</w:t>
            </w:r>
          </w:p>
        </w:tc>
      </w:tr>
    </w:tbl>
    <w:p>
      <w:pPr>
        <w:pStyle w:val="Heading2"/>
        <w:spacing w:after="120" w:before="280"/>
      </w:pPr>
      <w:r>
        <w:rPr>
          <w:rFonts w:ascii="Calibri" w:cs="Calibri" w:eastAsia="Calibri" w:hAnsi="Calibri"/>
          <w:b/>
          <w:bCs/>
          <w:color w:val="028090"/>
          <w:sz w:val="26"/>
          <w:szCs w:val="26"/>
        </w:rPr>
        <w:t xml:space="preserve">Progress Note to 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4C6D9" w:sz="1"/>
              <w:left w:val="single" w:color="B4C6D9" w:sz="1"/>
              <w:bottom w:val="single" w:color="B4C6D9" w:sz="1"/>
              <w:right w:val="single" w:color="B4C6D9" w:sz="1"/>
            </w:tcBorders>
            <w:shd w:fill="0B3D4E"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Field</w:t>
            </w:r>
          </w:p>
        </w:tc>
        <w:tc>
          <w:tcPr>
            <w:tcW w:type="dxa" w:w="6960"/>
            <w:tcBorders>
              <w:top w:val="single" w:color="B4C6D9" w:sz="1"/>
              <w:left w:val="single" w:color="B4C6D9" w:sz="1"/>
              <w:bottom w:val="single" w:color="B4C6D9" w:sz="1"/>
              <w:right w:val="single" w:color="B4C6D9" w:sz="1"/>
            </w:tcBorders>
            <w:shd w:fill="0B3D4E"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Value</w:t>
            </w:r>
          </w:p>
        </w:tc>
      </w:tr>
      <w:tr>
        <w:tc>
          <w:tcPr>
            <w:tcW w:type="dxa" w:w="24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Note Type</w:t>
            </w:r>
          </w:p>
        </w:tc>
        <w:tc>
          <w:tcPr>
            <w:tcW w:type="dxa" w:w="696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Progress</w:t>
            </w:r>
          </w:p>
        </w:tc>
      </w:tr>
      <w:tr>
        <w:tc>
          <w:tcPr>
            <w:tcW w:type="dxa" w:w="24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Content</w:t>
            </w:r>
          </w:p>
        </w:tc>
        <w:tc>
          <w:tcPr>
            <w:tcW w:type="dxa" w:w="696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Conducted initial psychosocial session with Maria. She expressed relief at being able to talk about her situation. She confirmed the union was arranged by her parents due to family debt. Maria is motivated to return to school. Recommend continued counseling and coordination with family for consent to educational reintegration.</w:t>
            </w:r>
          </w:p>
        </w:tc>
      </w:tr>
      <w:tr>
        <w:tc>
          <w:tcPr>
            <w:tcW w:type="dxa" w:w="24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Action Taken</w:t>
            </w:r>
          </w:p>
        </w:tc>
        <w:tc>
          <w:tcPr>
            <w:tcW w:type="dxa" w:w="696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Scheduled follow-up counseling session for July 23. Referred to PAO for legal options. Contacted DepEd Tabuk for enrollment procedures.</w:t>
            </w:r>
          </w:p>
        </w:tc>
      </w:tr>
      <w:tr>
        <w:tc>
          <w:tcPr>
            <w:tcW w:type="dxa" w:w="24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Next Steps</w:t>
            </w:r>
          </w:p>
        </w:tc>
        <w:tc>
          <w:tcPr>
            <w:tcW w:type="dxa" w:w="696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Family engagement session with parents on July 25. MDT case conference scheduled for August 1. Follow up on DepEd enrollment status.</w:t>
            </w:r>
          </w:p>
        </w:tc>
      </w:tr>
    </w:tbl>
    <w:p>
      <w:pPr>
        <w:pStyle w:val="Heading2"/>
        <w:spacing w:after="120" w:before="280"/>
      </w:pPr>
      <w:r>
        <w:rPr>
          <w:rFonts w:ascii="Calibri" w:cs="Calibri" w:eastAsia="Calibri" w:hAnsi="Calibri"/>
          <w:b/>
          <w:bCs/>
          <w:color w:val="028090"/>
          <w:sz w:val="26"/>
          <w:szCs w:val="26"/>
        </w:rPr>
        <w:t xml:space="preserve">Family 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000"/>
        <w:gridCol w:w="1200"/>
        <w:gridCol w:w="2960"/>
      </w:tblGrid>
      <w:tr>
        <w:trPr>
          <w:tblHeader/>
        </w:trPr>
        <w:tc>
          <w:tcPr>
            <w:tcW w:type="dxa" w:w="2400"/>
            <w:tcBorders>
              <w:top w:val="single" w:color="B4C6D9" w:sz="1"/>
              <w:left w:val="single" w:color="B4C6D9" w:sz="1"/>
              <w:bottom w:val="single" w:color="B4C6D9" w:sz="1"/>
              <w:right w:val="single" w:color="B4C6D9" w:sz="1"/>
            </w:tcBorders>
            <w:shd w:fill="0B3D4E"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Name</w:t>
            </w:r>
          </w:p>
        </w:tc>
        <w:tc>
          <w:tcPr>
            <w:tcW w:type="dxa" w:w="1800"/>
            <w:tcBorders>
              <w:top w:val="single" w:color="B4C6D9" w:sz="1"/>
              <w:left w:val="single" w:color="B4C6D9" w:sz="1"/>
              <w:bottom w:val="single" w:color="B4C6D9" w:sz="1"/>
              <w:right w:val="single" w:color="B4C6D9" w:sz="1"/>
            </w:tcBorders>
            <w:shd w:fill="0B3D4E"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Relationship</w:t>
            </w:r>
          </w:p>
        </w:tc>
        <w:tc>
          <w:tcPr>
            <w:tcW w:type="dxa" w:w="1000"/>
            <w:tcBorders>
              <w:top w:val="single" w:color="B4C6D9" w:sz="1"/>
              <w:left w:val="single" w:color="B4C6D9" w:sz="1"/>
              <w:bottom w:val="single" w:color="B4C6D9" w:sz="1"/>
              <w:right w:val="single" w:color="B4C6D9" w:sz="1"/>
            </w:tcBorders>
            <w:shd w:fill="0B3D4E"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Age</w:t>
            </w:r>
          </w:p>
        </w:tc>
        <w:tc>
          <w:tcPr>
            <w:tcW w:type="dxa" w:w="1200"/>
            <w:tcBorders>
              <w:top w:val="single" w:color="B4C6D9" w:sz="1"/>
              <w:left w:val="single" w:color="B4C6D9" w:sz="1"/>
              <w:bottom w:val="single" w:color="B4C6D9" w:sz="1"/>
              <w:right w:val="single" w:color="B4C6D9" w:sz="1"/>
            </w:tcBorders>
            <w:shd w:fill="0B3D4E"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Sex</w:t>
            </w:r>
          </w:p>
        </w:tc>
        <w:tc>
          <w:tcPr>
            <w:tcW w:type="dxa" w:w="2960"/>
            <w:tcBorders>
              <w:top w:val="single" w:color="B4C6D9" w:sz="1"/>
              <w:left w:val="single" w:color="B4C6D9" w:sz="1"/>
              <w:bottom w:val="single" w:color="B4C6D9" w:sz="1"/>
              <w:right w:val="single" w:color="B4C6D9" w:sz="1"/>
            </w:tcBorders>
            <w:shd w:fill="0B3D4E"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Occupation</w:t>
            </w:r>
          </w:p>
        </w:tc>
      </w:tr>
      <w:tr>
        <w:tc>
          <w:tcPr>
            <w:tcW w:type="dxa" w:w="24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Pedro Santos</w:t>
            </w:r>
          </w:p>
        </w:tc>
        <w:tc>
          <w:tcPr>
            <w:tcW w:type="dxa" w:w="18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Father</w:t>
            </w:r>
          </w:p>
        </w:tc>
        <w:tc>
          <w:tcPr>
            <w:tcW w:type="dxa" w:w="10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48</w:t>
            </w:r>
          </w:p>
        </w:tc>
        <w:tc>
          <w:tcPr>
            <w:tcW w:type="dxa" w:w="12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Male</w:t>
            </w:r>
          </w:p>
        </w:tc>
        <w:tc>
          <w:tcPr>
            <w:tcW w:type="dxa" w:w="296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Farmer</w:t>
            </w:r>
          </w:p>
        </w:tc>
      </w:tr>
      <w:tr>
        <w:tc>
          <w:tcPr>
            <w:tcW w:type="dxa" w:w="24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Rosa Santos</w:t>
            </w:r>
          </w:p>
        </w:tc>
        <w:tc>
          <w:tcPr>
            <w:tcW w:type="dxa" w:w="18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Mother</w:t>
            </w:r>
          </w:p>
        </w:tc>
        <w:tc>
          <w:tcPr>
            <w:tcW w:type="dxa" w:w="10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45</w:t>
            </w:r>
          </w:p>
        </w:tc>
        <w:tc>
          <w:tcPr>
            <w:tcW w:type="dxa" w:w="12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Female</w:t>
            </w:r>
          </w:p>
        </w:tc>
        <w:tc>
          <w:tcPr>
            <w:tcW w:type="dxa" w:w="296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Housewife</w:t>
            </w:r>
          </w:p>
        </w:tc>
      </w:tr>
      <w:tr>
        <w:tc>
          <w:tcPr>
            <w:tcW w:type="dxa" w:w="24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Juan Santos</w:t>
            </w:r>
          </w:p>
        </w:tc>
        <w:tc>
          <w:tcPr>
            <w:tcW w:type="dxa" w:w="18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Brother</w:t>
            </w:r>
          </w:p>
        </w:tc>
        <w:tc>
          <w:tcPr>
            <w:tcW w:type="dxa" w:w="10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18</w:t>
            </w:r>
          </w:p>
        </w:tc>
        <w:tc>
          <w:tcPr>
            <w:tcW w:type="dxa" w:w="12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Male</w:t>
            </w:r>
          </w:p>
        </w:tc>
        <w:tc>
          <w:tcPr>
            <w:tcW w:type="dxa" w:w="296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Student (Grade 12)</w:t>
            </w:r>
          </w:p>
        </w:tc>
      </w:tr>
      <w:tr>
        <w:tc>
          <w:tcPr>
            <w:tcW w:type="dxa" w:w="24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Ana Santos</w:t>
            </w:r>
          </w:p>
        </w:tc>
        <w:tc>
          <w:tcPr>
            <w:tcW w:type="dxa" w:w="18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Sister</w:t>
            </w:r>
          </w:p>
        </w:tc>
        <w:tc>
          <w:tcPr>
            <w:tcW w:type="dxa" w:w="10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12</w:t>
            </w:r>
          </w:p>
        </w:tc>
        <w:tc>
          <w:tcPr>
            <w:tcW w:type="dxa" w:w="12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Female</w:t>
            </w:r>
          </w:p>
        </w:tc>
        <w:tc>
          <w:tcPr>
            <w:tcW w:type="dxa" w:w="296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Student (Grade 6)</w:t>
            </w:r>
          </w:p>
        </w:tc>
      </w:tr>
    </w:tbl>
    <w:p>
      <w:r>
        <w:br w:type="page"/>
      </w:r>
    </w:p>
    <w:p>
      <w:pPr>
        <w:pStyle w:val="Heading1"/>
        <w:spacing w:after="160" w:before="360"/>
      </w:pPr>
      <w:r>
        <w:rPr>
          <w:rFonts w:ascii="Calibri" w:cs="Calibri" w:eastAsia="Calibri" w:hAnsi="Calibri"/>
          <w:b/>
          <w:bCs/>
          <w:color w:val="0B3D4E"/>
          <w:sz w:val="30"/>
          <w:szCs w:val="30"/>
        </w:rPr>
        <w:t xml:space="preserve">CASE B — "Ana"</w:t>
      </w:r>
    </w:p>
    <w:p>
      <w:pPr>
        <w:spacing w:after="60" w:before="60"/>
      </w:pPr>
      <w:r>
        <w:rPr>
          <w:rFonts w:ascii="Calibri" w:cs="Calibri" w:eastAsia="Calibri" w:hAnsi="Calibri"/>
          <w:b w:val="false"/>
          <w:bCs w:val="false"/>
          <w:i/>
          <w:iCs/>
          <w:color w:val="999999"/>
          <w:sz w:val="22"/>
          <w:szCs w:val="22"/>
        </w:rPr>
        <w:t xml:space="preserve">(Distribute to Groups 2, 4, 6)</w:t>
      </w:r>
    </w:p>
    <w:p>
      <w:pPr>
        <w:pStyle w:val="Heading2"/>
        <w:spacing w:after="120" w:before="280"/>
      </w:pPr>
      <w:r>
        <w:rPr>
          <w:rFonts w:ascii="Calibri" w:cs="Calibri" w:eastAsia="Calibri" w:hAnsi="Calibri"/>
          <w:b/>
          <w:bCs/>
          <w:color w:val="028090"/>
          <w:sz w:val="26"/>
          <w:szCs w:val="26"/>
        </w:rPr>
        <w:t xml:space="preserve">Scenario</w:t>
      </w:r>
    </w:p>
    <w:p>
      <w:pPr>
        <w:spacing w:after="60" w:before="60"/>
      </w:pPr>
      <w:r>
        <w:rPr>
          <w:rFonts w:ascii="Calibri" w:cs="Calibri" w:eastAsia="Calibri" w:hAnsi="Calibri"/>
          <w:b w:val="false"/>
          <w:bCs w:val="false"/>
          <w:i w:val="false"/>
          <w:iCs w:val="false"/>
          <w:color w:val="000000"/>
          <w:sz w:val="22"/>
          <w:szCs w:val="22"/>
        </w:rPr>
        <w:t xml:space="preserve">Ana Bautista, 17 years old, walked in to the DSWD Field Office in Rizal, Kalinga on July 14, 2026. She appeared distressed and requested help. Upon interview, Ana disclosed that her family is pressuring her to live with a 30-year-old man from a neighboring barangay as part of a "peace agreement" between two families involved in a long-standing land dispute.</w:t>
      </w:r>
    </w:p>
    <w:p>
      <w:pPr>
        <w:spacing w:after="60" w:before="60"/>
      </w:pPr>
      <w:r>
        <w:rPr>
          <w:rFonts w:ascii="Calibri" w:cs="Calibri" w:eastAsia="Calibri" w:hAnsi="Calibri"/>
          <w:b w:val="false"/>
          <w:bCs w:val="false"/>
          <w:i w:val="false"/>
          <w:iCs w:val="false"/>
          <w:color w:val="000000"/>
          <w:sz w:val="22"/>
          <w:szCs w:val="22"/>
        </w:rPr>
        <w:t xml:space="preserve">Ana refuses the arrangement and fears physical harm if she returns home. She has no relatives in the area willing to take her in. She is currently in Grade 11 at Rizal National High School and wants to continue her education. She appears anxious but physically unharmed.</w:t>
      </w:r>
    </w:p>
    <w:p>
      <w:pPr>
        <w:pStyle w:val="Heading2"/>
        <w:spacing w:after="120" w:before="280"/>
      </w:pPr>
      <w:r>
        <w:rPr>
          <w:rFonts w:ascii="Calibri" w:cs="Calibri" w:eastAsia="Calibri" w:hAnsi="Calibri"/>
          <w:b/>
          <w:bCs/>
          <w:color w:val="028090"/>
          <w:sz w:val="26"/>
          <w:szCs w:val="26"/>
        </w:rPr>
        <w:t xml:space="preserve">Client Information (for data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4C6D9" w:sz="1"/>
              <w:left w:val="single" w:color="B4C6D9" w:sz="1"/>
              <w:bottom w:val="single" w:color="B4C6D9" w:sz="1"/>
              <w:right w:val="single" w:color="B4C6D9" w:sz="1"/>
            </w:tcBorders>
            <w:shd w:fill="0B3D4E"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Field</w:t>
            </w:r>
          </w:p>
        </w:tc>
        <w:tc>
          <w:tcPr>
            <w:tcW w:type="dxa" w:w="6960"/>
            <w:tcBorders>
              <w:top w:val="single" w:color="B4C6D9" w:sz="1"/>
              <w:left w:val="single" w:color="B4C6D9" w:sz="1"/>
              <w:bottom w:val="single" w:color="B4C6D9" w:sz="1"/>
              <w:right w:val="single" w:color="B4C6D9" w:sz="1"/>
            </w:tcBorders>
            <w:shd w:fill="0B3D4E"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Value</w:t>
            </w:r>
          </w:p>
        </w:tc>
      </w:tr>
      <w:tr>
        <w:tc>
          <w:tcPr>
            <w:tcW w:type="dxa" w:w="24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Last Name</w:t>
            </w:r>
          </w:p>
        </w:tc>
        <w:tc>
          <w:tcPr>
            <w:tcW w:type="dxa" w:w="696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Bautista</w:t>
            </w:r>
          </w:p>
        </w:tc>
      </w:tr>
      <w:tr>
        <w:tc>
          <w:tcPr>
            <w:tcW w:type="dxa" w:w="24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First Name</w:t>
            </w:r>
          </w:p>
        </w:tc>
        <w:tc>
          <w:tcPr>
            <w:tcW w:type="dxa" w:w="696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Ana</w:t>
            </w:r>
          </w:p>
        </w:tc>
      </w:tr>
      <w:tr>
        <w:tc>
          <w:tcPr>
            <w:tcW w:type="dxa" w:w="24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Middle Initial</w:t>
            </w:r>
          </w:p>
        </w:tc>
        <w:tc>
          <w:tcPr>
            <w:tcW w:type="dxa" w:w="696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L</w:t>
            </w:r>
          </w:p>
        </w:tc>
      </w:tr>
      <w:tr>
        <w:tc>
          <w:tcPr>
            <w:tcW w:type="dxa" w:w="24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Birthdate</w:t>
            </w:r>
          </w:p>
        </w:tc>
        <w:tc>
          <w:tcPr>
            <w:tcW w:type="dxa" w:w="696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November 8, 2008</w:t>
            </w:r>
          </w:p>
        </w:tc>
      </w:tr>
      <w:tr>
        <w:tc>
          <w:tcPr>
            <w:tcW w:type="dxa" w:w="24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Sex</w:t>
            </w:r>
          </w:p>
        </w:tc>
        <w:tc>
          <w:tcPr>
            <w:tcW w:type="dxa" w:w="696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Female</w:t>
            </w:r>
          </w:p>
        </w:tc>
      </w:tr>
      <w:tr>
        <w:tc>
          <w:tcPr>
            <w:tcW w:type="dxa" w:w="24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Age</w:t>
            </w:r>
          </w:p>
        </w:tc>
        <w:tc>
          <w:tcPr>
            <w:tcW w:type="dxa" w:w="696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17</w:t>
            </w:r>
          </w:p>
        </w:tc>
      </w:tr>
      <w:tr>
        <w:tc>
          <w:tcPr>
            <w:tcW w:type="dxa" w:w="24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Civil Status</w:t>
            </w:r>
          </w:p>
        </w:tc>
        <w:tc>
          <w:tcPr>
            <w:tcW w:type="dxa" w:w="696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Single</w:t>
            </w:r>
          </w:p>
        </w:tc>
      </w:tr>
      <w:tr>
        <w:tc>
          <w:tcPr>
            <w:tcW w:type="dxa" w:w="24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Religion</w:t>
            </w:r>
          </w:p>
        </w:tc>
        <w:tc>
          <w:tcPr>
            <w:tcW w:type="dxa" w:w="696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Protestant</w:t>
            </w:r>
          </w:p>
        </w:tc>
      </w:tr>
      <w:tr>
        <w:tc>
          <w:tcPr>
            <w:tcW w:type="dxa" w:w="24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Education</w:t>
            </w:r>
          </w:p>
        </w:tc>
        <w:tc>
          <w:tcPr>
            <w:tcW w:type="dxa" w:w="696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Grade 11 (current)</w:t>
            </w:r>
          </w:p>
        </w:tc>
      </w:tr>
      <w:tr>
        <w:tc>
          <w:tcPr>
            <w:tcW w:type="dxa" w:w="24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Phone</w:t>
            </w:r>
          </w:p>
        </w:tc>
        <w:tc>
          <w:tcPr>
            <w:tcW w:type="dxa" w:w="696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0928-XXX-XXXX</w:t>
            </w:r>
          </w:p>
        </w:tc>
      </w:tr>
      <w:tr>
        <w:tc>
          <w:tcPr>
            <w:tcW w:type="dxa" w:w="24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Region</w:t>
            </w:r>
          </w:p>
        </w:tc>
        <w:tc>
          <w:tcPr>
            <w:tcW w:type="dxa" w:w="696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CAR (Cordillera Administrative Region)</w:t>
            </w:r>
          </w:p>
        </w:tc>
      </w:tr>
      <w:tr>
        <w:tc>
          <w:tcPr>
            <w:tcW w:type="dxa" w:w="24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Province</w:t>
            </w:r>
          </w:p>
        </w:tc>
        <w:tc>
          <w:tcPr>
            <w:tcW w:type="dxa" w:w="696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Kalinga</w:t>
            </w:r>
          </w:p>
        </w:tc>
      </w:tr>
      <w:tr>
        <w:tc>
          <w:tcPr>
            <w:tcW w:type="dxa" w:w="24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City/Municipality</w:t>
            </w:r>
          </w:p>
        </w:tc>
        <w:tc>
          <w:tcPr>
            <w:tcW w:type="dxa" w:w="696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Rizal</w:t>
            </w:r>
          </w:p>
        </w:tc>
      </w:tr>
      <w:tr>
        <w:tc>
          <w:tcPr>
            <w:tcW w:type="dxa" w:w="24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Barangay</w:t>
            </w:r>
          </w:p>
        </w:tc>
        <w:tc>
          <w:tcPr>
            <w:tcW w:type="dxa" w:w="696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Liwan</w:t>
            </w:r>
          </w:p>
        </w:tc>
      </w:tr>
      <w:tr>
        <w:tc>
          <w:tcPr>
            <w:tcW w:type="dxa" w:w="24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Classification</w:t>
            </w:r>
          </w:p>
        </w:tc>
        <w:tc>
          <w:tcPr>
            <w:tcW w:type="dxa" w:w="696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Child</w:t>
            </w:r>
          </w:p>
        </w:tc>
      </w:tr>
      <w:tr>
        <w:tc>
          <w:tcPr>
            <w:tcW w:type="dxa" w:w="24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CEFMU Type</w:t>
            </w:r>
          </w:p>
        </w:tc>
        <w:tc>
          <w:tcPr>
            <w:tcW w:type="dxa" w:w="696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Forced Union (peace-pact arranged)</w:t>
            </w:r>
          </w:p>
        </w:tc>
      </w:tr>
      <w:tr>
        <w:tc>
          <w:tcPr>
            <w:tcW w:type="dxa" w:w="24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Admission Mode</w:t>
            </w:r>
          </w:p>
        </w:tc>
        <w:tc>
          <w:tcPr>
            <w:tcW w:type="dxa" w:w="696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Walk-in</w:t>
            </w:r>
          </w:p>
        </w:tc>
      </w:tr>
      <w:tr>
        <w:tc>
          <w:tcPr>
            <w:tcW w:type="dxa" w:w="24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Referred By</w:t>
            </w:r>
          </w:p>
        </w:tc>
        <w:tc>
          <w:tcPr>
            <w:tcW w:type="dxa" w:w="696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Self-referral</w:t>
            </w:r>
          </w:p>
        </w:tc>
      </w:tr>
      <w:tr>
        <w:tc>
          <w:tcPr>
            <w:tcW w:type="dxa" w:w="24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Referral Date</w:t>
            </w:r>
          </w:p>
        </w:tc>
        <w:tc>
          <w:tcPr>
            <w:tcW w:type="dxa" w:w="696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July 14, 2026</w:t>
            </w:r>
          </w:p>
        </w:tc>
      </w:tr>
      <w:tr>
        <w:tc>
          <w:tcPr>
            <w:tcW w:type="dxa" w:w="24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LGU Code</w:t>
            </w:r>
          </w:p>
        </w:tc>
        <w:tc>
          <w:tcPr>
            <w:tcW w:type="dxa" w:w="696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KALINGA-001</w:t>
            </w:r>
          </w:p>
        </w:tc>
      </w:tr>
    </w:tbl>
    <w:p>
      <w:pPr>
        <w:pStyle w:val="Heading2"/>
        <w:spacing w:after="120" w:before="280"/>
      </w:pPr>
      <w:r>
        <w:rPr>
          <w:rFonts w:ascii="Calibri" w:cs="Calibri" w:eastAsia="Calibri" w:hAnsi="Calibri"/>
          <w:b/>
          <w:bCs/>
          <w:color w:val="028090"/>
          <w:sz w:val="26"/>
          <w:szCs w:val="26"/>
        </w:rPr>
        <w:t xml:space="preserve">Assessment (for data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4C6D9" w:sz="1"/>
              <w:left w:val="single" w:color="B4C6D9" w:sz="1"/>
              <w:bottom w:val="single" w:color="B4C6D9" w:sz="1"/>
              <w:right w:val="single" w:color="B4C6D9" w:sz="1"/>
            </w:tcBorders>
            <w:shd w:fill="0B3D4E"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Field</w:t>
            </w:r>
          </w:p>
        </w:tc>
        <w:tc>
          <w:tcPr>
            <w:tcW w:type="dxa" w:w="6960"/>
            <w:tcBorders>
              <w:top w:val="single" w:color="B4C6D9" w:sz="1"/>
              <w:left w:val="single" w:color="B4C6D9" w:sz="1"/>
              <w:bottom w:val="single" w:color="B4C6D9" w:sz="1"/>
              <w:right w:val="single" w:color="B4C6D9" w:sz="1"/>
            </w:tcBorders>
            <w:shd w:fill="0B3D4E"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Value</w:t>
            </w:r>
          </w:p>
        </w:tc>
      </w:tr>
      <w:tr>
        <w:tc>
          <w:tcPr>
            <w:tcW w:type="dxa" w:w="24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Presenting Problem</w:t>
            </w:r>
          </w:p>
        </w:tc>
        <w:tc>
          <w:tcPr>
            <w:tcW w:type="dxa" w:w="696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Client is a 17-year-old girl being forced into a union with a 30-year-old man as part of a family peace agreement over a land dispute. Client fears physical harm if she returns home and refuses the arrangement. She has no safe living arrangement.</w:t>
            </w:r>
          </w:p>
        </w:tc>
      </w:tr>
      <w:tr>
        <w:tc>
          <w:tcPr>
            <w:tcW w:type="dxa" w:w="24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Initial Assessment</w:t>
            </w:r>
          </w:p>
        </w:tc>
        <w:tc>
          <w:tcPr>
            <w:tcW w:type="dxa" w:w="696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Client is at immediate risk of forced union and potential physical harm. Requires temporary shelter placement. Educational continuity must be ensured. The situation involves cultural practices (peace-pact tradition) that require sensitive community engagement. No immediate physical injuries observed but client is highly anxious.</w:t>
            </w:r>
          </w:p>
        </w:tc>
      </w:tr>
      <w:tr>
        <w:tc>
          <w:tcPr>
            <w:tcW w:type="dxa" w:w="24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Plan of Action</w:t>
            </w:r>
          </w:p>
        </w:tc>
        <w:tc>
          <w:tcPr>
            <w:tcW w:type="dxa" w:w="696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1) Immediate temporary shelter placement, 2) Medical/health checkup at RHU Rizal, 3) Psychosocial support and trauma-informed counseling, 4) Coordinate with PNP-WCPD for protective measures, 5) Community engagement through tribal elders on alternative dispute resolution, 6) Ensure continued enrollment at Rizal NHS.</w:t>
            </w:r>
          </w:p>
        </w:tc>
      </w:tr>
    </w:tbl>
    <w:p>
      <w:pPr>
        <w:pStyle w:val="Heading2"/>
        <w:spacing w:after="120" w:before="280"/>
      </w:pPr>
      <w:r>
        <w:rPr>
          <w:rFonts w:ascii="Calibri" w:cs="Calibri" w:eastAsia="Calibri" w:hAnsi="Calibri"/>
          <w:b/>
          <w:bCs/>
          <w:color w:val="028090"/>
          <w:sz w:val="26"/>
          <w:szCs w:val="26"/>
        </w:rPr>
        <w:t xml:space="preserve">Services to 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400"/>
        <w:gridCol w:w="2960"/>
      </w:tblGrid>
      <w:tr>
        <w:trPr>
          <w:tblHeader/>
        </w:trPr>
        <w:tc>
          <w:tcPr>
            <w:tcW w:type="dxa" w:w="2400"/>
            <w:tcBorders>
              <w:top w:val="single" w:color="B4C6D9" w:sz="1"/>
              <w:left w:val="single" w:color="B4C6D9" w:sz="1"/>
              <w:bottom w:val="single" w:color="B4C6D9" w:sz="1"/>
              <w:right w:val="single" w:color="B4C6D9" w:sz="1"/>
            </w:tcBorders>
            <w:shd w:fill="0B3D4E"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Service Type</w:t>
            </w:r>
          </w:p>
        </w:tc>
        <w:tc>
          <w:tcPr>
            <w:tcW w:type="dxa" w:w="1600"/>
            <w:tcBorders>
              <w:top w:val="single" w:color="B4C6D9" w:sz="1"/>
              <w:left w:val="single" w:color="B4C6D9" w:sz="1"/>
              <w:bottom w:val="single" w:color="B4C6D9" w:sz="1"/>
              <w:right w:val="single" w:color="B4C6D9" w:sz="1"/>
            </w:tcBorders>
            <w:shd w:fill="0B3D4E"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Amount</w:t>
            </w:r>
          </w:p>
        </w:tc>
        <w:tc>
          <w:tcPr>
            <w:tcW w:type="dxa" w:w="2400"/>
            <w:tcBorders>
              <w:top w:val="single" w:color="B4C6D9" w:sz="1"/>
              <w:left w:val="single" w:color="B4C6D9" w:sz="1"/>
              <w:bottom w:val="single" w:color="B4C6D9" w:sz="1"/>
              <w:right w:val="single" w:color="B4C6D9" w:sz="1"/>
            </w:tcBorders>
            <w:shd w:fill="0B3D4E"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Date</w:t>
            </w:r>
          </w:p>
        </w:tc>
        <w:tc>
          <w:tcPr>
            <w:tcW w:type="dxa" w:w="2960"/>
            <w:tcBorders>
              <w:top w:val="single" w:color="B4C6D9" w:sz="1"/>
              <w:left w:val="single" w:color="B4C6D9" w:sz="1"/>
              <w:bottom w:val="single" w:color="B4C6D9" w:sz="1"/>
              <w:right w:val="single" w:color="B4C6D9" w:sz="1"/>
            </w:tcBorders>
            <w:shd w:fill="0B3D4E"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Provider</w:t>
            </w:r>
          </w:p>
        </w:tc>
      </w:tr>
      <w:tr>
        <w:tc>
          <w:tcPr>
            <w:tcW w:type="dxa" w:w="24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Temporary Shelter</w:t>
            </w:r>
          </w:p>
        </w:tc>
        <w:tc>
          <w:tcPr>
            <w:tcW w:type="dxa" w:w="16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
            </w:r>
          </w:p>
        </w:tc>
        <w:tc>
          <w:tcPr>
            <w:tcW w:type="dxa" w:w="24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July 14, 2026</w:t>
            </w:r>
          </w:p>
        </w:tc>
        <w:tc>
          <w:tcPr>
            <w:tcW w:type="dxa" w:w="296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DSWD Halfway Home, Tabuk</w:t>
            </w:r>
          </w:p>
        </w:tc>
      </w:tr>
      <w:tr>
        <w:tc>
          <w:tcPr>
            <w:tcW w:type="dxa" w:w="24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Medical Checkup</w:t>
            </w:r>
          </w:p>
        </w:tc>
        <w:tc>
          <w:tcPr>
            <w:tcW w:type="dxa" w:w="16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
            </w:r>
          </w:p>
        </w:tc>
        <w:tc>
          <w:tcPr>
            <w:tcW w:type="dxa" w:w="24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July 15, 2026</w:t>
            </w:r>
          </w:p>
        </w:tc>
        <w:tc>
          <w:tcPr>
            <w:tcW w:type="dxa" w:w="296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RHU Rizal - Dr. Mendoza</w:t>
            </w:r>
          </w:p>
        </w:tc>
      </w:tr>
      <w:tr>
        <w:tc>
          <w:tcPr>
            <w:tcW w:type="dxa" w:w="24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Psychosocial Counseling</w:t>
            </w:r>
          </w:p>
        </w:tc>
        <w:tc>
          <w:tcPr>
            <w:tcW w:type="dxa" w:w="16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
            </w:r>
          </w:p>
        </w:tc>
        <w:tc>
          <w:tcPr>
            <w:tcW w:type="dxa" w:w="24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July 15, 2026</w:t>
            </w:r>
          </w:p>
        </w:tc>
        <w:tc>
          <w:tcPr>
            <w:tcW w:type="dxa" w:w="296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MSW Karen Wadan, DSWD-CAR</w:t>
            </w:r>
          </w:p>
        </w:tc>
      </w:tr>
      <w:tr>
        <w:tc>
          <w:tcPr>
            <w:tcW w:type="dxa" w:w="24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Protective Escort</w:t>
            </w:r>
          </w:p>
        </w:tc>
        <w:tc>
          <w:tcPr>
            <w:tcW w:type="dxa" w:w="16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
            </w:r>
          </w:p>
        </w:tc>
        <w:tc>
          <w:tcPr>
            <w:tcW w:type="dxa" w:w="24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July 14, 2026</w:t>
            </w:r>
          </w:p>
        </w:tc>
        <w:tc>
          <w:tcPr>
            <w:tcW w:type="dxa" w:w="296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PNP-WCPD Rizal Station</w:t>
            </w:r>
          </w:p>
        </w:tc>
      </w:tr>
    </w:tbl>
    <w:p>
      <w:pPr>
        <w:pStyle w:val="Heading2"/>
        <w:spacing w:after="120" w:before="280"/>
      </w:pPr>
      <w:r>
        <w:rPr>
          <w:rFonts w:ascii="Calibri" w:cs="Calibri" w:eastAsia="Calibri" w:hAnsi="Calibri"/>
          <w:b/>
          <w:bCs/>
          <w:color w:val="028090"/>
          <w:sz w:val="26"/>
          <w:szCs w:val="26"/>
        </w:rPr>
        <w:t xml:space="preserve">Progress Note to 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4C6D9" w:sz="1"/>
              <w:left w:val="single" w:color="B4C6D9" w:sz="1"/>
              <w:bottom w:val="single" w:color="B4C6D9" w:sz="1"/>
              <w:right w:val="single" w:color="B4C6D9" w:sz="1"/>
            </w:tcBorders>
            <w:shd w:fill="0B3D4E"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Field</w:t>
            </w:r>
          </w:p>
        </w:tc>
        <w:tc>
          <w:tcPr>
            <w:tcW w:type="dxa" w:w="6960"/>
            <w:tcBorders>
              <w:top w:val="single" w:color="B4C6D9" w:sz="1"/>
              <w:left w:val="single" w:color="B4C6D9" w:sz="1"/>
              <w:bottom w:val="single" w:color="B4C6D9" w:sz="1"/>
              <w:right w:val="single" w:color="B4C6D9" w:sz="1"/>
            </w:tcBorders>
            <w:shd w:fill="0B3D4E"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Value</w:t>
            </w:r>
          </w:p>
        </w:tc>
      </w:tr>
      <w:tr>
        <w:tc>
          <w:tcPr>
            <w:tcW w:type="dxa" w:w="24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Note Type</w:t>
            </w:r>
          </w:p>
        </w:tc>
        <w:tc>
          <w:tcPr>
            <w:tcW w:type="dxa" w:w="696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Progress</w:t>
            </w:r>
          </w:p>
        </w:tc>
      </w:tr>
      <w:tr>
        <w:tc>
          <w:tcPr>
            <w:tcW w:type="dxa" w:w="24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Content</w:t>
            </w:r>
          </w:p>
        </w:tc>
        <w:tc>
          <w:tcPr>
            <w:tcW w:type="dxa" w:w="696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Client received at DSWD FO Rizal at 10:30 AM. Conducted initial interview in private room. Ana is coherent and cooperative. She clearly stated her refusal of the forced arrangement and fear of her family. Coordinated immediate shelter placement. PNP-WCPD notified for protective escort to shelter. School principal contacted — will arrange remote submission of requirements for next week.</w:t>
            </w:r>
          </w:p>
        </w:tc>
      </w:tr>
      <w:tr>
        <w:tc>
          <w:tcPr>
            <w:tcW w:type="dxa" w:w="24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Action Taken</w:t>
            </w:r>
          </w:p>
        </w:tc>
        <w:tc>
          <w:tcPr>
            <w:tcW w:type="dxa" w:w="696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Placed client in DSWD Halfway Home, Tabuk City. Medical checkup scheduled for tomorrow. Notified PNP-WCPD Rizal. Contacted school principal for educational continuity plan.</w:t>
            </w:r>
          </w:p>
        </w:tc>
      </w:tr>
      <w:tr>
        <w:tc>
          <w:tcPr>
            <w:tcW w:type="dxa" w:w="24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Next Steps</w:t>
            </w:r>
          </w:p>
        </w:tc>
        <w:tc>
          <w:tcPr>
            <w:tcW w:type="dxa" w:w="696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MDT emergency case conference on July 17. Engage tribal elders through NCIP for community-level dialogue on alternative to forced union. Follow up medical results. Schedule comprehensive psychosocial assessment.</w:t>
            </w:r>
          </w:p>
        </w:tc>
      </w:tr>
    </w:tbl>
    <w:p>
      <w:pPr>
        <w:pStyle w:val="Heading2"/>
        <w:spacing w:after="120" w:before="280"/>
      </w:pPr>
      <w:r>
        <w:rPr>
          <w:rFonts w:ascii="Calibri" w:cs="Calibri" w:eastAsia="Calibri" w:hAnsi="Calibri"/>
          <w:b/>
          <w:bCs/>
          <w:color w:val="028090"/>
          <w:sz w:val="26"/>
          <w:szCs w:val="26"/>
        </w:rPr>
        <w:t xml:space="preserve">Family 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000"/>
        <w:gridCol w:w="1200"/>
        <w:gridCol w:w="2960"/>
      </w:tblGrid>
      <w:tr>
        <w:trPr>
          <w:tblHeader/>
        </w:trPr>
        <w:tc>
          <w:tcPr>
            <w:tcW w:type="dxa" w:w="2400"/>
            <w:tcBorders>
              <w:top w:val="single" w:color="B4C6D9" w:sz="1"/>
              <w:left w:val="single" w:color="B4C6D9" w:sz="1"/>
              <w:bottom w:val="single" w:color="B4C6D9" w:sz="1"/>
              <w:right w:val="single" w:color="B4C6D9" w:sz="1"/>
            </w:tcBorders>
            <w:shd w:fill="0B3D4E"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Name</w:t>
            </w:r>
          </w:p>
        </w:tc>
        <w:tc>
          <w:tcPr>
            <w:tcW w:type="dxa" w:w="1800"/>
            <w:tcBorders>
              <w:top w:val="single" w:color="B4C6D9" w:sz="1"/>
              <w:left w:val="single" w:color="B4C6D9" w:sz="1"/>
              <w:bottom w:val="single" w:color="B4C6D9" w:sz="1"/>
              <w:right w:val="single" w:color="B4C6D9" w:sz="1"/>
            </w:tcBorders>
            <w:shd w:fill="0B3D4E"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Relationship</w:t>
            </w:r>
          </w:p>
        </w:tc>
        <w:tc>
          <w:tcPr>
            <w:tcW w:type="dxa" w:w="1000"/>
            <w:tcBorders>
              <w:top w:val="single" w:color="B4C6D9" w:sz="1"/>
              <w:left w:val="single" w:color="B4C6D9" w:sz="1"/>
              <w:bottom w:val="single" w:color="B4C6D9" w:sz="1"/>
              <w:right w:val="single" w:color="B4C6D9" w:sz="1"/>
            </w:tcBorders>
            <w:shd w:fill="0B3D4E"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Age</w:t>
            </w:r>
          </w:p>
        </w:tc>
        <w:tc>
          <w:tcPr>
            <w:tcW w:type="dxa" w:w="1200"/>
            <w:tcBorders>
              <w:top w:val="single" w:color="B4C6D9" w:sz="1"/>
              <w:left w:val="single" w:color="B4C6D9" w:sz="1"/>
              <w:bottom w:val="single" w:color="B4C6D9" w:sz="1"/>
              <w:right w:val="single" w:color="B4C6D9" w:sz="1"/>
            </w:tcBorders>
            <w:shd w:fill="0B3D4E"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Sex</w:t>
            </w:r>
          </w:p>
        </w:tc>
        <w:tc>
          <w:tcPr>
            <w:tcW w:type="dxa" w:w="2960"/>
            <w:tcBorders>
              <w:top w:val="single" w:color="B4C6D9" w:sz="1"/>
              <w:left w:val="single" w:color="B4C6D9" w:sz="1"/>
              <w:bottom w:val="single" w:color="B4C6D9" w:sz="1"/>
              <w:right w:val="single" w:color="B4C6D9" w:sz="1"/>
            </w:tcBorders>
            <w:shd w:fill="0B3D4E"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Occupation</w:t>
            </w:r>
          </w:p>
        </w:tc>
      </w:tr>
      <w:tr>
        <w:tc>
          <w:tcPr>
            <w:tcW w:type="dxa" w:w="24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Ricardo Bautista</w:t>
            </w:r>
          </w:p>
        </w:tc>
        <w:tc>
          <w:tcPr>
            <w:tcW w:type="dxa" w:w="18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Father</w:t>
            </w:r>
          </w:p>
        </w:tc>
        <w:tc>
          <w:tcPr>
            <w:tcW w:type="dxa" w:w="10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52</w:t>
            </w:r>
          </w:p>
        </w:tc>
        <w:tc>
          <w:tcPr>
            <w:tcW w:type="dxa" w:w="12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Male</w:t>
            </w:r>
          </w:p>
        </w:tc>
        <w:tc>
          <w:tcPr>
            <w:tcW w:type="dxa" w:w="296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Farmer / Tribal leader</w:t>
            </w:r>
          </w:p>
        </w:tc>
      </w:tr>
      <w:tr>
        <w:tc>
          <w:tcPr>
            <w:tcW w:type="dxa" w:w="24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Lorna Bautista</w:t>
            </w:r>
          </w:p>
        </w:tc>
        <w:tc>
          <w:tcPr>
            <w:tcW w:type="dxa" w:w="18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Mother</w:t>
            </w:r>
          </w:p>
        </w:tc>
        <w:tc>
          <w:tcPr>
            <w:tcW w:type="dxa" w:w="10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49</w:t>
            </w:r>
          </w:p>
        </w:tc>
        <w:tc>
          <w:tcPr>
            <w:tcW w:type="dxa" w:w="12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Female</w:t>
            </w:r>
          </w:p>
        </w:tc>
        <w:tc>
          <w:tcPr>
            <w:tcW w:type="dxa" w:w="296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Vendor</w:t>
            </w:r>
          </w:p>
        </w:tc>
      </w:tr>
      <w:tr>
        <w:tc>
          <w:tcPr>
            <w:tcW w:type="dxa" w:w="24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Mark Bautista</w:t>
            </w:r>
          </w:p>
        </w:tc>
        <w:tc>
          <w:tcPr>
            <w:tcW w:type="dxa" w:w="18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Brother</w:t>
            </w:r>
          </w:p>
        </w:tc>
        <w:tc>
          <w:tcPr>
            <w:tcW w:type="dxa" w:w="10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22</w:t>
            </w:r>
          </w:p>
        </w:tc>
        <w:tc>
          <w:tcPr>
            <w:tcW w:type="dxa" w:w="12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Male</w:t>
            </w:r>
          </w:p>
        </w:tc>
        <w:tc>
          <w:tcPr>
            <w:tcW w:type="dxa" w:w="296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Laborer</w:t>
            </w:r>
          </w:p>
        </w:tc>
      </w:tr>
      <w:tr>
        <w:tc>
          <w:tcPr>
            <w:tcW w:type="dxa" w:w="24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Joy Bautista</w:t>
            </w:r>
          </w:p>
        </w:tc>
        <w:tc>
          <w:tcPr>
            <w:tcW w:type="dxa" w:w="18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Sister</w:t>
            </w:r>
          </w:p>
        </w:tc>
        <w:tc>
          <w:tcPr>
            <w:tcW w:type="dxa" w:w="10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14</w:t>
            </w:r>
          </w:p>
        </w:tc>
        <w:tc>
          <w:tcPr>
            <w:tcW w:type="dxa" w:w="12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Female</w:t>
            </w:r>
          </w:p>
        </w:tc>
        <w:tc>
          <w:tcPr>
            <w:tcW w:type="dxa" w:w="296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Student (Grade 8)</w:t>
            </w:r>
          </w:p>
        </w:tc>
      </w:tr>
      <w:tr>
        <w:tc>
          <w:tcPr>
            <w:tcW w:type="dxa" w:w="24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Ben Bautista</w:t>
            </w:r>
          </w:p>
        </w:tc>
        <w:tc>
          <w:tcPr>
            <w:tcW w:type="dxa" w:w="18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Brother</w:t>
            </w:r>
          </w:p>
        </w:tc>
        <w:tc>
          <w:tcPr>
            <w:tcW w:type="dxa" w:w="10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10</w:t>
            </w:r>
          </w:p>
        </w:tc>
        <w:tc>
          <w:tcPr>
            <w:tcW w:type="dxa" w:w="12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Male</w:t>
            </w:r>
          </w:p>
        </w:tc>
        <w:tc>
          <w:tcPr>
            <w:tcW w:type="dxa" w:w="296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Student (Grade 4)</w:t>
            </w:r>
          </w:p>
        </w:tc>
      </w:tr>
    </w:tbl>
    <w:p>
      <w:r>
        <w:br w:type="page"/>
      </w:r>
    </w:p>
    <w:p>
      <w:pPr>
        <w:pStyle w:val="Heading1"/>
        <w:spacing w:after="160" w:before="360"/>
      </w:pPr>
      <w:r>
        <w:rPr>
          <w:rFonts w:ascii="Calibri" w:cs="Calibri" w:eastAsia="Calibri" w:hAnsi="Calibri"/>
          <w:b/>
          <w:bCs/>
          <w:color w:val="0B3D4E"/>
          <w:sz w:val="30"/>
          <w:szCs w:val="30"/>
        </w:rPr>
        <w:t xml:space="preserve">Role Cards</w:t>
      </w:r>
    </w:p>
    <w:p>
      <w:pPr>
        <w:spacing w:after="60" w:before="60"/>
      </w:pPr>
      <w:r>
        <w:rPr>
          <w:rFonts w:ascii="Calibri" w:cs="Calibri" w:eastAsia="Calibri" w:hAnsi="Calibri"/>
          <w:b w:val="false"/>
          <w:bCs w:val="false"/>
          <w:i/>
          <w:iCs/>
          <w:color w:val="000000"/>
          <w:sz w:val="22"/>
          <w:szCs w:val="22"/>
        </w:rPr>
        <w:t xml:space="preserve">Cut along the lines and distribute one card per group member.</w:t>
      </w:r>
    </w:p>
    <w:p>
      <w:pPr>
        <w:spacing w:before="200"/>
      </w:pPr>
    </w:p>
    <w:p>
      <w:pPr>
        <w:pBdr>
          <w:top w:val="single" w:color="B4C6D9" w:sz="1"/>
          <w:bottom w:val="single" w:color="B4C6D9" w:sz="1"/>
          <w:left w:val="single" w:color="B4C6D9" w:sz="1"/>
          <w:right w:val="single" w:color="B4C6D9" w:sz="1"/>
        </w:pBdr>
        <w:spacing w:after="0" w:before="0"/>
      </w:pPr>
      <w:r>
        <w:rPr>
          <w:rFonts w:ascii="Calibri" w:cs="Calibri" w:eastAsia="Calibri" w:hAnsi="Calibri"/>
          <w:sz w:val="4"/>
          <w:szCs w:val="4"/>
        </w:rPr>
        <w:t xml:space="preserve"/>
      </w:r>
    </w:p>
    <w:p>
      <w:pPr>
        <w:pStyle w:val="Heading3"/>
        <w:spacing w:after="80" w:before="200"/>
      </w:pPr>
      <w:r>
        <w:rPr>
          <w:rFonts w:ascii="Calibri" w:cs="Calibri" w:eastAsia="Calibri" w:hAnsi="Calibri"/>
          <w:b/>
          <w:bCs/>
          <w:color w:val="F18F01"/>
          <w:sz w:val="22"/>
          <w:szCs w:val="22"/>
        </w:rPr>
        <w:t xml:space="preserve">CASE WORKER (Typist)</w:t>
      </w:r>
    </w:p>
    <w:p>
      <w:pPr>
        <w:spacing w:after="60" w:before="60"/>
      </w:pPr>
      <w:r>
        <w:rPr>
          <w:rFonts w:ascii="Calibri" w:cs="Calibri" w:eastAsia="Calibri" w:hAnsi="Calibri"/>
          <w:b w:val="false"/>
          <w:bCs w:val="false"/>
          <w:i w:val="false"/>
          <w:iCs w:val="false"/>
          <w:color w:val="000000"/>
          <w:sz w:val="22"/>
          <w:szCs w:val="22"/>
        </w:rPr>
        <w:t xml:space="preserve">You are the primary user of the system. Log in with the Case Worker account. Register the case by entering all client information. Add services and progress notes as the team discusses them. Ask your team for details you need to fill in.</w:t>
      </w:r>
    </w:p>
    <w:p>
      <w:pPr>
        <w:spacing w:after="60" w:before="60"/>
      </w:pPr>
      <w:r>
        <w:rPr>
          <w:rFonts w:ascii="Calibri" w:cs="Calibri" w:eastAsia="Calibri" w:hAnsi="Calibri"/>
          <w:color w:val="CCCCCC"/>
          <w:sz w:val="16"/>
          <w:szCs w:val="16"/>
        </w:rPr>
        <w:t xml:space="preserve">---</w:t>
      </w:r>
    </w:p>
    <w:p>
      <w:pPr>
        <w:spacing w:before="200"/>
      </w:pPr>
    </w:p>
    <w:p>
      <w:pPr>
        <w:pBdr>
          <w:top w:val="single" w:color="B4C6D9" w:sz="1"/>
          <w:bottom w:val="single" w:color="B4C6D9" w:sz="1"/>
          <w:left w:val="single" w:color="B4C6D9" w:sz="1"/>
          <w:right w:val="single" w:color="B4C6D9" w:sz="1"/>
        </w:pBdr>
        <w:spacing w:after="0" w:before="0"/>
      </w:pPr>
      <w:r>
        <w:rPr>
          <w:rFonts w:ascii="Calibri" w:cs="Calibri" w:eastAsia="Calibri" w:hAnsi="Calibri"/>
          <w:sz w:val="4"/>
          <w:szCs w:val="4"/>
        </w:rPr>
        <w:t xml:space="preserve"/>
      </w:r>
    </w:p>
    <w:p>
      <w:pPr>
        <w:pStyle w:val="Heading3"/>
        <w:spacing w:after="80" w:before="200"/>
      </w:pPr>
      <w:r>
        <w:rPr>
          <w:rFonts w:ascii="Calibri" w:cs="Calibri" w:eastAsia="Calibri" w:hAnsi="Calibri"/>
          <w:b/>
          <w:bCs/>
          <w:color w:val="F18F01"/>
          <w:sz w:val="22"/>
          <w:szCs w:val="22"/>
        </w:rPr>
        <w:t xml:space="preserve">LGU SUPERVISOR (Reviewer)</w:t>
      </w:r>
    </w:p>
    <w:p>
      <w:pPr>
        <w:spacing w:after="60" w:before="60"/>
      </w:pPr>
      <w:r>
        <w:rPr>
          <w:rFonts w:ascii="Calibri" w:cs="Calibri" w:eastAsia="Calibri" w:hAnsi="Calibri"/>
          <w:b w:val="false"/>
          <w:bCs w:val="false"/>
          <w:i w:val="false"/>
          <w:iCs w:val="false"/>
          <w:color w:val="000000"/>
          <w:sz w:val="22"/>
          <w:szCs w:val="22"/>
        </w:rPr>
        <w:t xml:space="preserve">You oversee the case for quality and completeness. After the Case Worker registers the case, review the details on screen. Check: Are all required fields filled? Is the assessment accurate? Are the services appropriate? Suggest corrections.</w:t>
      </w:r>
    </w:p>
    <w:p>
      <w:pPr>
        <w:spacing w:after="60" w:before="60"/>
      </w:pPr>
      <w:r>
        <w:rPr>
          <w:rFonts w:ascii="Calibri" w:cs="Calibri" w:eastAsia="Calibri" w:hAnsi="Calibri"/>
          <w:color w:val="CCCCCC"/>
          <w:sz w:val="16"/>
          <w:szCs w:val="16"/>
        </w:rPr>
        <w:t xml:space="preserve">---</w:t>
      </w:r>
    </w:p>
    <w:p>
      <w:pPr>
        <w:spacing w:before="200"/>
      </w:pPr>
    </w:p>
    <w:p>
      <w:pPr>
        <w:pBdr>
          <w:top w:val="single" w:color="B4C6D9" w:sz="1"/>
          <w:bottom w:val="single" w:color="B4C6D9" w:sz="1"/>
          <w:left w:val="single" w:color="B4C6D9" w:sz="1"/>
          <w:right w:val="single" w:color="B4C6D9" w:sz="1"/>
        </w:pBdr>
        <w:spacing w:after="0" w:before="0"/>
      </w:pPr>
      <w:r>
        <w:rPr>
          <w:rFonts w:ascii="Calibri" w:cs="Calibri" w:eastAsia="Calibri" w:hAnsi="Calibri"/>
          <w:sz w:val="4"/>
          <w:szCs w:val="4"/>
        </w:rPr>
        <w:t xml:space="preserve"/>
      </w:r>
    </w:p>
    <w:p>
      <w:pPr>
        <w:pStyle w:val="Heading3"/>
        <w:spacing w:after="80" w:before="200"/>
      </w:pPr>
      <w:r>
        <w:rPr>
          <w:rFonts w:ascii="Calibri" w:cs="Calibri" w:eastAsia="Calibri" w:hAnsi="Calibri"/>
          <w:b/>
          <w:bCs/>
          <w:color w:val="F18F01"/>
          <w:sz w:val="22"/>
          <w:szCs w:val="22"/>
        </w:rPr>
        <w:t xml:space="preserve">CPU MONITOR (Dashboard Checker)</w:t>
      </w:r>
    </w:p>
    <w:p>
      <w:pPr>
        <w:spacing w:after="60" w:before="60"/>
      </w:pPr>
      <w:r>
        <w:rPr>
          <w:rFonts w:ascii="Calibri" w:cs="Calibri" w:eastAsia="Calibri" w:hAnsi="Calibri"/>
          <w:b w:val="false"/>
          <w:bCs w:val="false"/>
          <w:i w:val="false"/>
          <w:iCs w:val="false"/>
          <w:color w:val="000000"/>
          <w:sz w:val="22"/>
          <w:szCs w:val="22"/>
        </w:rPr>
        <w:t xml:space="preserve">You monitor data from the read-only perspective. Log in with the CPU Monitor account on a second device (phone or shared after Case Worker is done). Check: Does the dashboard show the new case? Are the statistics correct? Can you see the case in the list?</w:t>
      </w:r>
    </w:p>
    <w:p>
      <w:pPr>
        <w:spacing w:after="60" w:before="60"/>
      </w:pPr>
      <w:r>
        <w:rPr>
          <w:rFonts w:ascii="Calibri" w:cs="Calibri" w:eastAsia="Calibri" w:hAnsi="Calibri"/>
          <w:color w:val="CCCCCC"/>
          <w:sz w:val="16"/>
          <w:szCs w:val="16"/>
        </w:rPr>
        <w:t xml:space="preserve">---</w:t>
      </w:r>
    </w:p>
    <w:p>
      <w:pPr>
        <w:spacing w:before="200"/>
      </w:pPr>
    </w:p>
    <w:p>
      <w:pPr>
        <w:pBdr>
          <w:top w:val="single" w:color="B4C6D9" w:sz="1"/>
          <w:bottom w:val="single" w:color="B4C6D9" w:sz="1"/>
          <w:left w:val="single" w:color="B4C6D9" w:sz="1"/>
          <w:right w:val="single" w:color="B4C6D9" w:sz="1"/>
        </w:pBdr>
        <w:spacing w:after="0" w:before="0"/>
      </w:pPr>
      <w:r>
        <w:rPr>
          <w:rFonts w:ascii="Calibri" w:cs="Calibri" w:eastAsia="Calibri" w:hAnsi="Calibri"/>
          <w:sz w:val="4"/>
          <w:szCs w:val="4"/>
        </w:rPr>
        <w:t xml:space="preserve"/>
      </w:r>
    </w:p>
    <w:p>
      <w:pPr>
        <w:pStyle w:val="Heading3"/>
        <w:spacing w:after="80" w:before="200"/>
      </w:pPr>
      <w:r>
        <w:rPr>
          <w:rFonts w:ascii="Calibri" w:cs="Calibri" w:eastAsia="Calibri" w:hAnsi="Calibri"/>
          <w:b/>
          <w:bCs/>
          <w:color w:val="F18F01"/>
          <w:sz w:val="22"/>
          <w:szCs w:val="22"/>
        </w:rPr>
        <w:t xml:space="preserve">NARRATOR / OBSERVER</w:t>
      </w:r>
    </w:p>
    <w:p>
      <w:pPr>
        <w:spacing w:after="60" w:before="60"/>
      </w:pPr>
      <w:r>
        <w:rPr>
          <w:rFonts w:ascii="Calibri" w:cs="Calibri" w:eastAsia="Calibri" w:hAnsi="Calibri"/>
          <w:b w:val="false"/>
          <w:bCs w:val="false"/>
          <w:i w:val="false"/>
          <w:iCs w:val="false"/>
          <w:color w:val="000000"/>
          <w:sz w:val="22"/>
          <w:szCs w:val="22"/>
        </w:rPr>
        <w:t xml:space="preserve">You read the case scenario aloud to the group. Keep time (announce when 5 minutes remain). Ensure everyone participates — if someone is quiet, ask their opinion. Observe: Is the system easy to use? Where did the group struggle?</w:t>
      </w:r>
    </w:p>
    <w:p>
      <w:pPr>
        <w:spacing w:after="60" w:before="60"/>
      </w:pPr>
      <w:r>
        <w:rPr>
          <w:rFonts w:ascii="Calibri" w:cs="Calibri" w:eastAsia="Calibri" w:hAnsi="Calibri"/>
          <w:color w:val="CCCCCC"/>
          <w:sz w:val="16"/>
          <w:szCs w:val="16"/>
        </w:rPr>
        <w:t xml:space="preserve">---</w:t>
      </w:r>
    </w:p>
    <w:p>
      <w:pPr>
        <w:spacing w:before="200"/>
      </w:pPr>
    </w:p>
    <w:p>
      <w:pPr>
        <w:pBdr>
          <w:top w:val="single" w:color="B4C6D9" w:sz="1"/>
          <w:bottom w:val="single" w:color="B4C6D9" w:sz="1"/>
          <w:left w:val="single" w:color="B4C6D9" w:sz="1"/>
          <w:right w:val="single" w:color="B4C6D9" w:sz="1"/>
        </w:pBdr>
        <w:spacing w:after="0" w:before="0"/>
      </w:pPr>
      <w:r>
        <w:rPr>
          <w:rFonts w:ascii="Calibri" w:cs="Calibri" w:eastAsia="Calibri" w:hAnsi="Calibri"/>
          <w:sz w:val="4"/>
          <w:szCs w:val="4"/>
        </w:rPr>
        <w:t xml:space="preserve"/>
      </w:r>
    </w:p>
    <w:p>
      <w:pPr>
        <w:pStyle w:val="Heading3"/>
        <w:spacing w:after="80" w:before="200"/>
      </w:pPr>
      <w:r>
        <w:rPr>
          <w:rFonts w:ascii="Calibri" w:cs="Calibri" w:eastAsia="Calibri" w:hAnsi="Calibri"/>
          <w:b/>
          <w:bCs/>
          <w:color w:val="F18F01"/>
          <w:sz w:val="22"/>
          <w:szCs w:val="22"/>
        </w:rPr>
        <w:t xml:space="preserve">REPORTER</w:t>
      </w:r>
    </w:p>
    <w:p>
      <w:pPr>
        <w:spacing w:after="60" w:before="60"/>
      </w:pPr>
      <w:r>
        <w:rPr>
          <w:rFonts w:ascii="Calibri" w:cs="Calibri" w:eastAsia="Calibri" w:hAnsi="Calibri"/>
          <w:b w:val="false"/>
          <w:bCs w:val="false"/>
          <w:i w:val="false"/>
          <w:iCs w:val="false"/>
          <w:color w:val="000000"/>
          <w:sz w:val="22"/>
          <w:szCs w:val="22"/>
        </w:rPr>
        <w:t xml:space="preserve">You present on behalf of the group during the sharing session. Take notes on: What went well? What was confusing? What would you do differently in real life? Prepare a 2-minute summary. Include one suggestion for system improvement.</w:t>
      </w:r>
    </w:p>
    <w:p>
      <w:pPr>
        <w:spacing w:after="60" w:before="60"/>
      </w:pPr>
      <w:r>
        <w:rPr>
          <w:rFonts w:ascii="Calibri" w:cs="Calibri" w:eastAsia="Calibri" w:hAnsi="Calibri"/>
          <w:color w:val="CCCCCC"/>
          <w:sz w:val="16"/>
          <w:szCs w:val="16"/>
        </w:rPr>
        <w:t xml:space="preserve">---</w:t>
      </w:r>
    </w:p>
    <w:p>
      <w:r>
        <w:br w:type="page"/>
      </w:r>
    </w:p>
    <w:p>
      <w:pPr>
        <w:pStyle w:val="Heading1"/>
        <w:spacing w:after="160" w:before="360"/>
      </w:pPr>
      <w:r>
        <w:rPr>
          <w:rFonts w:ascii="Calibri" w:cs="Calibri" w:eastAsia="Calibri" w:hAnsi="Calibri"/>
          <w:b/>
          <w:bCs/>
          <w:color w:val="0B3D4E"/>
          <w:sz w:val="30"/>
          <w:szCs w:val="30"/>
        </w:rPr>
        <w:t xml:space="preserve">Step-by-Step System Guide</w:t>
      </w:r>
    </w:p>
    <w:p>
      <w:pPr>
        <w:spacing w:after="60" w:before="60"/>
      </w:pPr>
      <w:r>
        <w:rPr>
          <w:rFonts w:ascii="Calibri" w:cs="Calibri" w:eastAsia="Calibri" w:hAnsi="Calibri"/>
          <w:b w:val="false"/>
          <w:bCs w:val="false"/>
          <w:i/>
          <w:iCs/>
          <w:color w:val="000000"/>
          <w:sz w:val="22"/>
          <w:szCs w:val="22"/>
        </w:rPr>
        <w:t xml:space="preserve">For participants who need extra guidance during the activity.</w:t>
      </w:r>
    </w:p>
    <w:p>
      <w:pPr>
        <w:pStyle w:val="Heading2"/>
        <w:spacing w:after="120" w:before="280"/>
      </w:pPr>
      <w:r>
        <w:rPr>
          <w:rFonts w:ascii="Calibri" w:cs="Calibri" w:eastAsia="Calibri" w:hAnsi="Calibri"/>
          <w:b/>
          <w:bCs/>
          <w:color w:val="028090"/>
          <w:sz w:val="26"/>
          <w:szCs w:val="26"/>
        </w:rPr>
        <w:t xml:space="preserve">Step 1: Login</w:t>
      </w:r>
    </w:p>
    <w:p>
      <w:pPr>
        <w:spacing w:after="60" w:before="60"/>
      </w:pPr>
      <w:r>
        <w:rPr>
          <w:rFonts w:ascii="Calibri" w:cs="Calibri" w:eastAsia="Calibri" w:hAnsi="Calibri"/>
          <w:b w:val="false"/>
          <w:bCs w:val="false"/>
          <w:i w:val="false"/>
          <w:iCs w:val="false"/>
          <w:color w:val="000000"/>
          <w:sz w:val="22"/>
          <w:szCs w:val="22"/>
        </w:rPr>
        <w:t xml:space="preserve">1. Open the browser and go to the Project Kalinga URL</w:t>
      </w:r>
    </w:p>
    <w:p>
      <w:pPr>
        <w:spacing w:after="60" w:before="60"/>
      </w:pPr>
      <w:r>
        <w:rPr>
          <w:rFonts w:ascii="Calibri" w:cs="Calibri" w:eastAsia="Calibri" w:hAnsi="Calibri"/>
          <w:b w:val="false"/>
          <w:bCs w:val="false"/>
          <w:i w:val="false"/>
          <w:iCs w:val="false"/>
          <w:color w:val="000000"/>
          <w:sz w:val="22"/>
          <w:szCs w:val="22"/>
        </w:rPr>
        <w:t xml:space="preserve">2. For Case Worker: Enter email qa.caseworker@dswd.gov.ph and password Kalinga2026!</w:t>
      </w:r>
    </w:p>
    <w:p>
      <w:pPr>
        <w:spacing w:after="60" w:before="60"/>
      </w:pPr>
      <w:r>
        <w:rPr>
          <w:rFonts w:ascii="Calibri" w:cs="Calibri" w:eastAsia="Calibri" w:hAnsi="Calibri"/>
          <w:b w:val="false"/>
          <w:bCs w:val="false"/>
          <w:i w:val="false"/>
          <w:iCs w:val="false"/>
          <w:color w:val="000000"/>
          <w:sz w:val="22"/>
          <w:szCs w:val="22"/>
        </w:rPr>
        <w:t xml:space="preserve">3. Click "Sign In"</w:t>
      </w:r>
    </w:p>
    <w:p>
      <w:pPr>
        <w:spacing w:after="60" w:before="60"/>
      </w:pPr>
      <w:r>
        <w:rPr>
          <w:rFonts w:ascii="Calibri" w:cs="Calibri" w:eastAsia="Calibri" w:hAnsi="Calibri"/>
          <w:b w:val="false"/>
          <w:bCs w:val="false"/>
          <w:i w:val="false"/>
          <w:iCs w:val="false"/>
          <w:color w:val="000000"/>
          <w:sz w:val="22"/>
          <w:szCs w:val="22"/>
        </w:rPr>
        <w:t xml:space="preserve">4. You should see the Dashboard</w:t>
      </w:r>
    </w:p>
    <w:p>
      <w:pPr>
        <w:pStyle w:val="Heading2"/>
        <w:spacing w:after="120" w:before="280"/>
      </w:pPr>
      <w:r>
        <w:rPr>
          <w:rFonts w:ascii="Calibri" w:cs="Calibri" w:eastAsia="Calibri" w:hAnsi="Calibri"/>
          <w:b/>
          <w:bCs/>
          <w:color w:val="028090"/>
          <w:sz w:val="26"/>
          <w:szCs w:val="26"/>
        </w:rPr>
        <w:t xml:space="preserve">Step 2: Create a New Case</w:t>
      </w:r>
    </w:p>
    <w:p>
      <w:pPr>
        <w:spacing w:after="60" w:before="60"/>
      </w:pPr>
      <w:r>
        <w:rPr>
          <w:rFonts w:ascii="Calibri" w:cs="Calibri" w:eastAsia="Calibri" w:hAnsi="Calibri"/>
          <w:b w:val="false"/>
          <w:bCs w:val="false"/>
          <w:i w:val="false"/>
          <w:iCs w:val="false"/>
          <w:color w:val="000000"/>
          <w:sz w:val="22"/>
          <w:szCs w:val="22"/>
        </w:rPr>
        <w:t xml:space="preserve">1. Click "Cases" in the left menu</w:t>
      </w:r>
    </w:p>
    <w:p>
      <w:pPr>
        <w:spacing w:after="60" w:before="60"/>
      </w:pPr>
      <w:r>
        <w:rPr>
          <w:rFonts w:ascii="Calibri" w:cs="Calibri" w:eastAsia="Calibri" w:hAnsi="Calibri"/>
          <w:b w:val="false"/>
          <w:bCs w:val="false"/>
          <w:i w:val="false"/>
          <w:iCs w:val="false"/>
          <w:color w:val="000000"/>
          <w:sz w:val="22"/>
          <w:szCs w:val="22"/>
        </w:rPr>
        <w:t xml:space="preserve">2. Click the "New Case" button</w:t>
      </w:r>
    </w:p>
    <w:p>
      <w:pPr>
        <w:spacing w:after="60" w:before="60"/>
      </w:pPr>
      <w:r>
        <w:rPr>
          <w:rFonts w:ascii="Calibri" w:cs="Calibri" w:eastAsia="Calibri" w:hAnsi="Calibri"/>
          <w:b w:val="false"/>
          <w:bCs w:val="false"/>
          <w:i w:val="false"/>
          <w:iCs w:val="false"/>
          <w:color w:val="000000"/>
          <w:sz w:val="22"/>
          <w:szCs w:val="22"/>
        </w:rPr>
        <w:t xml:space="preserve">3. Read and accept the Privacy Notice</w:t>
      </w:r>
    </w:p>
    <w:p>
      <w:pPr>
        <w:spacing w:after="60" w:before="60"/>
      </w:pPr>
      <w:r>
        <w:rPr>
          <w:rFonts w:ascii="Calibri" w:cs="Calibri" w:eastAsia="Calibri" w:hAnsi="Calibri"/>
          <w:b w:val="false"/>
          <w:bCs w:val="false"/>
          <w:i w:val="false"/>
          <w:iCs w:val="false"/>
          <w:color w:val="000000"/>
          <w:sz w:val="22"/>
          <w:szCs w:val="22"/>
        </w:rPr>
        <w:t xml:space="preserve">4. Fill in the client information from your case packet</w:t>
      </w:r>
    </w:p>
    <w:p>
      <w:pPr>
        <w:spacing w:after="60" w:before="60"/>
      </w:pPr>
      <w:r>
        <w:rPr>
          <w:rFonts w:ascii="Calibri" w:cs="Calibri" w:eastAsia="Calibri" w:hAnsi="Calibri"/>
          <w:b w:val="false"/>
          <w:bCs w:val="false"/>
          <w:i w:val="false"/>
          <w:iCs w:val="false"/>
          <w:color w:val="000000"/>
          <w:sz w:val="22"/>
          <w:szCs w:val="22"/>
        </w:rPr>
        <w:t xml:space="preserve">5. Fill in the assessment section</w:t>
      </w:r>
    </w:p>
    <w:p>
      <w:pPr>
        <w:spacing w:after="60" w:before="60"/>
      </w:pPr>
      <w:r>
        <w:rPr>
          <w:rFonts w:ascii="Calibri" w:cs="Calibri" w:eastAsia="Calibri" w:hAnsi="Calibri"/>
          <w:b w:val="false"/>
          <w:bCs w:val="false"/>
          <w:i w:val="false"/>
          <w:iCs w:val="false"/>
          <w:color w:val="000000"/>
          <w:sz w:val="22"/>
          <w:szCs w:val="22"/>
        </w:rPr>
        <w:t xml:space="preserve">6. Click "Save"</w:t>
      </w:r>
    </w:p>
    <w:p>
      <w:pPr>
        <w:spacing w:after="60" w:before="60"/>
      </w:pPr>
      <w:r>
        <w:rPr>
          <w:rFonts w:ascii="Calibri" w:cs="Calibri" w:eastAsia="Calibri" w:hAnsi="Calibri"/>
          <w:b w:val="false"/>
          <w:bCs w:val="false"/>
          <w:i w:val="false"/>
          <w:iCs w:val="false"/>
          <w:color w:val="000000"/>
          <w:sz w:val="22"/>
          <w:szCs w:val="22"/>
        </w:rPr>
        <w:t xml:space="preserve">7. You will see the case detail page with the new case ID</w:t>
      </w:r>
    </w:p>
    <w:p>
      <w:pPr>
        <w:pStyle w:val="Heading2"/>
        <w:spacing w:after="120" w:before="280"/>
      </w:pPr>
      <w:r>
        <w:rPr>
          <w:rFonts w:ascii="Calibri" w:cs="Calibri" w:eastAsia="Calibri" w:hAnsi="Calibri"/>
          <w:b/>
          <w:bCs/>
          <w:color w:val="028090"/>
          <w:sz w:val="26"/>
          <w:szCs w:val="26"/>
        </w:rPr>
        <w:t xml:space="preserve">Step 3: Add Services</w:t>
      </w:r>
    </w:p>
    <w:p>
      <w:pPr>
        <w:spacing w:after="60" w:before="60"/>
      </w:pPr>
      <w:r>
        <w:rPr>
          <w:rFonts w:ascii="Calibri" w:cs="Calibri" w:eastAsia="Calibri" w:hAnsi="Calibri"/>
          <w:b w:val="false"/>
          <w:bCs w:val="false"/>
          <w:i w:val="false"/>
          <w:iCs w:val="false"/>
          <w:color w:val="000000"/>
          <w:sz w:val="22"/>
          <w:szCs w:val="22"/>
        </w:rPr>
        <w:t xml:space="preserve">1. On the case detail page, scroll to "Services"</w:t>
      </w:r>
    </w:p>
    <w:p>
      <w:pPr>
        <w:spacing w:after="60" w:before="60"/>
      </w:pPr>
      <w:r>
        <w:rPr>
          <w:rFonts w:ascii="Calibri" w:cs="Calibri" w:eastAsia="Calibri" w:hAnsi="Calibri"/>
          <w:b w:val="false"/>
          <w:bCs w:val="false"/>
          <w:i w:val="false"/>
          <w:iCs w:val="false"/>
          <w:color w:val="000000"/>
          <w:sz w:val="22"/>
          <w:szCs w:val="22"/>
        </w:rPr>
        <w:t xml:space="preserve">2. Click "Add Service"</w:t>
      </w:r>
    </w:p>
    <w:p>
      <w:pPr>
        <w:spacing w:after="60" w:before="60"/>
      </w:pPr>
      <w:r>
        <w:rPr>
          <w:rFonts w:ascii="Calibri" w:cs="Calibri" w:eastAsia="Calibri" w:hAnsi="Calibri"/>
          <w:b w:val="false"/>
          <w:bCs w:val="false"/>
          <w:i w:val="false"/>
          <w:iCs w:val="false"/>
          <w:color w:val="000000"/>
          <w:sz w:val="22"/>
          <w:szCs w:val="22"/>
        </w:rPr>
        <w:t xml:space="preserve">3. Select the service type from the dropdown</w:t>
      </w:r>
    </w:p>
    <w:p>
      <w:pPr>
        <w:spacing w:after="60" w:before="60"/>
      </w:pPr>
      <w:r>
        <w:rPr>
          <w:rFonts w:ascii="Calibri" w:cs="Calibri" w:eastAsia="Calibri" w:hAnsi="Calibri"/>
          <w:b w:val="false"/>
          <w:bCs w:val="false"/>
          <w:i w:val="false"/>
          <w:iCs w:val="false"/>
          <w:color w:val="000000"/>
          <w:sz w:val="22"/>
          <w:szCs w:val="22"/>
        </w:rPr>
        <w:t xml:space="preserve">4. Fill in amount (if any), date, and provider</w:t>
      </w:r>
    </w:p>
    <w:p>
      <w:pPr>
        <w:spacing w:after="60" w:before="60"/>
      </w:pPr>
      <w:r>
        <w:rPr>
          <w:rFonts w:ascii="Calibri" w:cs="Calibri" w:eastAsia="Calibri" w:hAnsi="Calibri"/>
          <w:b w:val="false"/>
          <w:bCs w:val="false"/>
          <w:i w:val="false"/>
          <w:iCs w:val="false"/>
          <w:color w:val="000000"/>
          <w:sz w:val="22"/>
          <w:szCs w:val="22"/>
        </w:rPr>
        <w:t xml:space="preserve">5. Click "Save"</w:t>
      </w:r>
    </w:p>
    <w:p>
      <w:pPr>
        <w:spacing w:after="60" w:before="60"/>
      </w:pPr>
      <w:r>
        <w:rPr>
          <w:rFonts w:ascii="Calibri" w:cs="Calibri" w:eastAsia="Calibri" w:hAnsi="Calibri"/>
          <w:b w:val="false"/>
          <w:bCs w:val="false"/>
          <w:i w:val="false"/>
          <w:iCs w:val="false"/>
          <w:color w:val="000000"/>
          <w:sz w:val="22"/>
          <w:szCs w:val="22"/>
        </w:rPr>
        <w:t xml:space="preserve">6. Repeat for each service in your case packet</w:t>
      </w:r>
    </w:p>
    <w:p>
      <w:pPr>
        <w:pStyle w:val="Heading2"/>
        <w:spacing w:after="120" w:before="280"/>
      </w:pPr>
      <w:r>
        <w:rPr>
          <w:rFonts w:ascii="Calibri" w:cs="Calibri" w:eastAsia="Calibri" w:hAnsi="Calibri"/>
          <w:b/>
          <w:bCs/>
          <w:color w:val="028090"/>
          <w:sz w:val="26"/>
          <w:szCs w:val="26"/>
        </w:rPr>
        <w:t xml:space="preserve">Step 4: Add a Progress Note</w:t>
      </w:r>
    </w:p>
    <w:p>
      <w:pPr>
        <w:spacing w:after="60" w:before="60"/>
      </w:pPr>
      <w:r>
        <w:rPr>
          <w:rFonts w:ascii="Calibri" w:cs="Calibri" w:eastAsia="Calibri" w:hAnsi="Calibri"/>
          <w:b w:val="false"/>
          <w:bCs w:val="false"/>
          <w:i w:val="false"/>
          <w:iCs w:val="false"/>
          <w:color w:val="000000"/>
          <w:sz w:val="22"/>
          <w:szCs w:val="22"/>
        </w:rPr>
        <w:t xml:space="preserve">1. Scroll to "Progress Notes"</w:t>
      </w:r>
    </w:p>
    <w:p>
      <w:pPr>
        <w:spacing w:after="60" w:before="60"/>
      </w:pPr>
      <w:r>
        <w:rPr>
          <w:rFonts w:ascii="Calibri" w:cs="Calibri" w:eastAsia="Calibri" w:hAnsi="Calibri"/>
          <w:b w:val="false"/>
          <w:bCs w:val="false"/>
          <w:i w:val="false"/>
          <w:iCs w:val="false"/>
          <w:color w:val="000000"/>
          <w:sz w:val="22"/>
          <w:szCs w:val="22"/>
        </w:rPr>
        <w:t xml:space="preserve">2. Click "Add Note"</w:t>
      </w:r>
    </w:p>
    <w:p>
      <w:pPr>
        <w:spacing w:after="60" w:before="60"/>
      </w:pPr>
      <w:r>
        <w:rPr>
          <w:rFonts w:ascii="Calibri" w:cs="Calibri" w:eastAsia="Calibri" w:hAnsi="Calibri"/>
          <w:b w:val="false"/>
          <w:bCs w:val="false"/>
          <w:i w:val="false"/>
          <w:iCs w:val="false"/>
          <w:color w:val="000000"/>
          <w:sz w:val="22"/>
          <w:szCs w:val="22"/>
        </w:rPr>
        <w:t xml:space="preserve">3. Select the note type (e.g., "Progress")</w:t>
      </w:r>
    </w:p>
    <w:p>
      <w:pPr>
        <w:spacing w:after="60" w:before="60"/>
      </w:pPr>
      <w:r>
        <w:rPr>
          <w:rFonts w:ascii="Calibri" w:cs="Calibri" w:eastAsia="Calibri" w:hAnsi="Calibri"/>
          <w:b w:val="false"/>
          <w:bCs w:val="false"/>
          <w:i w:val="false"/>
          <w:iCs w:val="false"/>
          <w:color w:val="000000"/>
          <w:sz w:val="22"/>
          <w:szCs w:val="22"/>
        </w:rPr>
        <w:t xml:space="preserve">4. Fill in the content, action taken, and next steps</w:t>
      </w:r>
    </w:p>
    <w:p>
      <w:pPr>
        <w:spacing w:after="60" w:before="60"/>
      </w:pPr>
      <w:r>
        <w:rPr>
          <w:rFonts w:ascii="Calibri" w:cs="Calibri" w:eastAsia="Calibri" w:hAnsi="Calibri"/>
          <w:b w:val="false"/>
          <w:bCs w:val="false"/>
          <w:i w:val="false"/>
          <w:iCs w:val="false"/>
          <w:color w:val="000000"/>
          <w:sz w:val="22"/>
          <w:szCs w:val="22"/>
        </w:rPr>
        <w:t xml:space="preserve">5. Click "Save"</w:t>
      </w:r>
    </w:p>
    <w:p>
      <w:pPr>
        <w:pStyle w:val="Heading2"/>
        <w:spacing w:after="120" w:before="280"/>
      </w:pPr>
      <w:r>
        <w:rPr>
          <w:rFonts w:ascii="Calibri" w:cs="Calibri" w:eastAsia="Calibri" w:hAnsi="Calibri"/>
          <w:b/>
          <w:bCs/>
          <w:color w:val="028090"/>
          <w:sz w:val="26"/>
          <w:szCs w:val="26"/>
        </w:rPr>
        <w:t xml:space="preserve">Step 5: Check the Dashboard</w:t>
      </w:r>
    </w:p>
    <w:p>
      <w:pPr>
        <w:spacing w:after="60" w:before="60"/>
      </w:pPr>
      <w:r>
        <w:rPr>
          <w:rFonts w:ascii="Calibri" w:cs="Calibri" w:eastAsia="Calibri" w:hAnsi="Calibri"/>
          <w:b w:val="false"/>
          <w:bCs w:val="false"/>
          <w:i w:val="false"/>
          <w:iCs w:val="false"/>
          <w:color w:val="000000"/>
          <w:sz w:val="22"/>
          <w:szCs w:val="22"/>
        </w:rPr>
        <w:t xml:space="preserve">1. Click "Dashboard" in the left menu</w:t>
      </w:r>
    </w:p>
    <w:p>
      <w:pPr>
        <w:spacing w:after="60" w:before="60"/>
      </w:pPr>
      <w:r>
        <w:rPr>
          <w:rFonts w:ascii="Calibri" w:cs="Calibri" w:eastAsia="Calibri" w:hAnsi="Calibri"/>
          <w:b w:val="false"/>
          <w:bCs w:val="false"/>
          <w:i w:val="false"/>
          <w:iCs w:val="false"/>
          <w:color w:val="000000"/>
          <w:sz w:val="22"/>
          <w:szCs w:val="22"/>
        </w:rPr>
        <w:t xml:space="preserve">2. Notice the case statistics updated</w:t>
      </w:r>
    </w:p>
    <w:p>
      <w:pPr>
        <w:spacing w:after="60" w:before="60"/>
      </w:pPr>
      <w:r>
        <w:rPr>
          <w:rFonts w:ascii="Calibri" w:cs="Calibri" w:eastAsia="Calibri" w:hAnsi="Calibri"/>
          <w:b w:val="false"/>
          <w:bCs w:val="false"/>
          <w:i w:val="false"/>
          <w:iCs w:val="false"/>
          <w:color w:val="000000"/>
          <w:sz w:val="22"/>
          <w:szCs w:val="22"/>
        </w:rPr>
        <w:t xml:space="preserve">3. Check if your case appears in the regional breakdown</w:t>
      </w:r>
    </w:p>
    <w:p>
      <w:pPr>
        <w:pStyle w:val="Heading2"/>
        <w:spacing w:after="120" w:before="280"/>
      </w:pPr>
      <w:r>
        <w:rPr>
          <w:rFonts w:ascii="Calibri" w:cs="Calibri" w:eastAsia="Calibri" w:hAnsi="Calibri"/>
          <w:b/>
          <w:bCs/>
          <w:color w:val="028090"/>
          <w:sz w:val="26"/>
          <w:szCs w:val="26"/>
        </w:rPr>
        <w:t xml:space="preserve">Step 6: (Optional) Add Family Members</w:t>
      </w:r>
    </w:p>
    <w:p>
      <w:pPr>
        <w:spacing w:after="60" w:before="60"/>
      </w:pPr>
      <w:r>
        <w:rPr>
          <w:rFonts w:ascii="Calibri" w:cs="Calibri" w:eastAsia="Calibri" w:hAnsi="Calibri"/>
          <w:b w:val="false"/>
          <w:bCs w:val="false"/>
          <w:i w:val="false"/>
          <w:iCs w:val="false"/>
          <w:color w:val="000000"/>
          <w:sz w:val="22"/>
          <w:szCs w:val="22"/>
        </w:rPr>
        <w:t xml:space="preserve">1. Go back to your case (Cases → click your case)</w:t>
      </w:r>
    </w:p>
    <w:p>
      <w:pPr>
        <w:spacing w:after="60" w:before="60"/>
      </w:pPr>
      <w:r>
        <w:rPr>
          <w:rFonts w:ascii="Calibri" w:cs="Calibri" w:eastAsia="Calibri" w:hAnsi="Calibri"/>
          <w:b w:val="false"/>
          <w:bCs w:val="false"/>
          <w:i w:val="false"/>
          <w:iCs w:val="false"/>
          <w:color w:val="000000"/>
          <w:sz w:val="22"/>
          <w:szCs w:val="22"/>
        </w:rPr>
        <w:t xml:space="preserve">2. Scroll to "Family Composition"</w:t>
      </w:r>
    </w:p>
    <w:p>
      <w:pPr>
        <w:spacing w:after="60" w:before="60"/>
      </w:pPr>
      <w:r>
        <w:rPr>
          <w:rFonts w:ascii="Calibri" w:cs="Calibri" w:eastAsia="Calibri" w:hAnsi="Calibri"/>
          <w:b w:val="false"/>
          <w:bCs w:val="false"/>
          <w:i w:val="false"/>
          <w:iCs w:val="false"/>
          <w:color w:val="000000"/>
          <w:sz w:val="22"/>
          <w:szCs w:val="22"/>
        </w:rPr>
        <w:t xml:space="preserve">3. Click "Add Family Member"</w:t>
      </w:r>
    </w:p>
    <w:p>
      <w:pPr>
        <w:spacing w:after="60" w:before="60"/>
      </w:pPr>
      <w:r>
        <w:rPr>
          <w:rFonts w:ascii="Calibri" w:cs="Calibri" w:eastAsia="Calibri" w:hAnsi="Calibri"/>
          <w:b w:val="false"/>
          <w:bCs w:val="false"/>
          <w:i w:val="false"/>
          <w:iCs w:val="false"/>
          <w:color w:val="000000"/>
          <w:sz w:val="22"/>
          <w:szCs w:val="22"/>
        </w:rPr>
        <w:t xml:space="preserve">4. Enter name, relationship, age, sex, occupation</w:t>
      </w:r>
    </w:p>
    <w:p>
      <w:pPr>
        <w:spacing w:after="60" w:before="60"/>
      </w:pPr>
      <w:r>
        <w:rPr>
          <w:rFonts w:ascii="Calibri" w:cs="Calibri" w:eastAsia="Calibri" w:hAnsi="Calibri"/>
          <w:b w:val="false"/>
          <w:bCs w:val="false"/>
          <w:i w:val="false"/>
          <w:iCs w:val="false"/>
          <w:color w:val="000000"/>
          <w:sz w:val="22"/>
          <w:szCs w:val="22"/>
        </w:rPr>
        <w:t xml:space="preserve">5. Repeat for each family member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1"/>
      </w:pBdr>
      <w:spacing w:before="100"/>
      <w:jc w:val="center"/>
    </w:pPr>
    <w:r>
      <w:rPr>
        <w:rFonts w:ascii="Calibri" w:cs="Calibri" w:eastAsia="Calibri" w:hAnsi="Calibri"/>
        <w:color w:val="999999"/>
        <w:sz w:val="16"/>
        <w:szCs w:val="16"/>
      </w:rPr>
      <w:t xml:space="preserve">DSWD-ICTMS  |  Page </w:t>
    </w: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99999"/>
        <w:sz w:val="16"/>
        <w:szCs w:val="16"/>
      </w:rPr>
      <w:t xml:space="preserve">Project Kalinga — MDT Case Simulation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0B3D4E"/>
      <w:sz w:val="30"/>
      <w:szCs w:val="30"/>
    </w:rPr>
  </w:style>
  <w:style w:type="paragraph" w:styleId="Heading2">
    <w:name w:val="Heading 2"/>
    <w:basedOn w:val="Normal"/>
    <w:next w:val="Normal"/>
    <w:qFormat/>
    <w:pPr>
      <w:spacing w:after="120" w:before="280"/>
      <w:outlineLvl w:val="1"/>
    </w:pPr>
    <w:rPr>
      <w:rFonts w:ascii="Calibri" w:cs="Calibri" w:eastAsia="Calibri" w:hAnsi="Calibri"/>
      <w:b/>
      <w:bCs/>
      <w:color w:val="028090"/>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F18F0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2026-07-19T12:38:24.239Z</dcterms:created>
  <dcterms:modified xsi:type="dcterms:W3CDTF">2026-07-19T12:38:24.396Z</dcterms:modified>
</cp:coreProperties>
</file>

<file path=docProps/custom.xml><?xml version="1.0" encoding="utf-8"?>
<Properties xmlns="http://schemas.openxmlformats.org/officeDocument/2006/custom-properties" xmlns:vt="http://schemas.openxmlformats.org/officeDocument/2006/docPropsVTypes"/>
</file>