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Calibri" w:cs="Calibri" w:eastAsia="Calibri" w:hAnsi="Calibri"/>
          <w:b/>
          <w:bCs/>
          <w:color w:val="003366"/>
          <w:sz w:val="28"/>
          <w:szCs w:val="28"/>
        </w:rPr>
        <w:t xml:space="preserve">DEPARTMENT OF SOCIAL WELFARE AND DEVELOPMENT</w:t>
      </w:r>
    </w:p>
    <w:p>
      <w:pPr>
        <w:spacing w:after="100"/>
        <w:jc w:val="center"/>
      </w:pPr>
      <w:r>
        <w:rPr>
          <w:rFonts w:ascii="Calibri" w:cs="Calibri" w:eastAsia="Calibri" w:hAnsi="Calibri"/>
          <w:color w:val="003366"/>
          <w:sz w:val="22"/>
          <w:szCs w:val="22"/>
        </w:rPr>
        <w:t xml:space="preserve">Information and Communications Technology Management Service</w:t>
      </w:r>
    </w:p>
    <w:p>
      <w:pPr>
        <w:spacing w:before="500"/>
      </w:pPr>
    </w:p>
    <w:p>
      <w:pPr>
        <w:pBdr>
          <w:top w:val="single" w:color="003366" w:sz="2" w:space="1"/>
          <w:bottom w:val="single" w:color="003366" w:sz="2" w:space="1"/>
        </w:pBdr>
        <w:spacing w:after="200"/>
        <w:jc w:val="center"/>
      </w:pPr>
      <w:r>
        <w:rPr>
          <w:rFonts w:ascii="Calibri" w:cs="Calibri" w:eastAsia="Calibri" w:hAnsi="Calibri"/>
          <w:b/>
          <w:bCs/>
          <w:color w:val="003366"/>
          <w:sz w:val="36"/>
          <w:szCs w:val="36"/>
        </w:rPr>
        <w:t xml:space="preserve">SYSTEM TEST PLAN</w:t>
      </w:r>
    </w:p>
    <w:p>
      <w:pPr>
        <w:spacing w:before="100"/>
        <w:jc w:val="center"/>
      </w:pPr>
      <w:r>
        <w:rPr>
          <w:rFonts w:ascii="Calibri" w:cs="Calibri" w:eastAsia="Calibri" w:hAnsi="Calibri"/>
          <w:color w:val="003366"/>
          <w:sz w:val="22"/>
          <w:szCs w:val="22"/>
        </w:rPr>
        <w:t xml:space="preserve">SQA Annex B-1</w:t>
      </w:r>
    </w:p>
    <w:p>
      <w:pPr>
        <w:spacing w:before="300"/>
        <w:jc w:val="center"/>
      </w:pPr>
      <w:r>
        <w:rPr>
          <w:rFonts w:ascii="Calibri" w:cs="Calibri" w:eastAsia="Calibri" w:hAnsi="Calibri"/>
          <w:b/>
          <w:bCs/>
          <w:color w:val="4B2E8C"/>
          <w:sz w:val="30"/>
          <w:szCs w:val="30"/>
        </w:rPr>
        <w:t xml:space="preserve">Project Kalinga</w:t>
      </w:r>
    </w:p>
    <w:p>
      <w:pPr>
        <w:spacing w:after="100"/>
        <w:jc w:val="center"/>
      </w:pPr>
      <w:r>
        <w:rPr>
          <w:rFonts w:ascii="Calibri" w:cs="Calibri" w:eastAsia="Calibri" w:hAnsi="Calibri"/>
          <w:color w:val="666666"/>
          <w:sz w:val="24"/>
          <w:szCs w:val="24"/>
        </w:rPr>
        <w:t xml:space="preserve">CEFMU Registry System</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4C6D9" w:sz="1"/>
              <w:left w:val="single" w:color="B4C6D9" w:sz="1"/>
              <w:bottom w:val="single" w:color="B4C6D9" w:sz="1"/>
              <w:right w:val="single" w:color="B4C6D9" w:sz="1"/>
            </w:tcBorders>
            <w:shd w:fill="00336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Field</w:t>
            </w:r>
          </w:p>
        </w:tc>
        <w:tc>
          <w:tcPr>
            <w:tcW w:type="dxa" w:w="6960"/>
            <w:tcBorders>
              <w:top w:val="single" w:color="B4C6D9" w:sz="1"/>
              <w:left w:val="single" w:color="B4C6D9" w:sz="1"/>
              <w:bottom w:val="single" w:color="B4C6D9" w:sz="1"/>
              <w:right w:val="single" w:color="B4C6D9" w:sz="1"/>
            </w:tcBorders>
            <w:shd w:fill="00336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Value</w:t>
            </w:r>
          </w:p>
        </w:tc>
      </w:tr>
      <w:tr>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Document Title</w:t>
            </w:r>
          </w:p>
        </w:tc>
        <w:tc>
          <w:tcPr>
            <w:tcW w:type="dxa" w:w="69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System Test Plan</w:t>
            </w:r>
          </w:p>
        </w:tc>
      </w:tr>
      <w:tr>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System Name</w:t>
            </w:r>
          </w:p>
        </w:tc>
        <w:tc>
          <w:tcPr>
            <w:tcW w:type="dxa" w:w="69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Project Kalinga (CEFMU Registry)</w:t>
            </w:r>
          </w:p>
        </w:tc>
      </w:tr>
      <w:tr>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Version</w:t>
            </w:r>
          </w:p>
        </w:tc>
        <w:tc>
          <w:tcPr>
            <w:tcW w:type="dxa" w:w="69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1.1</w:t>
            </w:r>
          </w:p>
        </w:tc>
      </w:tr>
      <w:tr>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Date</w:t>
            </w:r>
          </w:p>
        </w:tc>
        <w:tc>
          <w:tcPr>
            <w:tcW w:type="dxa" w:w="69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July 10, 2026</w:t>
            </w:r>
          </w:p>
        </w:tc>
      </w:tr>
      <w:tr>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Classification</w:t>
            </w:r>
          </w:p>
        </w:tc>
        <w:tc>
          <w:tcPr>
            <w:tcW w:type="dxa" w:w="69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CONFIDENTIAL — DSWD Internal Use Only</w:t>
            </w:r>
          </w:p>
        </w:tc>
      </w:tr>
    </w:tbl>
    <w:p>
      <w:pPr>
        <w:spacing w:before="600"/>
      </w:pPr>
    </w:p>
    <w:p>
      <w:pPr>
        <w:spacing w:after="60" w:before="60"/>
        <w:jc w:val="center"/>
      </w:pPr>
      <w:r>
        <w:rPr>
          <w:rFonts w:ascii="Calibri" w:cs="Calibri" w:eastAsia="Calibri" w:hAnsi="Calibri"/>
          <w:b/>
          <w:bCs/>
          <w:i w:val="false"/>
          <w:iCs w:val="false"/>
          <w:color w:val="CC0000"/>
          <w:sz w:val="22"/>
          <w:szCs w:val="22"/>
        </w:rPr>
        <w:t xml:space="preserve">CONFIDENTIAL — DSWD Internal Use Only</w:t>
      </w:r>
    </w:p>
    <w:p>
      <w:r>
        <w:br w:type="page"/>
      </w:r>
    </w:p>
    <w:p>
      <w:pPr>
        <w:pStyle w:val="Heading1"/>
        <w:spacing w:after="160" w:before="360"/>
      </w:pPr>
      <w:r>
        <w:rPr>
          <w:rFonts w:ascii="Calibri" w:cs="Calibri" w:eastAsia="Calibri" w:hAnsi="Calibri"/>
          <w:b/>
          <w:bCs/>
          <w:color w:val="003366"/>
          <w:sz w:val="30"/>
          <w:szCs w:val="30"/>
        </w:rPr>
        <w:t xml:space="preserve">1. Introduction</w:t>
      </w:r>
    </w:p>
    <w:p>
      <w:pPr>
        <w:pStyle w:val="Heading2"/>
        <w:spacing w:after="120" w:before="280"/>
      </w:pPr>
      <w:r>
        <w:rPr>
          <w:rFonts w:ascii="Calibri" w:cs="Calibri" w:eastAsia="Calibri" w:hAnsi="Calibri"/>
          <w:b/>
          <w:bCs/>
          <w:color w:val="003366"/>
          <w:sz w:val="26"/>
          <w:szCs w:val="26"/>
        </w:rPr>
        <w:t xml:space="preserve">1.1 Purpose</w:t>
      </w:r>
    </w:p>
    <w:p>
      <w:pPr>
        <w:spacing w:after="60" w:before="60"/>
        <w:jc w:val="left"/>
      </w:pPr>
      <w:r>
        <w:rPr>
          <w:rFonts w:ascii="Calibri" w:cs="Calibri" w:eastAsia="Calibri" w:hAnsi="Calibri"/>
          <w:b w:val="false"/>
          <w:bCs w:val="false"/>
          <w:i w:val="false"/>
          <w:iCs w:val="false"/>
          <w:color w:val="000000"/>
          <w:sz w:val="22"/>
          <w:szCs w:val="22"/>
        </w:rPr>
        <w:t xml:space="preserve">This test plan defines the scope, approach, resources, and schedule for testing Project Kalinga (CEFMU Registry System) in compliance with DSWD-ICTMS-SOP-020 (Software Quality Assurance).</w:t>
      </w:r>
    </w:p>
    <w:p>
      <w:pPr>
        <w:pStyle w:val="Heading2"/>
        <w:spacing w:after="120" w:before="280"/>
      </w:pPr>
      <w:r>
        <w:rPr>
          <w:rFonts w:ascii="Calibri" w:cs="Calibri" w:eastAsia="Calibri" w:hAnsi="Calibri"/>
          <w:b/>
          <w:bCs/>
          <w:color w:val="003366"/>
          <w:sz w:val="26"/>
          <w:szCs w:val="26"/>
        </w:rPr>
        <w:t xml:space="preserve">1.2 Scope</w:t>
      </w:r>
    </w:p>
    <w:p>
      <w:pPr>
        <w:spacing w:after="60" w:before="60"/>
        <w:jc w:val="left"/>
      </w:pPr>
      <w:r>
        <w:rPr>
          <w:rFonts w:ascii="Calibri" w:cs="Calibri" w:eastAsia="Calibri" w:hAnsi="Calibri"/>
          <w:b w:val="false"/>
          <w:bCs w:val="false"/>
          <w:i w:val="false"/>
          <w:iCs w:val="false"/>
          <w:color w:val="000000"/>
          <w:sz w:val="22"/>
          <w:szCs w:val="22"/>
        </w:rPr>
        <w:t xml:space="preserve">Testing covers all functional modules, security controls, performance characteristics, and usability aspects of the system.</w:t>
      </w:r>
    </w:p>
    <w:p>
      <w:pPr>
        <w:pStyle w:val="Heading2"/>
        <w:spacing w:after="120" w:before="280"/>
      </w:pPr>
      <w:r>
        <w:rPr>
          <w:rFonts w:ascii="Calibri" w:cs="Calibri" w:eastAsia="Calibri" w:hAnsi="Calibri"/>
          <w:b/>
          <w:bCs/>
          <w:color w:val="003366"/>
          <w:sz w:val="26"/>
          <w:szCs w:val="26"/>
        </w:rPr>
        <w:t xml:space="preserve">1.3 References</w:t>
      </w:r>
    </w:p>
    <w:p>
      <w:pPr>
        <w:pStyle w:val="ListParagraph"/>
        <w:numPr>
          <w:ilvl w:val="0"/>
          <w:numId w:val="2"/>
        </w:numPr>
        <w:spacing w:after="30" w:before="30"/>
      </w:pPr>
      <w:r>
        <w:rPr>
          <w:rFonts w:ascii="Calibri" w:cs="Calibri" w:eastAsia="Calibri" w:hAnsi="Calibri"/>
          <w:sz w:val="22"/>
          <w:szCs w:val="22"/>
        </w:rPr>
        <w:t xml:space="preserve">DSWD-ICTMS-SOP-020 Software Quality Assurance</w:t>
      </w:r>
    </w:p>
    <w:p>
      <w:pPr>
        <w:pStyle w:val="ListParagraph"/>
        <w:numPr>
          <w:ilvl w:val="0"/>
          <w:numId w:val="2"/>
        </w:numPr>
        <w:spacing w:after="30" w:before="30"/>
      </w:pPr>
      <w:r>
        <w:rPr>
          <w:rFonts w:ascii="Calibri" w:cs="Calibri" w:eastAsia="Calibri" w:hAnsi="Calibri"/>
          <w:sz w:val="22"/>
          <w:szCs w:val="22"/>
        </w:rPr>
        <w:t xml:space="preserve">DSWD-ICTMS-SOP-002 Vulnerability Assessment</w:t>
      </w:r>
    </w:p>
    <w:p>
      <w:pPr>
        <w:pStyle w:val="ListParagraph"/>
        <w:numPr>
          <w:ilvl w:val="0"/>
          <w:numId w:val="2"/>
        </w:numPr>
        <w:spacing w:after="30" w:before="30"/>
      </w:pPr>
      <w:r>
        <w:rPr>
          <w:rFonts w:ascii="Calibri" w:cs="Calibri" w:eastAsia="Calibri" w:hAnsi="Calibri"/>
          <w:sz w:val="22"/>
          <w:szCs w:val="22"/>
        </w:rPr>
        <w:t xml:space="preserve">IS Documentation — System Profile (01-IS-Documentation.docx)</w:t>
      </w:r>
    </w:p>
    <w:p>
      <w:r>
        <w:br w:type="page"/>
      </w:r>
    </w:p>
    <w:p>
      <w:pPr>
        <w:pStyle w:val="Heading1"/>
        <w:spacing w:after="160" w:before="360"/>
      </w:pPr>
      <w:r>
        <w:rPr>
          <w:rFonts w:ascii="Calibri" w:cs="Calibri" w:eastAsia="Calibri" w:hAnsi="Calibri"/>
          <w:b/>
          <w:bCs/>
          <w:color w:val="003366"/>
          <w:sz w:val="30"/>
          <w:szCs w:val="30"/>
        </w:rPr>
        <w:t xml:space="preserve">2. Test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B4C6D9" w:sz="1"/>
              <w:left w:val="single" w:color="B4C6D9" w:sz="1"/>
              <w:bottom w:val="single" w:color="B4C6D9" w:sz="1"/>
              <w:right w:val="single" w:color="B4C6D9" w:sz="1"/>
            </w:tcBorders>
            <w:shd w:fill="00336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Module</w:t>
            </w:r>
          </w:p>
        </w:tc>
        <w:tc>
          <w:tcPr>
            <w:tcW w:type="dxa" w:w="4560"/>
            <w:tcBorders>
              <w:top w:val="single" w:color="B4C6D9" w:sz="1"/>
              <w:left w:val="single" w:color="B4C6D9" w:sz="1"/>
              <w:bottom w:val="single" w:color="B4C6D9" w:sz="1"/>
              <w:right w:val="single" w:color="B4C6D9" w:sz="1"/>
            </w:tcBorders>
            <w:shd w:fill="00336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Description</w:t>
            </w:r>
          </w:p>
        </w:tc>
        <w:tc>
          <w:tcPr>
            <w:tcW w:type="dxa" w:w="2400"/>
            <w:tcBorders>
              <w:top w:val="single" w:color="B4C6D9" w:sz="1"/>
              <w:left w:val="single" w:color="B4C6D9" w:sz="1"/>
              <w:bottom w:val="single" w:color="B4C6D9" w:sz="1"/>
              <w:right w:val="single" w:color="B4C6D9" w:sz="1"/>
            </w:tcBorders>
            <w:shd w:fill="00336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Priority</w:t>
            </w:r>
          </w:p>
        </w:tc>
      </w:tr>
      <w:tr>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Authentication</w:t>
            </w:r>
          </w:p>
        </w:tc>
        <w:tc>
          <w:tcPr>
            <w:tcW w:type="dxa" w:w="45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Google OAuth login, email/password login, session management, account lockout, rate limiting, session invalidation</w:t>
            </w:r>
          </w:p>
        </w:tc>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Critical</w:t>
            </w:r>
          </w:p>
        </w:tc>
      </w:tr>
      <w:tr>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Case Management</w:t>
            </w:r>
          </w:p>
        </w:tc>
        <w:tc>
          <w:tcPr>
            <w:tcW w:type="dxa" w:w="45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Create, read, update, close, reopen cases</w:t>
            </w:r>
          </w:p>
        </w:tc>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Critical</w:t>
            </w:r>
          </w:p>
        </w:tc>
      </w:tr>
      <w:tr>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Services</w:t>
            </w:r>
          </w:p>
        </w:tc>
        <w:tc>
          <w:tcPr>
            <w:tcW w:type="dxa" w:w="45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Add services to cases</w:t>
            </w:r>
          </w:p>
        </w:tc>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High</w:t>
            </w:r>
          </w:p>
        </w:tc>
      </w:tr>
      <w:tr>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Progress Notes</w:t>
            </w:r>
          </w:p>
        </w:tc>
        <w:tc>
          <w:tcPr>
            <w:tcW w:type="dxa" w:w="45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Add, edit, view progress notes</w:t>
            </w:r>
          </w:p>
        </w:tc>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High</w:t>
            </w:r>
          </w:p>
        </w:tc>
      </w:tr>
      <w:tr>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Family Composition</w:t>
            </w:r>
          </w:p>
        </w:tc>
        <w:tc>
          <w:tcPr>
            <w:tcW w:type="dxa" w:w="45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Add, edit, remove family members</w:t>
            </w:r>
          </w:p>
        </w:tc>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Medium</w:t>
            </w:r>
          </w:p>
        </w:tc>
      </w:tr>
      <w:tr>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User Management</w:t>
            </w:r>
          </w:p>
        </w:tc>
        <w:tc>
          <w:tcPr>
            <w:tcW w:type="dxa" w:w="45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Create, update, activate/deactivate users, set passwords</w:t>
            </w:r>
          </w:p>
        </w:tc>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Critical</w:t>
            </w:r>
          </w:p>
        </w:tc>
      </w:tr>
      <w:tr>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Dashboard</w:t>
            </w:r>
          </w:p>
        </w:tc>
        <w:tc>
          <w:tcPr>
            <w:tcW w:type="dxa" w:w="45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Statistical aggregation, charts, data filtering</w:t>
            </w:r>
          </w:p>
        </w:tc>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High</w:t>
            </w:r>
          </w:p>
        </w:tc>
      </w:tr>
      <w:tr>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Reports &amp; Export</w:t>
            </w:r>
          </w:p>
        </w:tc>
        <w:tc>
          <w:tcPr>
            <w:tcW w:type="dxa" w:w="45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CSV export with audit logging, purpose declaration</w:t>
            </w:r>
          </w:p>
        </w:tc>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High</w:t>
            </w:r>
          </w:p>
        </w:tc>
      </w:tr>
      <w:tr>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Audit Logs</w:t>
            </w:r>
          </w:p>
        </w:tc>
        <w:tc>
          <w:tcPr>
            <w:tcW w:type="dxa" w:w="45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Activity log viewing, failed login monitoring</w:t>
            </w:r>
          </w:p>
        </w:tc>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Medium</w:t>
            </w:r>
          </w:p>
        </w:tc>
      </w:tr>
      <w:tr>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Public Dashboard</w:t>
            </w:r>
          </w:p>
        </w:tc>
        <w:tc>
          <w:tcPr>
            <w:tcW w:type="dxa" w:w="45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Anonymized aggregate data display</w:t>
            </w:r>
          </w:p>
        </w:tc>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Medium</w:t>
            </w:r>
          </w:p>
        </w:tc>
      </w:tr>
      <w:tr>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Offline Mode</w:t>
            </w:r>
          </w:p>
        </w:tc>
        <w:tc>
          <w:tcPr>
            <w:tcW w:type="dxa" w:w="45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IndexedDB queue, auto-sync on reconnect</w:t>
            </w:r>
          </w:p>
        </w:tc>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Medium</w:t>
            </w:r>
          </w:p>
        </w:tc>
      </w:tr>
      <w:tr>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RBAC</w:t>
            </w:r>
          </w:p>
        </w:tc>
        <w:tc>
          <w:tcPr>
            <w:tcW w:type="dxa" w:w="45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Role-based access control enforcement</w:t>
            </w:r>
          </w:p>
        </w:tc>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Critical</w:t>
            </w:r>
          </w:p>
        </w:tc>
      </w:tr>
      <w:tr>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Input Sanitization</w:t>
            </w:r>
          </w:p>
        </w:tc>
        <w:tc>
          <w:tcPr>
            <w:tcW w:type="dxa" w:w="45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XSS prevention, HTML stripping, payload size limits</w:t>
            </w:r>
          </w:p>
        </w:tc>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Critical</w:t>
            </w:r>
          </w:p>
        </w:tc>
      </w:tr>
      <w:tr>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Security Headers</w:t>
            </w:r>
          </w:p>
        </w:tc>
        <w:tc>
          <w:tcPr>
            <w:tcW w:type="dxa" w:w="45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CSP, X-Frame-Options, X-Content-Type-Options, Referrer-Policy</w:t>
            </w:r>
          </w:p>
        </w:tc>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High</w:t>
            </w:r>
          </w:p>
        </w:tc>
      </w:tr>
    </w:tbl>
    <w:p>
      <w:r>
        <w:br w:type="page"/>
      </w:r>
    </w:p>
    <w:p>
      <w:pPr>
        <w:pStyle w:val="Heading1"/>
        <w:spacing w:after="160" w:before="360"/>
      </w:pPr>
      <w:r>
        <w:rPr>
          <w:rFonts w:ascii="Calibri" w:cs="Calibri" w:eastAsia="Calibri" w:hAnsi="Calibri"/>
          <w:b/>
          <w:bCs/>
          <w:color w:val="003366"/>
          <w:sz w:val="30"/>
          <w:szCs w:val="30"/>
        </w:rPr>
        <w:t xml:space="preserve">3. Testing Approach</w:t>
      </w:r>
    </w:p>
    <w:p>
      <w:pPr>
        <w:pStyle w:val="Heading2"/>
        <w:spacing w:after="120" w:before="280"/>
      </w:pPr>
      <w:r>
        <w:rPr>
          <w:rFonts w:ascii="Calibri" w:cs="Calibri" w:eastAsia="Calibri" w:hAnsi="Calibri"/>
          <w:b/>
          <w:bCs/>
          <w:color w:val="003366"/>
          <w:sz w:val="26"/>
          <w:szCs w:val="26"/>
        </w:rPr>
        <w:t xml:space="preserve">3.1 Test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4C6D9" w:sz="1"/>
              <w:left w:val="single" w:color="B4C6D9" w:sz="1"/>
              <w:bottom w:val="single" w:color="B4C6D9" w:sz="1"/>
              <w:right w:val="single" w:color="B4C6D9" w:sz="1"/>
            </w:tcBorders>
            <w:shd w:fill="00336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Test Type</w:t>
            </w:r>
          </w:p>
        </w:tc>
        <w:tc>
          <w:tcPr>
            <w:tcW w:type="dxa" w:w="3480"/>
            <w:tcBorders>
              <w:top w:val="single" w:color="B4C6D9" w:sz="1"/>
              <w:left w:val="single" w:color="B4C6D9" w:sz="1"/>
              <w:bottom w:val="single" w:color="B4C6D9" w:sz="1"/>
              <w:right w:val="single" w:color="B4C6D9" w:sz="1"/>
            </w:tcBorders>
            <w:shd w:fill="00336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Tool/Method</w:t>
            </w:r>
          </w:p>
        </w:tc>
        <w:tc>
          <w:tcPr>
            <w:tcW w:type="dxa" w:w="3480"/>
            <w:tcBorders>
              <w:top w:val="single" w:color="B4C6D9" w:sz="1"/>
              <w:left w:val="single" w:color="B4C6D9" w:sz="1"/>
              <w:bottom w:val="single" w:color="B4C6D9" w:sz="1"/>
              <w:right w:val="single" w:color="B4C6D9" w:sz="1"/>
            </w:tcBorders>
            <w:shd w:fill="00336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Scope</w:t>
            </w:r>
          </w:p>
        </w:tc>
      </w:tr>
      <w:tr>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Functional Testing</w:t>
            </w:r>
          </w:p>
        </w:tc>
        <w:tc>
          <w:tcPr>
            <w:tcW w:type="dxa" w:w="348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Manual + Playwright (automated)</w:t>
            </w:r>
          </w:p>
        </w:tc>
        <w:tc>
          <w:tcPr>
            <w:tcW w:type="dxa" w:w="348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All modules</w:t>
            </w:r>
          </w:p>
        </w:tc>
      </w:tr>
      <w:tr>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Security Testing</w:t>
            </w:r>
          </w:p>
        </w:tc>
        <w:tc>
          <w:tcPr>
            <w:tcW w:type="dxa" w:w="348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Manual + OWASP ZAP</w:t>
            </w:r>
          </w:p>
        </w:tc>
        <w:tc>
          <w:tcPr>
            <w:tcW w:type="dxa" w:w="348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Auth, RBAC, input validation, headers, rate limiting</w:t>
            </w:r>
          </w:p>
        </w:tc>
      </w:tr>
      <w:tr>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Performance Testing</w:t>
            </w:r>
          </w:p>
        </w:tc>
        <w:tc>
          <w:tcPr>
            <w:tcW w:type="dxa" w:w="348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K6 load testing</w:t>
            </w:r>
          </w:p>
        </w:tc>
        <w:tc>
          <w:tcPr>
            <w:tcW w:type="dxa" w:w="348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API response times, concurrent users</w:t>
            </w:r>
          </w:p>
        </w:tc>
      </w:tr>
      <w:tr>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Usability Testing</w:t>
            </w:r>
          </w:p>
        </w:tc>
        <w:tc>
          <w:tcPr>
            <w:tcW w:type="dxa" w:w="348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Manual (stakeholder review)</w:t>
            </w:r>
          </w:p>
        </w:tc>
        <w:tc>
          <w:tcPr>
            <w:tcW w:type="dxa" w:w="348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UI/UX, accessibility</w:t>
            </w:r>
          </w:p>
        </w:tc>
      </w:tr>
      <w:tr>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Regression Testing</w:t>
            </w:r>
          </w:p>
        </w:tc>
        <w:tc>
          <w:tcPr>
            <w:tcW w:type="dxa" w:w="348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Playwright automated suite</w:t>
            </w:r>
          </w:p>
        </w:tc>
        <w:tc>
          <w:tcPr>
            <w:tcW w:type="dxa" w:w="348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Critical paths after changes</w:t>
            </w:r>
          </w:p>
        </w:tc>
      </w:tr>
      <w:tr>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Compatibility Testing</w:t>
            </w:r>
          </w:p>
        </w:tc>
        <w:tc>
          <w:tcPr>
            <w:tcW w:type="dxa" w:w="348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Manual</w:t>
            </w:r>
          </w:p>
        </w:tc>
        <w:tc>
          <w:tcPr>
            <w:tcW w:type="dxa" w:w="348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Chrome, Edge, Firefox, Safari; Desktop, Mobile</w:t>
            </w:r>
          </w:p>
        </w:tc>
      </w:tr>
    </w:tbl>
    <w:p>
      <w:pPr>
        <w:pStyle w:val="Heading2"/>
        <w:spacing w:after="120" w:before="280"/>
      </w:pPr>
      <w:r>
        <w:rPr>
          <w:rFonts w:ascii="Calibri" w:cs="Calibri" w:eastAsia="Calibri" w:hAnsi="Calibri"/>
          <w:b/>
          <w:bCs/>
          <w:color w:val="003366"/>
          <w:sz w:val="26"/>
          <w:szCs w:val="26"/>
        </w:rPr>
        <w:t xml:space="preserve">3.2 Test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4C6D9" w:sz="1"/>
              <w:left w:val="single" w:color="B4C6D9" w:sz="1"/>
              <w:bottom w:val="single" w:color="B4C6D9" w:sz="1"/>
              <w:right w:val="single" w:color="B4C6D9" w:sz="1"/>
            </w:tcBorders>
            <w:shd w:fill="00336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Component</w:t>
            </w:r>
          </w:p>
        </w:tc>
        <w:tc>
          <w:tcPr>
            <w:tcW w:type="dxa" w:w="6960"/>
            <w:tcBorders>
              <w:top w:val="single" w:color="B4C6D9" w:sz="1"/>
              <w:left w:val="single" w:color="B4C6D9" w:sz="1"/>
              <w:bottom w:val="single" w:color="B4C6D9" w:sz="1"/>
              <w:right w:val="single" w:color="B4C6D9" w:sz="1"/>
            </w:tcBorders>
            <w:shd w:fill="00336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Staging Environment</w:t>
            </w:r>
          </w:p>
        </w:tc>
      </w:tr>
      <w:tr>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Frontend URL</w:t>
            </w:r>
          </w:p>
        </w:tc>
        <w:tc>
          <w:tcPr>
            <w:tcW w:type="dxa" w:w="69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Vercel preview deployment (staging branch) with HTTPS/SSL</w:t>
            </w:r>
          </w:p>
        </w:tc>
      </w:tr>
      <w:tr>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Backend</w:t>
            </w:r>
          </w:p>
        </w:tc>
        <w:tc>
          <w:tcPr>
            <w:tcW w:type="dxa" w:w="69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Separate Apps Script deployment for testing</w:t>
            </w:r>
          </w:p>
        </w:tc>
      </w:tr>
      <w:tr>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Database</w:t>
            </w:r>
          </w:p>
        </w:tc>
        <w:tc>
          <w:tcPr>
            <w:tcW w:type="dxa" w:w="69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Separate Google Sheets instance with test data</w:t>
            </w:r>
          </w:p>
        </w:tc>
      </w:tr>
      <w:tr>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Test Accounts</w:t>
            </w:r>
          </w:p>
        </w:tc>
        <w:tc>
          <w:tcPr>
            <w:tcW w:type="dxa" w:w="69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See Section 7</w:t>
            </w:r>
          </w:p>
        </w:tc>
      </w:tr>
    </w:tbl>
    <w:p>
      <w:pPr>
        <w:pStyle w:val="Heading2"/>
        <w:spacing w:after="120" w:before="280"/>
      </w:pPr>
      <w:r>
        <w:rPr>
          <w:rFonts w:ascii="Calibri" w:cs="Calibri" w:eastAsia="Calibri" w:hAnsi="Calibri"/>
          <w:b/>
          <w:bCs/>
          <w:color w:val="003366"/>
          <w:sz w:val="26"/>
          <w:szCs w:val="26"/>
        </w:rPr>
        <w:t xml:space="preserve">3.3 Entry Criteria</w:t>
      </w:r>
    </w:p>
    <w:p>
      <w:pPr>
        <w:pStyle w:val="ListParagraph"/>
        <w:numPr>
          <w:ilvl w:val="0"/>
          <w:numId w:val="2"/>
        </w:numPr>
        <w:spacing w:after="30" w:before="30"/>
      </w:pPr>
      <w:r>
        <w:rPr>
          <w:rFonts w:ascii="Calibri" w:cs="Calibri" w:eastAsia="Calibri" w:hAnsi="Calibri"/>
          <w:sz w:val="22"/>
          <w:szCs w:val="22"/>
        </w:rPr>
        <w:t xml:space="preserve">System deployed to Vercel staging (preview deployment from staging branch)</w:t>
      </w:r>
    </w:p>
    <w:p>
      <w:pPr>
        <w:pStyle w:val="ListParagraph"/>
        <w:numPr>
          <w:ilvl w:val="0"/>
          <w:numId w:val="2"/>
        </w:numPr>
        <w:spacing w:after="30" w:before="30"/>
      </w:pPr>
      <w:r>
        <w:rPr>
          <w:rFonts w:ascii="Calibri" w:cs="Calibri" w:eastAsia="Calibri" w:hAnsi="Calibri"/>
          <w:sz w:val="22"/>
          <w:szCs w:val="22"/>
        </w:rPr>
        <w:t xml:space="preserve">Test data seeded in staging database</w:t>
      </w:r>
    </w:p>
    <w:p>
      <w:pPr>
        <w:pStyle w:val="ListParagraph"/>
        <w:numPr>
          <w:ilvl w:val="0"/>
          <w:numId w:val="2"/>
        </w:numPr>
        <w:spacing w:after="30" w:before="30"/>
      </w:pPr>
      <w:r>
        <w:rPr>
          <w:rFonts w:ascii="Calibri" w:cs="Calibri" w:eastAsia="Calibri" w:hAnsi="Calibri"/>
          <w:sz w:val="22"/>
          <w:szCs w:val="22"/>
        </w:rPr>
        <w:t xml:space="preserve">Test accounts created for all roles</w:t>
      </w:r>
    </w:p>
    <w:p>
      <w:pPr>
        <w:pStyle w:val="ListParagraph"/>
        <w:numPr>
          <w:ilvl w:val="0"/>
          <w:numId w:val="2"/>
        </w:numPr>
        <w:spacing w:after="30" w:before="30"/>
      </w:pPr>
      <w:r>
        <w:rPr>
          <w:rFonts w:ascii="Calibri" w:cs="Calibri" w:eastAsia="Calibri" w:hAnsi="Calibri"/>
          <w:sz w:val="22"/>
          <w:szCs w:val="22"/>
        </w:rPr>
        <w:t xml:space="preserve">HTTPS/SSL active on staging URL (Vercel provides this automatically)</w:t>
      </w:r>
    </w:p>
    <w:p>
      <w:pPr>
        <w:pStyle w:val="ListParagraph"/>
        <w:numPr>
          <w:ilvl w:val="0"/>
          <w:numId w:val="2"/>
        </w:numPr>
        <w:spacing w:after="30" w:before="30"/>
      </w:pPr>
      <w:r>
        <w:rPr>
          <w:rFonts w:ascii="Calibri" w:cs="Calibri" w:eastAsia="Calibri" w:hAnsi="Calibri"/>
          <w:sz w:val="22"/>
          <w:szCs w:val="22"/>
        </w:rPr>
        <w:t xml:space="preserve">Staging Apps Script deployment configured with separate spreadsheet</w:t>
      </w:r>
    </w:p>
    <w:p>
      <w:pPr>
        <w:pStyle w:val="Heading2"/>
        <w:spacing w:after="120" w:before="280"/>
      </w:pPr>
      <w:r>
        <w:rPr>
          <w:rFonts w:ascii="Calibri" w:cs="Calibri" w:eastAsia="Calibri" w:hAnsi="Calibri"/>
          <w:b/>
          <w:bCs/>
          <w:color w:val="003366"/>
          <w:sz w:val="26"/>
          <w:szCs w:val="26"/>
        </w:rPr>
        <w:t xml:space="preserve">3.4 Exit Criteria</w:t>
      </w:r>
    </w:p>
    <w:p>
      <w:pPr>
        <w:pStyle w:val="ListParagraph"/>
        <w:numPr>
          <w:ilvl w:val="0"/>
          <w:numId w:val="2"/>
        </w:numPr>
        <w:spacing w:after="30" w:before="30"/>
      </w:pPr>
      <w:r>
        <w:rPr>
          <w:rFonts w:ascii="Calibri" w:cs="Calibri" w:eastAsia="Calibri" w:hAnsi="Calibri"/>
          <w:sz w:val="22"/>
          <w:szCs w:val="22"/>
        </w:rPr>
        <w:t xml:space="preserve">All Critical and High priority test cases pass</w:t>
      </w:r>
    </w:p>
    <w:p>
      <w:pPr>
        <w:pStyle w:val="ListParagraph"/>
        <w:numPr>
          <w:ilvl w:val="0"/>
          <w:numId w:val="2"/>
        </w:numPr>
        <w:spacing w:after="30" w:before="30"/>
      </w:pPr>
      <w:r>
        <w:rPr>
          <w:rFonts w:ascii="Calibri" w:cs="Calibri" w:eastAsia="Calibri" w:hAnsi="Calibri"/>
          <w:sz w:val="22"/>
          <w:szCs w:val="22"/>
        </w:rPr>
        <w:t xml:space="preserve">No Critical or High severity defects remain open</w:t>
      </w:r>
    </w:p>
    <w:p>
      <w:pPr>
        <w:pStyle w:val="ListParagraph"/>
        <w:numPr>
          <w:ilvl w:val="0"/>
          <w:numId w:val="2"/>
        </w:numPr>
        <w:spacing w:after="30" w:before="30"/>
      </w:pPr>
      <w:r>
        <w:rPr>
          <w:rFonts w:ascii="Calibri" w:cs="Calibri" w:eastAsia="Calibri" w:hAnsi="Calibri"/>
          <w:sz w:val="22"/>
          <w:szCs w:val="22"/>
        </w:rPr>
        <w:t xml:space="preserve">Security test results show no Critical/High vulnerabilities</w:t>
      </w:r>
    </w:p>
    <w:p>
      <w:pPr>
        <w:pStyle w:val="ListParagraph"/>
        <w:numPr>
          <w:ilvl w:val="0"/>
          <w:numId w:val="2"/>
        </w:numPr>
        <w:spacing w:after="30" w:before="30"/>
      </w:pPr>
      <w:r>
        <w:rPr>
          <w:rFonts w:ascii="Calibri" w:cs="Calibri" w:eastAsia="Calibri" w:hAnsi="Calibri"/>
          <w:sz w:val="22"/>
          <w:szCs w:val="22"/>
        </w:rPr>
        <w:t xml:space="preserve">Performance meets SLA targets (see Section 6)</w:t>
      </w:r>
    </w:p>
    <w:p>
      <w:r>
        <w:br w:type="page"/>
      </w:r>
    </w:p>
    <w:p>
      <w:pPr>
        <w:pStyle w:val="Heading1"/>
        <w:spacing w:after="160" w:before="360"/>
      </w:pPr>
      <w:r>
        <w:rPr>
          <w:rFonts w:ascii="Calibri" w:cs="Calibri" w:eastAsia="Calibri" w:hAnsi="Calibri"/>
          <w:b/>
          <w:bCs/>
          <w:color w:val="003366"/>
          <w:sz w:val="30"/>
          <w:szCs w:val="30"/>
        </w:rPr>
        <w:t xml:space="preserve">4. Test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360"/>
        <w:gridCol w:w="2400"/>
      </w:tblGrid>
      <w:tr>
        <w:trPr>
          <w:tblHeader/>
        </w:trPr>
        <w:tc>
          <w:tcPr>
            <w:tcW w:type="dxa" w:w="1600"/>
            <w:tcBorders>
              <w:top w:val="single" w:color="B4C6D9" w:sz="1"/>
              <w:left w:val="single" w:color="B4C6D9" w:sz="1"/>
              <w:bottom w:val="single" w:color="B4C6D9" w:sz="1"/>
              <w:right w:val="single" w:color="B4C6D9" w:sz="1"/>
            </w:tcBorders>
            <w:shd w:fill="00336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Phase</w:t>
            </w:r>
          </w:p>
        </w:tc>
        <w:tc>
          <w:tcPr>
            <w:tcW w:type="dxa" w:w="5360"/>
            <w:tcBorders>
              <w:top w:val="single" w:color="B4C6D9" w:sz="1"/>
              <w:left w:val="single" w:color="B4C6D9" w:sz="1"/>
              <w:bottom w:val="single" w:color="B4C6D9" w:sz="1"/>
              <w:right w:val="single" w:color="B4C6D9" w:sz="1"/>
            </w:tcBorders>
            <w:shd w:fill="00336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Activity</w:t>
            </w:r>
          </w:p>
        </w:tc>
        <w:tc>
          <w:tcPr>
            <w:tcW w:type="dxa" w:w="2400"/>
            <w:tcBorders>
              <w:top w:val="single" w:color="B4C6D9" w:sz="1"/>
              <w:left w:val="single" w:color="B4C6D9" w:sz="1"/>
              <w:bottom w:val="single" w:color="B4C6D9" w:sz="1"/>
              <w:right w:val="single" w:color="B4C6D9" w:sz="1"/>
            </w:tcBorders>
            <w:shd w:fill="00336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Duration</w:t>
            </w:r>
          </w:p>
        </w:tc>
      </w:tr>
      <w:tr>
        <w:tc>
          <w:tcPr>
            <w:tcW w:type="dxa" w:w="16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Phase 1</w:t>
            </w:r>
          </w:p>
        </w:tc>
        <w:tc>
          <w:tcPr>
            <w:tcW w:type="dxa" w:w="53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Test environment setup, test data preparation</w:t>
            </w:r>
          </w:p>
        </w:tc>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2 days</w:t>
            </w:r>
          </w:p>
        </w:tc>
      </w:tr>
      <w:tr>
        <w:tc>
          <w:tcPr>
            <w:tcW w:type="dxa" w:w="16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Phase 2</w:t>
            </w:r>
          </w:p>
        </w:tc>
        <w:tc>
          <w:tcPr>
            <w:tcW w:type="dxa" w:w="53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Functional testing (all modules)</w:t>
            </w:r>
          </w:p>
        </w:tc>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5 days</w:t>
            </w:r>
          </w:p>
        </w:tc>
      </w:tr>
      <w:tr>
        <w:tc>
          <w:tcPr>
            <w:tcW w:type="dxa" w:w="16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Phase 3</w:t>
            </w:r>
          </w:p>
        </w:tc>
        <w:tc>
          <w:tcPr>
            <w:tcW w:type="dxa" w:w="53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Security testing (including rate limiting and input sanitization)</w:t>
            </w:r>
          </w:p>
        </w:tc>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3 days</w:t>
            </w:r>
          </w:p>
        </w:tc>
      </w:tr>
      <w:tr>
        <w:tc>
          <w:tcPr>
            <w:tcW w:type="dxa" w:w="16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Phase 4</w:t>
            </w:r>
          </w:p>
        </w:tc>
        <w:tc>
          <w:tcPr>
            <w:tcW w:type="dxa" w:w="53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Performance testing</w:t>
            </w:r>
          </w:p>
        </w:tc>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2 days</w:t>
            </w:r>
          </w:p>
        </w:tc>
      </w:tr>
      <w:tr>
        <w:tc>
          <w:tcPr>
            <w:tcW w:type="dxa" w:w="16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Phase 5</w:t>
            </w:r>
          </w:p>
        </w:tc>
        <w:tc>
          <w:tcPr>
            <w:tcW w:type="dxa" w:w="53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Defect resolution and re-testing</w:t>
            </w:r>
          </w:p>
        </w:tc>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3 days</w:t>
            </w:r>
          </w:p>
        </w:tc>
      </w:tr>
      <w:tr>
        <w:tc>
          <w:tcPr>
            <w:tcW w:type="dxa" w:w="16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Phase 6</w:t>
            </w:r>
          </w:p>
        </w:tc>
        <w:tc>
          <w:tcPr>
            <w:tcW w:type="dxa" w:w="53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Test report and sign-off</w:t>
            </w:r>
          </w:p>
        </w:tc>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1 day</w:t>
            </w:r>
          </w:p>
        </w:tc>
      </w:tr>
    </w:tbl>
    <w:p>
      <w:pPr>
        <w:pStyle w:val="Heading1"/>
        <w:spacing w:after="160" w:before="360"/>
      </w:pPr>
      <w:r>
        <w:rPr>
          <w:rFonts w:ascii="Calibri" w:cs="Calibri" w:eastAsia="Calibri" w:hAnsi="Calibri"/>
          <w:b/>
          <w:bCs/>
          <w:color w:val="003366"/>
          <w:sz w:val="30"/>
          <w:szCs w:val="30"/>
        </w:rPr>
        <w:t xml:space="preserve">5. Functional Test Areas</w:t>
      </w:r>
    </w:p>
    <w:p>
      <w:pPr>
        <w:pStyle w:val="Heading2"/>
        <w:spacing w:after="120" w:before="280"/>
      </w:pPr>
      <w:r>
        <w:rPr>
          <w:rFonts w:ascii="Calibri" w:cs="Calibri" w:eastAsia="Calibri" w:hAnsi="Calibri"/>
          <w:b/>
          <w:bCs/>
          <w:color w:val="003366"/>
          <w:sz w:val="26"/>
          <w:szCs w:val="26"/>
        </w:rPr>
        <w:t xml:space="preserve">5.1 Authentication</w:t>
      </w:r>
    </w:p>
    <w:p>
      <w:pPr>
        <w:pStyle w:val="ListParagraph"/>
        <w:numPr>
          <w:ilvl w:val="0"/>
          <w:numId w:val="2"/>
        </w:numPr>
        <w:spacing w:after="30" w:before="30"/>
      </w:pPr>
      <w:r>
        <w:rPr>
          <w:rFonts w:ascii="Calibri" w:cs="Calibri" w:eastAsia="Calibri" w:hAnsi="Calibri"/>
          <w:sz w:val="22"/>
          <w:szCs w:val="22"/>
        </w:rPr>
        <w:t xml:space="preserve">Google OAuth login with @dswd.gov.ph account</w:t>
      </w:r>
    </w:p>
    <w:p>
      <w:pPr>
        <w:pStyle w:val="ListParagraph"/>
        <w:numPr>
          <w:ilvl w:val="0"/>
          <w:numId w:val="2"/>
        </w:numPr>
        <w:spacing w:after="30" w:before="30"/>
      </w:pPr>
      <w:r>
        <w:rPr>
          <w:rFonts w:ascii="Calibri" w:cs="Calibri" w:eastAsia="Calibri" w:hAnsi="Calibri"/>
          <w:sz w:val="22"/>
          <w:szCs w:val="22"/>
        </w:rPr>
        <w:t xml:space="preserve">Email/password login with valid credentials</w:t>
      </w:r>
    </w:p>
    <w:p>
      <w:pPr>
        <w:pStyle w:val="ListParagraph"/>
        <w:numPr>
          <w:ilvl w:val="0"/>
          <w:numId w:val="2"/>
        </w:numPr>
        <w:spacing w:after="30" w:before="30"/>
      </w:pPr>
      <w:r>
        <w:rPr>
          <w:rFonts w:ascii="Calibri" w:cs="Calibri" w:eastAsia="Calibri" w:hAnsi="Calibri"/>
          <w:sz w:val="22"/>
          <w:szCs w:val="22"/>
        </w:rPr>
        <w:t xml:space="preserve">Login with invalid credentials (verify generic error, no email enumeration)</w:t>
      </w:r>
    </w:p>
    <w:p>
      <w:pPr>
        <w:pStyle w:val="ListParagraph"/>
        <w:numPr>
          <w:ilvl w:val="0"/>
          <w:numId w:val="2"/>
        </w:numPr>
        <w:spacing w:after="30" w:before="30"/>
      </w:pPr>
      <w:r>
        <w:rPr>
          <w:rFonts w:ascii="Calibri" w:cs="Calibri" w:eastAsia="Calibri" w:hAnsi="Calibri"/>
          <w:sz w:val="22"/>
          <w:szCs w:val="22"/>
        </w:rPr>
        <w:t xml:space="preserve">Account lockout after 5 failed attempts</w:t>
      </w:r>
    </w:p>
    <w:p>
      <w:pPr>
        <w:pStyle w:val="ListParagraph"/>
        <w:numPr>
          <w:ilvl w:val="0"/>
          <w:numId w:val="2"/>
        </w:numPr>
        <w:spacing w:after="30" w:before="30"/>
      </w:pPr>
      <w:r>
        <w:rPr>
          <w:rFonts w:ascii="Calibri" w:cs="Calibri" w:eastAsia="Calibri" w:hAnsi="Calibri"/>
          <w:sz w:val="22"/>
          <w:szCs w:val="22"/>
        </w:rPr>
        <w:t xml:space="preserve">Lockout expiry after 15 minutes</w:t>
      </w:r>
    </w:p>
    <w:p>
      <w:pPr>
        <w:pStyle w:val="ListParagraph"/>
        <w:numPr>
          <w:ilvl w:val="0"/>
          <w:numId w:val="2"/>
        </w:numPr>
        <w:spacing w:after="30" w:before="30"/>
      </w:pPr>
      <w:r>
        <w:rPr>
          <w:rFonts w:ascii="Calibri" w:cs="Calibri" w:eastAsia="Calibri" w:hAnsi="Calibri"/>
          <w:sz w:val="22"/>
          <w:szCs w:val="22"/>
        </w:rPr>
        <w:t xml:space="preserve">Rate limiting: 5 login attempts per 60 seconds per identifier</w:t>
      </w:r>
    </w:p>
    <w:p>
      <w:pPr>
        <w:pStyle w:val="ListParagraph"/>
        <w:numPr>
          <w:ilvl w:val="0"/>
          <w:numId w:val="2"/>
        </w:numPr>
        <w:spacing w:after="30" w:before="30"/>
      </w:pPr>
      <w:r>
        <w:rPr>
          <w:rFonts w:ascii="Calibri" w:cs="Calibri" w:eastAsia="Calibri" w:hAnsi="Calibri"/>
          <w:sz w:val="22"/>
          <w:szCs w:val="22"/>
        </w:rPr>
        <w:t xml:space="preserve">Session persistence and expiry (8h for password, 30d for OAuth)</w:t>
      </w:r>
    </w:p>
    <w:p>
      <w:pPr>
        <w:pStyle w:val="ListParagraph"/>
        <w:numPr>
          <w:ilvl w:val="0"/>
          <w:numId w:val="2"/>
        </w:numPr>
        <w:spacing w:after="30" w:before="30"/>
      </w:pPr>
      <w:r>
        <w:rPr>
          <w:rFonts w:ascii="Calibri" w:cs="Calibri" w:eastAsia="Calibri" w:hAnsi="Calibri"/>
          <w:sz w:val="22"/>
          <w:szCs w:val="22"/>
        </w:rPr>
        <w:t xml:space="preserve">Session invalidation on logout (server-side session deletion)</w:t>
      </w:r>
    </w:p>
    <w:p>
      <w:pPr>
        <w:pStyle w:val="ListParagraph"/>
        <w:numPr>
          <w:ilvl w:val="0"/>
          <w:numId w:val="2"/>
        </w:numPr>
        <w:spacing w:after="30" w:before="30"/>
      </w:pPr>
      <w:r>
        <w:rPr>
          <w:rFonts w:ascii="Calibri" w:cs="Calibri" w:eastAsia="Calibri" w:hAnsi="Calibri"/>
          <w:sz w:val="22"/>
          <w:szCs w:val="22"/>
        </w:rPr>
        <w:t xml:space="preserve">Auto-redirect to login on 401 (session expired)</w:t>
      </w:r>
    </w:p>
    <w:p>
      <w:pPr>
        <w:pStyle w:val="ListParagraph"/>
        <w:numPr>
          <w:ilvl w:val="0"/>
          <w:numId w:val="2"/>
        </w:numPr>
        <w:spacing w:after="30" w:before="30"/>
      </w:pPr>
      <w:r>
        <w:rPr>
          <w:rFonts w:ascii="Calibri" w:cs="Calibri" w:eastAsia="Calibri" w:hAnsi="Calibri"/>
          <w:sz w:val="22"/>
          <w:szCs w:val="22"/>
        </w:rPr>
        <w:t xml:space="preserve">Password change (complexity enforcement)</w:t>
      </w:r>
    </w:p>
    <w:p>
      <w:pPr>
        <w:pStyle w:val="ListParagraph"/>
        <w:numPr>
          <w:ilvl w:val="0"/>
          <w:numId w:val="2"/>
        </w:numPr>
        <w:spacing w:after="30" w:before="30"/>
      </w:pPr>
      <w:r>
        <w:rPr>
          <w:rFonts w:ascii="Calibri" w:cs="Calibri" w:eastAsia="Calibri" w:hAnsi="Calibri"/>
          <w:sz w:val="22"/>
          <w:szCs w:val="22"/>
        </w:rPr>
        <w:t xml:space="preserve">First-login forced password change</w:t>
      </w:r>
    </w:p>
    <w:p>
      <w:pPr>
        <w:pStyle w:val="Heading2"/>
        <w:spacing w:after="120" w:before="280"/>
      </w:pPr>
      <w:r>
        <w:rPr>
          <w:rFonts w:ascii="Calibri" w:cs="Calibri" w:eastAsia="Calibri" w:hAnsi="Calibri"/>
          <w:b/>
          <w:bCs/>
          <w:color w:val="003366"/>
          <w:sz w:val="26"/>
          <w:szCs w:val="26"/>
        </w:rPr>
        <w:t xml:space="preserve">5.2 Security Controls</w:t>
      </w:r>
    </w:p>
    <w:p>
      <w:pPr>
        <w:pStyle w:val="ListParagraph"/>
        <w:numPr>
          <w:ilvl w:val="0"/>
          <w:numId w:val="2"/>
        </w:numPr>
        <w:spacing w:after="30" w:before="30"/>
      </w:pPr>
      <w:r>
        <w:rPr>
          <w:rFonts w:ascii="Calibri" w:cs="Calibri" w:eastAsia="Calibri" w:hAnsi="Calibri"/>
          <w:sz w:val="22"/>
          <w:szCs w:val="22"/>
        </w:rPr>
        <w:t xml:space="preserve">Input sanitization: XSS prevention (&lt;script&gt; tags, HTML elements, javascript: URIs, event handlers stripped)</w:t>
      </w:r>
    </w:p>
    <w:p>
      <w:pPr>
        <w:pStyle w:val="ListParagraph"/>
        <w:numPr>
          <w:ilvl w:val="0"/>
          <w:numId w:val="2"/>
        </w:numPr>
        <w:spacing w:after="30" w:before="30"/>
      </w:pPr>
      <w:r>
        <w:rPr>
          <w:rFonts w:ascii="Calibri" w:cs="Calibri" w:eastAsia="Calibri" w:hAnsi="Calibri"/>
          <w:sz w:val="22"/>
          <w:szCs w:val="22"/>
        </w:rPr>
        <w:t xml:space="preserve">Payload size limits: strings exceeding 50KB rejected</w:t>
      </w:r>
    </w:p>
    <w:p>
      <w:pPr>
        <w:pStyle w:val="ListParagraph"/>
        <w:numPr>
          <w:ilvl w:val="0"/>
          <w:numId w:val="2"/>
        </w:numPr>
        <w:spacing w:after="30" w:before="30"/>
      </w:pPr>
      <w:r>
        <w:rPr>
          <w:rFonts w:ascii="Calibri" w:cs="Calibri" w:eastAsia="Calibri" w:hAnsi="Calibri"/>
          <w:sz w:val="22"/>
          <w:szCs w:val="22"/>
        </w:rPr>
        <w:t xml:space="preserve">CSP header enforcement: only approved script/connect sources allowed</w:t>
      </w:r>
    </w:p>
    <w:p>
      <w:pPr>
        <w:pStyle w:val="ListParagraph"/>
        <w:numPr>
          <w:ilvl w:val="0"/>
          <w:numId w:val="2"/>
        </w:numPr>
        <w:spacing w:after="30" w:before="30"/>
      </w:pPr>
      <w:r>
        <w:rPr>
          <w:rFonts w:ascii="Calibri" w:cs="Calibri" w:eastAsia="Calibri" w:hAnsi="Calibri"/>
          <w:sz w:val="22"/>
          <w:szCs w:val="22"/>
        </w:rPr>
        <w:t xml:space="preserve">Security response headers: X-Frame-Options: DENY, X-Content-Type-Options: nosniff, Referrer-Policy, Permissions-Policy</w:t>
      </w:r>
    </w:p>
    <w:p>
      <w:pPr>
        <w:pStyle w:val="ListParagraph"/>
        <w:numPr>
          <w:ilvl w:val="0"/>
          <w:numId w:val="2"/>
        </w:numPr>
        <w:spacing w:after="30" w:before="30"/>
      </w:pPr>
      <w:r>
        <w:rPr>
          <w:rFonts w:ascii="Calibri" w:cs="Calibri" w:eastAsia="Calibri" w:hAnsi="Calibri"/>
          <w:sz w:val="22"/>
          <w:szCs w:val="22"/>
        </w:rPr>
        <w:t xml:space="preserve">No secrets exposed in frontend code or API responses</w:t>
      </w:r>
    </w:p>
    <w:p>
      <w:pPr>
        <w:pStyle w:val="Heading2"/>
        <w:spacing w:after="120" w:before="280"/>
      </w:pPr>
      <w:r>
        <w:rPr>
          <w:rFonts w:ascii="Calibri" w:cs="Calibri" w:eastAsia="Calibri" w:hAnsi="Calibri"/>
          <w:b/>
          <w:bCs/>
          <w:color w:val="003366"/>
          <w:sz w:val="26"/>
          <w:szCs w:val="26"/>
        </w:rPr>
        <w:t xml:space="preserve">5.3 Case Management</w:t>
      </w:r>
    </w:p>
    <w:p>
      <w:pPr>
        <w:pStyle w:val="ListParagraph"/>
        <w:numPr>
          <w:ilvl w:val="0"/>
          <w:numId w:val="2"/>
        </w:numPr>
        <w:spacing w:after="30" w:before="30"/>
      </w:pPr>
      <w:r>
        <w:rPr>
          <w:rFonts w:ascii="Calibri" w:cs="Calibri" w:eastAsia="Calibri" w:hAnsi="Calibri"/>
          <w:sz w:val="22"/>
          <w:szCs w:val="22"/>
        </w:rPr>
        <w:t xml:space="preserve">Create case with all required fields</w:t>
      </w:r>
    </w:p>
    <w:p>
      <w:pPr>
        <w:pStyle w:val="ListParagraph"/>
        <w:numPr>
          <w:ilvl w:val="0"/>
          <w:numId w:val="2"/>
        </w:numPr>
        <w:spacing w:after="30" w:before="30"/>
      </w:pPr>
      <w:r>
        <w:rPr>
          <w:rFonts w:ascii="Calibri" w:cs="Calibri" w:eastAsia="Calibri" w:hAnsi="Calibri"/>
          <w:sz w:val="22"/>
          <w:szCs w:val="22"/>
        </w:rPr>
        <w:t xml:space="preserve">Create case with minimum fields</w:t>
      </w:r>
    </w:p>
    <w:p>
      <w:pPr>
        <w:pStyle w:val="ListParagraph"/>
        <w:numPr>
          <w:ilvl w:val="0"/>
          <w:numId w:val="2"/>
        </w:numPr>
        <w:spacing w:after="30" w:before="30"/>
      </w:pPr>
      <w:r>
        <w:rPr>
          <w:rFonts w:ascii="Calibri" w:cs="Calibri" w:eastAsia="Calibri" w:hAnsi="Calibri"/>
          <w:sz w:val="22"/>
          <w:szCs w:val="22"/>
        </w:rPr>
        <w:t xml:space="preserve">Edit case details</w:t>
      </w:r>
    </w:p>
    <w:p>
      <w:pPr>
        <w:pStyle w:val="ListParagraph"/>
        <w:numPr>
          <w:ilvl w:val="0"/>
          <w:numId w:val="2"/>
        </w:numPr>
        <w:spacing w:after="30" w:before="30"/>
      </w:pPr>
      <w:r>
        <w:rPr>
          <w:rFonts w:ascii="Calibri" w:cs="Calibri" w:eastAsia="Calibri" w:hAnsi="Calibri"/>
          <w:sz w:val="22"/>
          <w:szCs w:val="22"/>
        </w:rPr>
        <w:t xml:space="preserve">Close case and verify date_closed</w:t>
      </w:r>
    </w:p>
    <w:p>
      <w:pPr>
        <w:pStyle w:val="ListParagraph"/>
        <w:numPr>
          <w:ilvl w:val="0"/>
          <w:numId w:val="2"/>
        </w:numPr>
        <w:spacing w:after="30" w:before="30"/>
      </w:pPr>
      <w:r>
        <w:rPr>
          <w:rFonts w:ascii="Calibri" w:cs="Calibri" w:eastAsia="Calibri" w:hAnsi="Calibri"/>
          <w:sz w:val="22"/>
          <w:szCs w:val="22"/>
        </w:rPr>
        <w:t xml:space="preserve">Reopen closed case</w:t>
      </w:r>
    </w:p>
    <w:p>
      <w:pPr>
        <w:pStyle w:val="ListParagraph"/>
        <w:numPr>
          <w:ilvl w:val="0"/>
          <w:numId w:val="2"/>
        </w:numPr>
        <w:spacing w:after="30" w:before="30"/>
      </w:pPr>
      <w:r>
        <w:rPr>
          <w:rFonts w:ascii="Calibri" w:cs="Calibri" w:eastAsia="Calibri" w:hAnsi="Calibri"/>
          <w:sz w:val="22"/>
          <w:szCs w:val="22"/>
        </w:rPr>
        <w:t xml:space="preserve">Search cases by name/ID</w:t>
      </w:r>
    </w:p>
    <w:p>
      <w:pPr>
        <w:pStyle w:val="ListParagraph"/>
        <w:numPr>
          <w:ilvl w:val="0"/>
          <w:numId w:val="2"/>
        </w:numPr>
        <w:spacing w:after="30" w:before="30"/>
      </w:pPr>
      <w:r>
        <w:rPr>
          <w:rFonts w:ascii="Calibri" w:cs="Calibri" w:eastAsia="Calibri" w:hAnsi="Calibri"/>
          <w:sz w:val="22"/>
          <w:szCs w:val="22"/>
        </w:rPr>
        <w:t xml:space="preserve">Filter cases by status/classification</w:t>
      </w:r>
    </w:p>
    <w:p>
      <w:pPr>
        <w:pStyle w:val="ListParagraph"/>
        <w:numPr>
          <w:ilvl w:val="0"/>
          <w:numId w:val="2"/>
        </w:numPr>
        <w:spacing w:after="30" w:before="30"/>
      </w:pPr>
      <w:r>
        <w:rPr>
          <w:rFonts w:ascii="Calibri" w:cs="Calibri" w:eastAsia="Calibri" w:hAnsi="Calibri"/>
          <w:sz w:val="22"/>
          <w:szCs w:val="22"/>
        </w:rPr>
        <w:t xml:space="preserve">Verify data coverage filtering by role</w:t>
      </w:r>
    </w:p>
    <w:p>
      <w:pPr>
        <w:pStyle w:val="Heading2"/>
        <w:spacing w:after="120" w:before="280"/>
      </w:pPr>
      <w:r>
        <w:rPr>
          <w:rFonts w:ascii="Calibri" w:cs="Calibri" w:eastAsia="Calibri" w:hAnsi="Calibri"/>
          <w:b/>
          <w:bCs/>
          <w:color w:val="003366"/>
          <w:sz w:val="26"/>
          <w:szCs w:val="26"/>
        </w:rPr>
        <w:t xml:space="preserve">5.4 Role-Based Access Control</w:t>
      </w:r>
    </w:p>
    <w:p>
      <w:pPr>
        <w:pStyle w:val="ListParagraph"/>
        <w:numPr>
          <w:ilvl w:val="0"/>
          <w:numId w:val="2"/>
        </w:numPr>
        <w:spacing w:after="30" w:before="30"/>
      </w:pPr>
      <w:r>
        <w:rPr>
          <w:rFonts w:ascii="Calibri" w:cs="Calibri" w:eastAsia="Calibri" w:hAnsi="Calibri"/>
          <w:sz w:val="22"/>
          <w:szCs w:val="22"/>
        </w:rPr>
        <w:t xml:space="preserve">Case Worker: can create, update, close, reopen cases</w:t>
      </w:r>
    </w:p>
    <w:p>
      <w:pPr>
        <w:pStyle w:val="ListParagraph"/>
        <w:numPr>
          <w:ilvl w:val="0"/>
          <w:numId w:val="2"/>
        </w:numPr>
        <w:spacing w:after="30" w:before="30"/>
      </w:pPr>
      <w:r>
        <w:rPr>
          <w:rFonts w:ascii="Calibri" w:cs="Calibri" w:eastAsia="Calibri" w:hAnsi="Calibri"/>
          <w:sz w:val="22"/>
          <w:szCs w:val="22"/>
        </w:rPr>
        <w:t xml:space="preserve">FO User: can update, close, reopen (not create)</w:t>
      </w:r>
    </w:p>
    <w:p>
      <w:pPr>
        <w:pStyle w:val="ListParagraph"/>
        <w:numPr>
          <w:ilvl w:val="0"/>
          <w:numId w:val="2"/>
        </w:numPr>
        <w:spacing w:after="30" w:before="30"/>
      </w:pPr>
      <w:r>
        <w:rPr>
          <w:rFonts w:ascii="Calibri" w:cs="Calibri" w:eastAsia="Calibri" w:hAnsi="Calibri"/>
          <w:sz w:val="22"/>
          <w:szCs w:val="22"/>
        </w:rPr>
        <w:t xml:space="preserve">LGU Supervisor: can update, close, reopen (not create)</w:t>
      </w:r>
    </w:p>
    <w:p>
      <w:pPr>
        <w:pStyle w:val="ListParagraph"/>
        <w:numPr>
          <w:ilvl w:val="0"/>
          <w:numId w:val="2"/>
        </w:numPr>
        <w:spacing w:after="30" w:before="30"/>
      </w:pPr>
      <w:r>
        <w:rPr>
          <w:rFonts w:ascii="Calibri" w:cs="Calibri" w:eastAsia="Calibri" w:hAnsi="Calibri"/>
          <w:sz w:val="22"/>
          <w:szCs w:val="22"/>
        </w:rPr>
        <w:t xml:space="preserve">CPU Monitor: read-only access</w:t>
      </w:r>
    </w:p>
    <w:p>
      <w:pPr>
        <w:pStyle w:val="ListParagraph"/>
        <w:numPr>
          <w:ilvl w:val="0"/>
          <w:numId w:val="2"/>
        </w:numPr>
        <w:spacing w:after="30" w:before="30"/>
      </w:pPr>
      <w:r>
        <w:rPr>
          <w:rFonts w:ascii="Calibri" w:cs="Calibri" w:eastAsia="Calibri" w:hAnsi="Calibri"/>
          <w:sz w:val="22"/>
          <w:szCs w:val="22"/>
        </w:rPr>
        <w:t xml:space="preserve">Admin: user management, audit logs</w:t>
      </w:r>
    </w:p>
    <w:p>
      <w:pPr>
        <w:pStyle w:val="ListParagraph"/>
        <w:numPr>
          <w:ilvl w:val="0"/>
          <w:numId w:val="2"/>
        </w:numPr>
        <w:spacing w:after="30" w:before="30"/>
      </w:pPr>
      <w:r>
        <w:rPr>
          <w:rFonts w:ascii="Calibri" w:cs="Calibri" w:eastAsia="Calibri" w:hAnsi="Calibri"/>
          <w:sz w:val="22"/>
          <w:szCs w:val="22"/>
        </w:rPr>
        <w:t xml:space="preserve">Verify forbidden actions return 403</w:t>
      </w:r>
    </w:p>
    <w:p>
      <w:pPr>
        <w:pStyle w:val="ListParagraph"/>
        <w:numPr>
          <w:ilvl w:val="0"/>
          <w:numId w:val="2"/>
        </w:numPr>
        <w:spacing w:after="30" w:before="30"/>
      </w:pPr>
      <w:r>
        <w:rPr>
          <w:rFonts w:ascii="Calibri" w:cs="Calibri" w:eastAsia="Calibri" w:hAnsi="Calibri"/>
          <w:sz w:val="22"/>
          <w:szCs w:val="22"/>
        </w:rPr>
        <w:t xml:space="preserve">Verify blocked actions are audit-logged</w:t>
      </w:r>
    </w:p>
    <w:p>
      <w:pPr>
        <w:pStyle w:val="Heading2"/>
        <w:spacing w:after="120" w:before="280"/>
      </w:pPr>
      <w:r>
        <w:rPr>
          <w:rFonts w:ascii="Calibri" w:cs="Calibri" w:eastAsia="Calibri" w:hAnsi="Calibri"/>
          <w:b/>
          <w:bCs/>
          <w:color w:val="003366"/>
          <w:sz w:val="26"/>
          <w:szCs w:val="26"/>
        </w:rPr>
        <w:t xml:space="preserve">5.5 Data Export</w:t>
      </w:r>
    </w:p>
    <w:p>
      <w:pPr>
        <w:pStyle w:val="ListParagraph"/>
        <w:numPr>
          <w:ilvl w:val="0"/>
          <w:numId w:val="2"/>
        </w:numPr>
        <w:spacing w:after="30" w:before="30"/>
      </w:pPr>
      <w:r>
        <w:rPr>
          <w:rFonts w:ascii="Calibri" w:cs="Calibri" w:eastAsia="Calibri" w:hAnsi="Calibri"/>
          <w:sz w:val="22"/>
          <w:szCs w:val="22"/>
        </w:rPr>
        <w:t xml:space="preserve">CSV export with purpose declaration</w:t>
      </w:r>
    </w:p>
    <w:p>
      <w:pPr>
        <w:pStyle w:val="ListParagraph"/>
        <w:numPr>
          <w:ilvl w:val="0"/>
          <w:numId w:val="2"/>
        </w:numPr>
        <w:spacing w:after="30" w:before="30"/>
      </w:pPr>
      <w:r>
        <w:rPr>
          <w:rFonts w:ascii="Calibri" w:cs="Calibri" w:eastAsia="Calibri" w:hAnsi="Calibri"/>
          <w:sz w:val="22"/>
          <w:szCs w:val="22"/>
        </w:rPr>
        <w:t xml:space="preserve">Verify export audit log entry created</w:t>
      </w:r>
    </w:p>
    <w:p>
      <w:pPr>
        <w:pStyle w:val="ListParagraph"/>
        <w:numPr>
          <w:ilvl w:val="0"/>
          <w:numId w:val="2"/>
        </w:numPr>
        <w:spacing w:after="30" w:before="30"/>
      </w:pPr>
      <w:r>
        <w:rPr>
          <w:rFonts w:ascii="Calibri" w:cs="Calibri" w:eastAsia="Calibri" w:hAnsi="Calibri"/>
          <w:sz w:val="22"/>
          <w:szCs w:val="22"/>
        </w:rPr>
        <w:t xml:space="preserve">Verify exported data matches filters</w:t>
      </w:r>
    </w:p>
    <w:p>
      <w:pPr>
        <w:pStyle w:val="Heading2"/>
        <w:spacing w:after="120" w:before="280"/>
      </w:pPr>
      <w:r>
        <w:rPr>
          <w:rFonts w:ascii="Calibri" w:cs="Calibri" w:eastAsia="Calibri" w:hAnsi="Calibri"/>
          <w:b/>
          <w:bCs/>
          <w:color w:val="003366"/>
          <w:sz w:val="26"/>
          <w:szCs w:val="26"/>
        </w:rPr>
        <w:t xml:space="preserve">5.6 Offline Mode</w:t>
      </w:r>
    </w:p>
    <w:p>
      <w:pPr>
        <w:pStyle w:val="ListParagraph"/>
        <w:numPr>
          <w:ilvl w:val="0"/>
          <w:numId w:val="2"/>
        </w:numPr>
        <w:spacing w:after="30" w:before="30"/>
      </w:pPr>
      <w:r>
        <w:rPr>
          <w:rFonts w:ascii="Calibri" w:cs="Calibri" w:eastAsia="Calibri" w:hAnsi="Calibri"/>
          <w:sz w:val="22"/>
          <w:szCs w:val="22"/>
        </w:rPr>
        <w:t xml:space="preserve">Queue writes while offline</w:t>
      </w:r>
    </w:p>
    <w:p>
      <w:pPr>
        <w:pStyle w:val="ListParagraph"/>
        <w:numPr>
          <w:ilvl w:val="0"/>
          <w:numId w:val="2"/>
        </w:numPr>
        <w:spacing w:after="30" w:before="30"/>
      </w:pPr>
      <w:r>
        <w:rPr>
          <w:rFonts w:ascii="Calibri" w:cs="Calibri" w:eastAsia="Calibri" w:hAnsi="Calibri"/>
          <w:sz w:val="22"/>
          <w:szCs w:val="22"/>
        </w:rPr>
        <w:t xml:space="preserve">Sync pending changes on reconnect</w:t>
      </w:r>
    </w:p>
    <w:p>
      <w:pPr>
        <w:pStyle w:val="ListParagraph"/>
        <w:numPr>
          <w:ilvl w:val="0"/>
          <w:numId w:val="2"/>
        </w:numPr>
        <w:spacing w:after="30" w:before="30"/>
      </w:pPr>
      <w:r>
        <w:rPr>
          <w:rFonts w:ascii="Calibri" w:cs="Calibri" w:eastAsia="Calibri" w:hAnsi="Calibri"/>
          <w:sz w:val="22"/>
          <w:szCs w:val="22"/>
        </w:rPr>
        <w:t xml:space="preserve">Display offline indicator</w:t>
      </w:r>
    </w:p>
    <w:p>
      <w:r>
        <w:br w:type="page"/>
      </w:r>
    </w:p>
    <w:p>
      <w:pPr>
        <w:pStyle w:val="Heading1"/>
        <w:spacing w:after="160" w:before="360"/>
      </w:pPr>
      <w:r>
        <w:rPr>
          <w:rFonts w:ascii="Calibri" w:cs="Calibri" w:eastAsia="Calibri" w:hAnsi="Calibri"/>
          <w:b/>
          <w:bCs/>
          <w:color w:val="003366"/>
          <w:sz w:val="30"/>
          <w:szCs w:val="30"/>
        </w:rPr>
        <w:t xml:space="preserve">6.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4C6D9" w:sz="1"/>
              <w:left w:val="single" w:color="B4C6D9" w:sz="1"/>
              <w:bottom w:val="single" w:color="B4C6D9" w:sz="1"/>
              <w:right w:val="single" w:color="B4C6D9" w:sz="1"/>
            </w:tcBorders>
            <w:shd w:fill="00336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Metric</w:t>
            </w:r>
          </w:p>
        </w:tc>
        <w:tc>
          <w:tcPr>
            <w:tcW w:type="dxa" w:w="4680"/>
            <w:tcBorders>
              <w:top w:val="single" w:color="B4C6D9" w:sz="1"/>
              <w:left w:val="single" w:color="B4C6D9" w:sz="1"/>
              <w:bottom w:val="single" w:color="B4C6D9" w:sz="1"/>
              <w:right w:val="single" w:color="B4C6D9" w:sz="1"/>
            </w:tcBorders>
            <w:shd w:fill="00336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Target</w:t>
            </w:r>
          </w:p>
        </w:tc>
      </w:tr>
      <w:tr>
        <w:tc>
          <w:tcPr>
            <w:tcW w:type="dxa" w:w="468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Page load time (first contentful paint)</w:t>
            </w:r>
          </w:p>
        </w:tc>
        <w:tc>
          <w:tcPr>
            <w:tcW w:type="dxa" w:w="468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&lt; 3 seconds</w:t>
            </w:r>
          </w:p>
        </w:tc>
      </w:tr>
      <w:tr>
        <w:tc>
          <w:tcPr>
            <w:tcW w:type="dxa" w:w="468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API response time (getCases)</w:t>
            </w:r>
          </w:p>
        </w:tc>
        <w:tc>
          <w:tcPr>
            <w:tcW w:type="dxa" w:w="468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&lt; 5 seconds</w:t>
            </w:r>
          </w:p>
        </w:tc>
      </w:tr>
      <w:tr>
        <w:tc>
          <w:tcPr>
            <w:tcW w:type="dxa" w:w="468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API response time (createCase)</w:t>
            </w:r>
          </w:p>
        </w:tc>
        <w:tc>
          <w:tcPr>
            <w:tcW w:type="dxa" w:w="468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&lt; 3 seconds</w:t>
            </w:r>
          </w:p>
        </w:tc>
      </w:tr>
      <w:tr>
        <w:tc>
          <w:tcPr>
            <w:tcW w:type="dxa" w:w="468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Concurrent users supported</w:t>
            </w:r>
          </w:p>
        </w:tc>
        <w:tc>
          <w:tcPr>
            <w:tcW w:type="dxa" w:w="468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50+</w:t>
            </w:r>
          </w:p>
        </w:tc>
      </w:tr>
      <w:tr>
        <w:tc>
          <w:tcPr>
            <w:tcW w:type="dxa" w:w="468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Dashboard load time</w:t>
            </w:r>
          </w:p>
        </w:tc>
        <w:tc>
          <w:tcPr>
            <w:tcW w:type="dxa" w:w="468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&lt; 5 seconds</w:t>
            </w:r>
          </w:p>
        </w:tc>
      </w:tr>
    </w:tbl>
    <w:p>
      <w:pPr>
        <w:pStyle w:val="Heading1"/>
        <w:spacing w:after="160" w:before="360"/>
      </w:pPr>
      <w:r>
        <w:rPr>
          <w:rFonts w:ascii="Calibri" w:cs="Calibri" w:eastAsia="Calibri" w:hAnsi="Calibri"/>
          <w:b/>
          <w:bCs/>
          <w:color w:val="003366"/>
          <w:sz w:val="30"/>
          <w:szCs w:val="30"/>
        </w:rPr>
        <w:t xml:space="preserve">7. Test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rPr>
          <w:tblHeader/>
        </w:trPr>
        <w:tc>
          <w:tcPr>
            <w:tcW w:type="dxa" w:w="1800"/>
            <w:tcBorders>
              <w:top w:val="single" w:color="B4C6D9" w:sz="1"/>
              <w:left w:val="single" w:color="B4C6D9" w:sz="1"/>
              <w:bottom w:val="single" w:color="B4C6D9" w:sz="1"/>
              <w:right w:val="single" w:color="B4C6D9" w:sz="1"/>
            </w:tcBorders>
            <w:shd w:fill="00336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Role</w:t>
            </w:r>
          </w:p>
        </w:tc>
        <w:tc>
          <w:tcPr>
            <w:tcW w:type="dxa" w:w="2800"/>
            <w:tcBorders>
              <w:top w:val="single" w:color="B4C6D9" w:sz="1"/>
              <w:left w:val="single" w:color="B4C6D9" w:sz="1"/>
              <w:bottom w:val="single" w:color="B4C6D9" w:sz="1"/>
              <w:right w:val="single" w:color="B4C6D9" w:sz="1"/>
            </w:tcBorders>
            <w:shd w:fill="00336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Email</w:t>
            </w:r>
          </w:p>
        </w:tc>
        <w:tc>
          <w:tcPr>
            <w:tcW w:type="dxa" w:w="2400"/>
            <w:tcBorders>
              <w:top w:val="single" w:color="B4C6D9" w:sz="1"/>
              <w:left w:val="single" w:color="B4C6D9" w:sz="1"/>
              <w:bottom w:val="single" w:color="B4C6D9" w:sz="1"/>
              <w:right w:val="single" w:color="B4C6D9" w:sz="1"/>
            </w:tcBorders>
            <w:shd w:fill="00336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Auth Method</w:t>
            </w:r>
          </w:p>
        </w:tc>
        <w:tc>
          <w:tcPr>
            <w:tcW w:type="dxa" w:w="2360"/>
            <w:tcBorders>
              <w:top w:val="single" w:color="B4C6D9" w:sz="1"/>
              <w:left w:val="single" w:color="B4C6D9" w:sz="1"/>
              <w:bottom w:val="single" w:color="B4C6D9" w:sz="1"/>
              <w:right w:val="single" w:color="B4C6D9" w:sz="1"/>
            </w:tcBorders>
            <w:shd w:fill="00336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Purpose</w:t>
            </w:r>
          </w:p>
        </w:tc>
      </w:tr>
      <w:tr>
        <w:tc>
          <w:tcPr>
            <w:tcW w:type="dxa" w:w="18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admin</w:t>
            </w:r>
          </w:p>
        </w:tc>
        <w:tc>
          <w:tcPr>
            <w:tcW w:type="dxa" w:w="28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qa.admin@dswd.gov.ph</w:t>
            </w:r>
          </w:p>
        </w:tc>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Google OAuth / Email+Password</w:t>
            </w:r>
          </w:p>
        </w:tc>
        <w:tc>
          <w:tcPr>
            <w:tcW w:type="dxa" w:w="23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User management, audit logs, full access</w:t>
            </w:r>
          </w:p>
        </w:tc>
      </w:tr>
      <w:tr>
        <w:tc>
          <w:tcPr>
            <w:tcW w:type="dxa" w:w="18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case_worker</w:t>
            </w:r>
          </w:p>
        </w:tc>
        <w:tc>
          <w:tcPr>
            <w:tcW w:type="dxa" w:w="28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qa.caseworker@dswd.gov.ph</w:t>
            </w:r>
          </w:p>
        </w:tc>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Google OAuth / Email+Password</w:t>
            </w:r>
          </w:p>
        </w:tc>
        <w:tc>
          <w:tcPr>
            <w:tcW w:type="dxa" w:w="23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Case CRUD, services, notes</w:t>
            </w:r>
          </w:p>
        </w:tc>
      </w:tr>
      <w:tr>
        <w:tc>
          <w:tcPr>
            <w:tcW w:type="dxa" w:w="18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fo_user</w:t>
            </w:r>
          </w:p>
        </w:tc>
        <w:tc>
          <w:tcPr>
            <w:tcW w:type="dxa" w:w="28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qa.fouser@kalinga.local</w:t>
            </w:r>
          </w:p>
        </w:tc>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Email/Password</w:t>
            </w:r>
          </w:p>
        </w:tc>
        <w:tc>
          <w:tcPr>
            <w:tcW w:type="dxa" w:w="23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Case updates within LGU scope</w:t>
            </w:r>
          </w:p>
        </w:tc>
      </w:tr>
      <w:tr>
        <w:tc>
          <w:tcPr>
            <w:tcW w:type="dxa" w:w="18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lgu_supervisor</w:t>
            </w:r>
          </w:p>
        </w:tc>
        <w:tc>
          <w:tcPr>
            <w:tcW w:type="dxa" w:w="28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qa.supervisor@kalinga.local</w:t>
            </w:r>
          </w:p>
        </w:tc>
        <w:tc>
          <w:tcPr>
            <w:tcW w:type="dxa" w:w="24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Email/Password</w:t>
            </w:r>
          </w:p>
        </w:tc>
        <w:tc>
          <w:tcPr>
            <w:tcW w:type="dxa" w:w="23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Case updates within LGU scope</w:t>
            </w:r>
          </w:p>
        </w:tc>
      </w:tr>
      <w:tr>
        <w:tc>
          <w:tcPr>
            <w:tcW w:type="dxa" w:w="18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cpu_monitor</w:t>
            </w:r>
          </w:p>
        </w:tc>
        <w:tc>
          <w:tcPr>
            <w:tcW w:type="dxa" w:w="28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qa.monitor@kalinga.local</w:t>
            </w:r>
          </w:p>
        </w:tc>
        <w:tc>
          <w:tcPr>
            <w:tcW w:type="dxa" w:w="24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Email/Password</w:t>
            </w:r>
          </w:p>
        </w:tc>
        <w:tc>
          <w:tcPr>
            <w:tcW w:type="dxa" w:w="23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Read-only dashboard and reports</w:t>
            </w:r>
          </w:p>
        </w:tc>
      </w:tr>
    </w:tbl>
    <w:p>
      <w:pPr>
        <w:spacing w:after="60" w:before="60"/>
        <w:jc w:val="left"/>
      </w:pPr>
      <w:r>
        <w:rPr>
          <w:rFonts w:ascii="Calibri" w:cs="Calibri" w:eastAsia="Calibri" w:hAnsi="Calibri"/>
          <w:b w:val="false"/>
          <w:bCs w:val="false"/>
          <w:i/>
          <w:iCs/>
          <w:color w:val="000000"/>
          <w:sz w:val="22"/>
          <w:szCs w:val="22"/>
        </w:rPr>
        <w:t xml:space="preserve">All email/password test accounts use password: Kalinga2026! (must_change_password disabled for QA convenience).</w:t>
      </w:r>
    </w:p>
    <w:p>
      <w:r>
        <w:br w:type="page"/>
      </w:r>
    </w:p>
    <w:p>
      <w:pPr>
        <w:pStyle w:val="Heading1"/>
        <w:spacing w:after="160" w:before="360"/>
      </w:pPr>
      <w:r>
        <w:rPr>
          <w:rFonts w:ascii="Calibri" w:cs="Calibri" w:eastAsia="Calibri" w:hAnsi="Calibri"/>
          <w:b/>
          <w:bCs/>
          <w:color w:val="003366"/>
          <w:sz w:val="30"/>
          <w:szCs w:val="30"/>
        </w:rPr>
        <w:t xml:space="preserve">8.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B4C6D9" w:sz="1"/>
              <w:left w:val="single" w:color="B4C6D9" w:sz="1"/>
              <w:bottom w:val="single" w:color="B4C6D9" w:sz="1"/>
              <w:right w:val="single" w:color="B4C6D9" w:sz="1"/>
            </w:tcBorders>
            <w:shd w:fill="00336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Risk</w:t>
            </w:r>
          </w:p>
        </w:tc>
        <w:tc>
          <w:tcPr>
            <w:tcW w:type="dxa" w:w="1800"/>
            <w:tcBorders>
              <w:top w:val="single" w:color="B4C6D9" w:sz="1"/>
              <w:left w:val="single" w:color="B4C6D9" w:sz="1"/>
              <w:bottom w:val="single" w:color="B4C6D9" w:sz="1"/>
              <w:right w:val="single" w:color="B4C6D9" w:sz="1"/>
            </w:tcBorders>
            <w:shd w:fill="00336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Impact</w:t>
            </w:r>
          </w:p>
        </w:tc>
        <w:tc>
          <w:tcPr>
            <w:tcW w:type="dxa" w:w="4760"/>
            <w:tcBorders>
              <w:top w:val="single" w:color="B4C6D9" w:sz="1"/>
              <w:left w:val="single" w:color="B4C6D9" w:sz="1"/>
              <w:bottom w:val="single" w:color="B4C6D9" w:sz="1"/>
              <w:right w:val="single" w:color="B4C6D9" w:sz="1"/>
            </w:tcBorders>
            <w:shd w:fill="00336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Mitigation</w:t>
            </w:r>
          </w:p>
        </w:tc>
      </w:tr>
      <w:tr>
        <w:tc>
          <w:tcPr>
            <w:tcW w:type="dxa" w:w="28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Apps Script quota limits during load testing</w:t>
            </w:r>
          </w:p>
        </w:tc>
        <w:tc>
          <w:tcPr>
            <w:tcW w:type="dxa" w:w="18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Test blocked</w:t>
            </w:r>
          </w:p>
        </w:tc>
        <w:tc>
          <w:tcPr>
            <w:tcW w:type="dxa" w:w="47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Use conservative K6 scenarios; test during off-peak</w:t>
            </w:r>
          </w:p>
        </w:tc>
      </w:tr>
      <w:tr>
        <w:tc>
          <w:tcPr>
            <w:tcW w:type="dxa" w:w="28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Google Sheets performance with large datasets</w:t>
            </w:r>
          </w:p>
        </w:tc>
        <w:tc>
          <w:tcPr>
            <w:tcW w:type="dxa" w:w="18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Slow responses</w:t>
            </w:r>
          </w:p>
        </w:tc>
        <w:tc>
          <w:tcPr>
            <w:tcW w:type="dxa" w:w="47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Test with representative data volume (500+ cases)</w:t>
            </w:r>
          </w:p>
        </w:tc>
      </w:tr>
      <w:tr>
        <w:tc>
          <w:tcPr>
            <w:tcW w:type="dxa" w:w="28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Staging/production data leakage</w:t>
            </w:r>
          </w:p>
        </w:tc>
        <w:tc>
          <w:tcPr>
            <w:tcW w:type="dxa" w:w="18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Privacy violation</w:t>
            </w:r>
          </w:p>
        </w:tc>
        <w:tc>
          <w:tcPr>
            <w:tcW w:type="dxa" w:w="47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Use synthetic test data only; separate spreadsheet</w:t>
            </w:r>
          </w:p>
        </w:tc>
      </w:tr>
      <w:tr>
        <w:tc>
          <w:tcPr>
            <w:tcW w:type="dxa" w:w="28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HTTPS/SSL not configured for staging</w:t>
            </w:r>
          </w:p>
        </w:tc>
        <w:tc>
          <w:tcPr>
            <w:tcW w:type="dxa" w:w="18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VA blocked</w:t>
            </w:r>
          </w:p>
        </w:tc>
        <w:tc>
          <w:tcPr>
            <w:tcW w:type="dxa" w:w="47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Use Vercel preview deployments (HTTPS included automatically)</w:t>
            </w:r>
          </w:p>
        </w:tc>
      </w:tr>
    </w:tbl>
    <w:p>
      <w:pPr>
        <w:pStyle w:val="Heading1"/>
        <w:spacing w:after="160" w:before="360"/>
      </w:pPr>
      <w:r>
        <w:rPr>
          <w:rFonts w:ascii="Calibri" w:cs="Calibri" w:eastAsia="Calibri" w:hAnsi="Calibri"/>
          <w:b/>
          <w:bCs/>
          <w:color w:val="003366"/>
          <w:sz w:val="30"/>
          <w:szCs w:val="30"/>
        </w:rPr>
        <w:t xml:space="preserve">9.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4C6D9" w:sz="1"/>
              <w:left w:val="single" w:color="B4C6D9" w:sz="1"/>
              <w:bottom w:val="single" w:color="B4C6D9" w:sz="1"/>
              <w:right w:val="single" w:color="B4C6D9" w:sz="1"/>
            </w:tcBorders>
            <w:shd w:fill="00336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Deliverable</w:t>
            </w:r>
          </w:p>
        </w:tc>
        <w:tc>
          <w:tcPr>
            <w:tcW w:type="dxa" w:w="4680"/>
            <w:tcBorders>
              <w:top w:val="single" w:color="B4C6D9" w:sz="1"/>
              <w:left w:val="single" w:color="B4C6D9" w:sz="1"/>
              <w:bottom w:val="single" w:color="B4C6D9" w:sz="1"/>
              <w:right w:val="single" w:color="B4C6D9" w:sz="1"/>
            </w:tcBorders>
            <w:shd w:fill="00336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Template Reference</w:t>
            </w:r>
          </w:p>
        </w:tc>
      </w:tr>
      <w:tr>
        <w:tc>
          <w:tcPr>
            <w:tcW w:type="dxa" w:w="468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Test Cases and Defect Report</w:t>
            </w:r>
          </w:p>
        </w:tc>
        <w:tc>
          <w:tcPr>
            <w:tcW w:type="dxa" w:w="468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Annex B-3</w:t>
            </w:r>
          </w:p>
        </w:tc>
      </w:tr>
      <w:tr>
        <w:tc>
          <w:tcPr>
            <w:tcW w:type="dxa" w:w="468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Test Report</w:t>
            </w:r>
          </w:p>
        </w:tc>
        <w:tc>
          <w:tcPr>
            <w:tcW w:type="dxa" w:w="468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Annex B-4</w:t>
            </w:r>
          </w:p>
        </w:tc>
      </w:tr>
      <w:tr>
        <w:tc>
          <w:tcPr>
            <w:tcW w:type="dxa" w:w="468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Change Request Form</w:t>
            </w:r>
          </w:p>
        </w:tc>
        <w:tc>
          <w:tcPr>
            <w:tcW w:type="dxa" w:w="468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Annex B-5 (if defects require changes)</w:t>
            </w:r>
          </w:p>
        </w:tc>
      </w:tr>
    </w:tbl>
    <w:p>
      <w:pPr>
        <w:pStyle w:val="Heading1"/>
        <w:spacing w:after="160" w:before="360"/>
      </w:pPr>
      <w:r>
        <w:rPr>
          <w:rFonts w:ascii="Calibri" w:cs="Calibri" w:eastAsia="Calibri" w:hAnsi="Calibri"/>
          <w:b/>
          <w:bCs/>
          <w:color w:val="003366"/>
          <w:sz w:val="30"/>
          <w:szCs w:val="30"/>
        </w:rPr>
        <w:t xml:space="preserve">10.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4160"/>
      </w:tblGrid>
      <w:tr>
        <w:trPr>
          <w:tblHeader/>
        </w:trPr>
        <w:tc>
          <w:tcPr>
            <w:tcW w:type="dxa" w:w="1200"/>
            <w:tcBorders>
              <w:top w:val="single" w:color="B4C6D9" w:sz="1"/>
              <w:left w:val="single" w:color="B4C6D9" w:sz="1"/>
              <w:bottom w:val="single" w:color="B4C6D9" w:sz="1"/>
              <w:right w:val="single" w:color="B4C6D9" w:sz="1"/>
            </w:tcBorders>
            <w:shd w:fill="00336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Version</w:t>
            </w:r>
          </w:p>
        </w:tc>
        <w:tc>
          <w:tcPr>
            <w:tcW w:type="dxa" w:w="2000"/>
            <w:tcBorders>
              <w:top w:val="single" w:color="B4C6D9" w:sz="1"/>
              <w:left w:val="single" w:color="B4C6D9" w:sz="1"/>
              <w:bottom w:val="single" w:color="B4C6D9" w:sz="1"/>
              <w:right w:val="single" w:color="B4C6D9" w:sz="1"/>
            </w:tcBorders>
            <w:shd w:fill="00336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Date</w:t>
            </w:r>
          </w:p>
        </w:tc>
        <w:tc>
          <w:tcPr>
            <w:tcW w:type="dxa" w:w="2000"/>
            <w:tcBorders>
              <w:top w:val="single" w:color="B4C6D9" w:sz="1"/>
              <w:left w:val="single" w:color="B4C6D9" w:sz="1"/>
              <w:bottom w:val="single" w:color="B4C6D9" w:sz="1"/>
              <w:right w:val="single" w:color="B4C6D9" w:sz="1"/>
            </w:tcBorders>
            <w:shd w:fill="00336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Author</w:t>
            </w:r>
          </w:p>
        </w:tc>
        <w:tc>
          <w:tcPr>
            <w:tcW w:type="dxa" w:w="4160"/>
            <w:tcBorders>
              <w:top w:val="single" w:color="B4C6D9" w:sz="1"/>
              <w:left w:val="single" w:color="B4C6D9" w:sz="1"/>
              <w:bottom w:val="single" w:color="B4C6D9" w:sz="1"/>
              <w:right w:val="single" w:color="B4C6D9" w:sz="1"/>
            </w:tcBorders>
            <w:shd w:fill="003366"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Changes</w:t>
            </w:r>
          </w:p>
        </w:tc>
      </w:tr>
      <w:tr>
        <w:tc>
          <w:tcPr>
            <w:tcW w:type="dxa" w:w="12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1.0</w:t>
            </w:r>
          </w:p>
        </w:tc>
        <w:tc>
          <w:tcPr>
            <w:tcW w:type="dxa" w:w="20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July 10, 2026</w:t>
            </w:r>
          </w:p>
        </w:tc>
        <w:tc>
          <w:tcPr>
            <w:tcW w:type="dxa" w:w="200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DSWD ICTMS</w:t>
            </w:r>
          </w:p>
        </w:tc>
        <w:tc>
          <w:tcPr>
            <w:tcW w:type="dxa" w:w="4160"/>
            <w:tcBorders>
              <w:top w:val="single" w:color="B4C6D9" w:sz="1"/>
              <w:left w:val="single" w:color="B4C6D9" w:sz="1"/>
              <w:bottom w:val="single" w:color="B4C6D9" w:sz="1"/>
              <w:right w:val="single" w:color="B4C6D9" w:sz="1"/>
            </w:tcBorders>
            <w:tcMar>
              <w:top w:type="dxa" w:w="50"/>
              <w:left w:type="dxa" w:w="100"/>
              <w:bottom w:type="dxa" w:w="50"/>
              <w:right w:type="dxa" w:w="100"/>
            </w:tcMar>
            <w:vAlign w:val="center"/>
          </w:tcPr>
          <w:p>
            <w:r>
              <w:rPr>
                <w:rFonts w:ascii="Calibri" w:cs="Calibri" w:eastAsia="Calibri" w:hAnsi="Calibri"/>
                <w:b w:val="false"/>
                <w:bCs w:val="false"/>
                <w:sz w:val="20"/>
                <w:szCs w:val="20"/>
              </w:rPr>
              <w:t xml:space="preserve">Initial test plan</w:t>
            </w:r>
          </w:p>
        </w:tc>
      </w:tr>
      <w:tr>
        <w:tc>
          <w:tcPr>
            <w:tcW w:type="dxa" w:w="12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1.1</w:t>
            </w:r>
          </w:p>
        </w:tc>
        <w:tc>
          <w:tcPr>
            <w:tcW w:type="dxa" w:w="20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July 10, 2026</w:t>
            </w:r>
          </w:p>
        </w:tc>
        <w:tc>
          <w:tcPr>
            <w:tcW w:type="dxa" w:w="200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DSWD ICTMS</w:t>
            </w:r>
          </w:p>
        </w:tc>
        <w:tc>
          <w:tcPr>
            <w:tcW w:type="dxa" w:w="4160"/>
            <w:tcBorders>
              <w:top w:val="single" w:color="B4C6D9" w:sz="1"/>
              <w:left w:val="single" w:color="B4C6D9" w:sz="1"/>
              <w:bottom w:val="single" w:color="B4C6D9" w:sz="1"/>
              <w:right w:val="single" w:color="B4C6D9" w:sz="1"/>
            </w:tcBorders>
            <w:shd w:fill="F2F6FA" w:val="clear"/>
            <w:tcMar>
              <w:top w:type="dxa" w:w="50"/>
              <w:left w:type="dxa" w:w="100"/>
              <w:bottom w:type="dxa" w:w="50"/>
              <w:right w:type="dxa" w:w="100"/>
            </w:tcMar>
            <w:vAlign w:val="center"/>
          </w:tcPr>
          <w:p>
            <w:r>
              <w:rPr>
                <w:rFonts w:ascii="Calibri" w:cs="Calibri" w:eastAsia="Calibri" w:hAnsi="Calibri"/>
                <w:b w:val="false"/>
                <w:bCs w:val="false"/>
                <w:sz w:val="20"/>
                <w:szCs w:val="20"/>
              </w:rPr>
              <w:t xml:space="preserve">Updated: added input sanitization and security headers to test items, added rate limiting and session invalidation to auth tests, added security controls test area (5.2), updated test accounts with staging emails and auth methods, updated staging environment to Vercel</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1"/>
      </w:pBdr>
      <w:spacing w:before="100"/>
      <w:jc w:val="center"/>
    </w:pPr>
    <w:r>
      <w:rPr>
        <w:rFonts w:ascii="Calibri" w:cs="Calibri" w:eastAsia="Calibri" w:hAnsi="Calibri"/>
        <w:color w:val="999999"/>
        <w:sz w:val="16"/>
        <w:szCs w:val="16"/>
      </w:rPr>
      <w:t xml:space="preserve">CONFIDENTIAL — DSWD Internal Use Only  |  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DSWD-ICTMS  |  </w:t>
    </w:r>
    <w:r>
      <w:rPr>
        <w:rFonts w:ascii="Calibri" w:cs="Calibri" w:eastAsia="Calibri" w:hAnsi="Calibri"/>
        <w:i/>
        <w:iCs/>
        <w:color w:val="999999"/>
        <w:sz w:val="16"/>
        <w:szCs w:val="16"/>
      </w:rPr>
      <w:t xml:space="preserve">Project Kalinga — Test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03366"/>
      <w:sz w:val="30"/>
      <w:szCs w:val="30"/>
    </w:rPr>
  </w:style>
  <w:style w:type="paragraph" w:styleId="Heading2">
    <w:name w:val="Heading 2"/>
    <w:basedOn w:val="Normal"/>
    <w:next w:val="Normal"/>
    <w:qFormat/>
    <w:pPr>
      <w:spacing w:after="120" w:before="280"/>
      <w:outlineLvl w:val="1"/>
    </w:pPr>
    <w:rPr>
      <w:rFonts w:ascii="Calibri" w:cs="Calibri" w:eastAsia="Calibri" w:hAnsi="Calibri"/>
      <w:b/>
      <w:bCs/>
      <w:color w:val="003366"/>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4B2E8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2026-07-10T03:59:21.497Z</dcterms:created>
  <dcterms:modified xsi:type="dcterms:W3CDTF">2026-07-10T03:59:21.497Z</dcterms:modified>
</cp:coreProperties>
</file>

<file path=docProps/custom.xml><?xml version="1.0" encoding="utf-8"?>
<Properties xmlns="http://schemas.openxmlformats.org/officeDocument/2006/custom-properties" xmlns:vt="http://schemas.openxmlformats.org/officeDocument/2006/docPropsVTypes"/>
</file>