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Reading Guide: Mill on Free Expression</w:t>
      </w:r>
    </w:p>
    <w:p>
      <w:r>
        <w:t xml:space="preserve">Read chapter II of </w:t>
      </w:r>
      <w:r>
        <w:rPr>
          <w:i/>
        </w:rPr>
        <w:t xml:space="preserve">On Liberty</w:t>
      </w:r>
      <w:r>
        <w:t xml:space="preserve"> before seminar.</w:t>
      </w:r>
      <w:r>
        <w:rPr>
          <w:vertAlign w:val="superscript"/>
        </w:rPr>
        <w:footnoteReference w:id="1"/>
      </w:r>
    </w:p>
    <w:p>
      <w:pPr>
        <w:pStyle w:val="Heading1"/>
      </w:pPr>
      <w:r>
        <w:t xml:space="preserve">Questions to consider</w:t>
      </w:r>
    </w:p>
    <w:p>
      <w:r>
        <w:t xml:space="preserve">What are the two hypotheses Mill considers, and why does he treat them separately?</w:t>
      </w:r>
    </w:p>
    <w:p>
      <w:r>
        <w:t xml:space="preserve">Why is silencing an opinion a harm even when the opinion is false?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Any edition is fine; page numbers in class refer to the 1859 first edition.</w:t>
      </w:r>
    </w:p>
  </w:footnote>
</w:footnotes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/Relationships>
</file>