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22222"/>
          <w:sz w:val="24"/>
          <w:szCs w:val="24"/>
          <w:highlight w:val="white"/>
          <w:u w:val="single"/>
          <w:rtl w:val="0"/>
        </w:rPr>
        <w:t xml:space="preserve">Pines: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0: Start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1: Reset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2: CLK</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3: Chip Select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4: Master Input - Slave Output (Dout para el ADS)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5: MOSI (Dint para el ADS)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6: -&gt; Sin usar</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 7: Data 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El cable puede provocar que se confundan los canales pares con los impares por cómo está hecho (no recuerdo para qué lo hice en su momento), por eso puede ser que os pareciese que el 1-2 y el 6-7 están intercambiados.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u w:val="single"/>
          <w:rtl w:val="0"/>
        </w:rPr>
        <w:t xml:space="preserve">SPI:</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8Mbps, 10 segundos de registro, disparo en flanco de bajada de señal de Reset.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SPI (MSBF, 8b, CPOL=0, CPHA=1, Enable Active 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