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A96D33" w:rsidP="00701F40">
      <w:pPr>
        <w:tabs>
          <w:tab w:val="right" w:pos="9072"/>
        </w:tabs>
        <w:jc w:val="both"/>
        <w:rPr>
          <w:sz w:val="18"/>
          <w:lang w:val="en-GB"/>
        </w:rPr>
      </w:pPr>
      <w:r>
        <w:rPr>
          <w:i/>
          <w:lang w:val="en-GB"/>
        </w:rPr>
        <w:t>Exam…</w:t>
      </w:r>
      <w:r w:rsidR="00701F40" w:rsidRPr="007B6646">
        <w:rPr>
          <w:i/>
          <w:lang w:val="en-GB"/>
        </w:rPr>
        <w:tab/>
      </w:r>
      <w:r w:rsidR="00876D7D">
        <w:rPr>
          <w:b/>
          <w:bCs/>
          <w:sz w:val="20"/>
          <w:lang w:val="en-GB"/>
        </w:rPr>
        <w:t>Written on</w:t>
      </w:r>
      <w:r w:rsidR="00701F40" w:rsidRPr="007B6646">
        <w:rPr>
          <w:b/>
          <w:bCs/>
          <w:sz w:val="20"/>
          <w:lang w:val="en-GB"/>
        </w:rPr>
        <w:t xml:space="preserve"> </w:t>
      </w:r>
      <w:r w:rsidR="00876D7D">
        <w:rPr>
          <w:b/>
          <w:bCs/>
          <w:sz w:val="20"/>
          <w:lang w:val="en-GB"/>
        </w:rPr>
        <w:t>24</w:t>
      </w:r>
      <w:r w:rsidR="00701F40" w:rsidRPr="007B6646">
        <w:rPr>
          <w:b/>
          <w:bCs/>
          <w:sz w:val="20"/>
          <w:lang w:val="en-GB"/>
        </w:rPr>
        <w:t>.0</w:t>
      </w:r>
      <w:r w:rsidR="00B00994">
        <w:rPr>
          <w:b/>
          <w:bCs/>
          <w:sz w:val="20"/>
          <w:lang w:val="en-GB"/>
        </w:rPr>
        <w:t>5</w:t>
      </w:r>
      <w:r w:rsidR="00701F40" w:rsidRPr="007B6646">
        <w:rPr>
          <w:b/>
          <w:bCs/>
          <w:sz w:val="20"/>
          <w:lang w:val="en-GB"/>
        </w:rPr>
        <w:t>.2012</w:t>
      </w:r>
    </w:p>
    <w:p w:rsidR="00701F40" w:rsidRPr="007B6646" w:rsidRDefault="00A96D33" w:rsidP="00520AD2">
      <w:pPr>
        <w:pStyle w:val="Titel"/>
        <w:spacing w:after="0"/>
        <w:rPr>
          <w:lang w:val="en-GB"/>
        </w:rPr>
      </w:pPr>
      <w:r>
        <w:rPr>
          <w:lang w:val="en-GB"/>
        </w:rPr>
        <w:t>History of Art of War</w:t>
      </w:r>
    </w:p>
    <w:p w:rsidR="00520AD2" w:rsidRPr="00520AD2" w:rsidRDefault="00CA6905" w:rsidP="00412DD7">
      <w:pPr>
        <w:tabs>
          <w:tab w:val="right" w:pos="8789"/>
        </w:tabs>
        <w:spacing w:after="480"/>
        <w:ind w:right="283"/>
        <w:jc w:val="right"/>
        <w:rPr>
          <w:sz w:val="20"/>
          <w:szCs w:val="20"/>
          <w:lang w:val="en-GB"/>
        </w:rPr>
      </w:pPr>
      <w:r>
        <w:rPr>
          <w:sz w:val="20"/>
          <w:szCs w:val="20"/>
          <w:lang w:val="en-GB"/>
        </w:rPr>
        <w:t>Grade</w:t>
      </w:r>
      <w:r w:rsidRPr="00CA6905">
        <w:rPr>
          <w:sz w:val="20"/>
          <w:szCs w:val="20"/>
          <w:lang w:val="en-GB"/>
        </w:rPr>
        <w:t xml:space="preserve">: </w:t>
      </w:r>
      <w:r w:rsidR="00A96D33">
        <w:rPr>
          <w:b/>
          <w:sz w:val="20"/>
          <w:szCs w:val="20"/>
          <w:lang w:val="en-GB"/>
        </w:rPr>
        <w:t>--</w:t>
      </w:r>
      <w:r>
        <w:rPr>
          <w:sz w:val="20"/>
          <w:szCs w:val="20"/>
          <w:lang w:val="en-GB"/>
        </w:rPr>
        <w:tab/>
      </w:r>
      <w:r w:rsidR="00520AD2" w:rsidRPr="00520AD2">
        <w:rPr>
          <w:sz w:val="20"/>
          <w:szCs w:val="20"/>
          <w:lang w:val="en-GB"/>
        </w:rPr>
        <w:t>Jan Rehwaldt, University of Tartu</w:t>
      </w:r>
    </w:p>
    <w:p w:rsidR="00A01002" w:rsidRDefault="00D170B8" w:rsidP="00412DD7">
      <w:pPr>
        <w:spacing w:line="240" w:lineRule="auto"/>
        <w:rPr>
          <w:lang w:val="en-GB"/>
        </w:rPr>
      </w:pPr>
      <w:r>
        <w:rPr>
          <w:lang w:val="en-GB"/>
        </w:rPr>
        <w:t>Q1:</w:t>
      </w:r>
    </w:p>
    <w:p w:rsidR="00D170B8" w:rsidRDefault="00D170B8" w:rsidP="00D170B8">
      <w:pPr>
        <w:pStyle w:val="Listenabsatz"/>
        <w:numPr>
          <w:ilvl w:val="0"/>
          <w:numId w:val="12"/>
        </w:numPr>
        <w:spacing w:line="240" w:lineRule="auto"/>
        <w:rPr>
          <w:lang w:val="en-GB"/>
        </w:rPr>
      </w:pPr>
      <w:r>
        <w:rPr>
          <w:lang w:val="en-GB"/>
        </w:rPr>
        <w:t>Educated state</w:t>
      </w:r>
    </w:p>
    <w:p w:rsidR="00D170B8" w:rsidRDefault="00D170B8" w:rsidP="00D170B8">
      <w:pPr>
        <w:pStyle w:val="Listenabsatz"/>
        <w:numPr>
          <w:ilvl w:val="0"/>
          <w:numId w:val="12"/>
        </w:numPr>
        <w:spacing w:line="240" w:lineRule="auto"/>
        <w:rPr>
          <w:lang w:val="en-GB"/>
        </w:rPr>
      </w:pPr>
      <w:r>
        <w:rPr>
          <w:lang w:val="en-GB"/>
        </w:rPr>
        <w:t>Citizen and non-citizen</w:t>
      </w:r>
    </w:p>
    <w:p w:rsidR="00D170B8" w:rsidRDefault="00D170B8" w:rsidP="00D170B8">
      <w:pPr>
        <w:pStyle w:val="Listenabsatz"/>
        <w:numPr>
          <w:ilvl w:val="0"/>
          <w:numId w:val="12"/>
        </w:numPr>
        <w:spacing w:line="240" w:lineRule="auto"/>
        <w:rPr>
          <w:lang w:val="en-GB"/>
        </w:rPr>
      </w:pPr>
      <w:r>
        <w:rPr>
          <w:lang w:val="en-GB"/>
        </w:rPr>
        <w:t>Privileges for citizen</w:t>
      </w:r>
    </w:p>
    <w:p w:rsidR="00D170B8" w:rsidRDefault="00D170B8" w:rsidP="00D170B8">
      <w:pPr>
        <w:pStyle w:val="Listenabsatz"/>
        <w:numPr>
          <w:ilvl w:val="0"/>
          <w:numId w:val="12"/>
        </w:numPr>
        <w:spacing w:line="240" w:lineRule="auto"/>
        <w:rPr>
          <w:lang w:val="en-GB"/>
        </w:rPr>
      </w:pPr>
      <w:r>
        <w:rPr>
          <w:lang w:val="en-GB"/>
        </w:rPr>
        <w:t>Soldiers became citizen, got land and didn’t had to pay taxes</w:t>
      </w:r>
    </w:p>
    <w:p w:rsidR="00D170B8" w:rsidRDefault="00D170B8" w:rsidP="00D170B8">
      <w:pPr>
        <w:pStyle w:val="Listenabsatz"/>
        <w:numPr>
          <w:ilvl w:val="0"/>
          <w:numId w:val="12"/>
        </w:numPr>
        <w:spacing w:line="240" w:lineRule="auto"/>
        <w:rPr>
          <w:lang w:val="en-GB"/>
        </w:rPr>
      </w:pPr>
      <w:r>
        <w:rPr>
          <w:lang w:val="en-GB"/>
        </w:rPr>
        <w:t>During expansion</w:t>
      </w:r>
    </w:p>
    <w:p w:rsidR="00D170B8" w:rsidRDefault="00D170B8" w:rsidP="00D170B8">
      <w:pPr>
        <w:pStyle w:val="Listenabsatz"/>
        <w:numPr>
          <w:ilvl w:val="1"/>
          <w:numId w:val="12"/>
        </w:numPr>
        <w:spacing w:line="240" w:lineRule="auto"/>
        <w:rPr>
          <w:lang w:val="en-GB"/>
        </w:rPr>
      </w:pPr>
      <w:r>
        <w:rPr>
          <w:lang w:val="en-GB"/>
        </w:rPr>
        <w:t>Surrender and accept Roman State on certain conditions</w:t>
      </w:r>
    </w:p>
    <w:p w:rsidR="00D170B8" w:rsidRDefault="00D170B8" w:rsidP="00D170B8">
      <w:pPr>
        <w:pStyle w:val="Listenabsatz"/>
        <w:numPr>
          <w:ilvl w:val="1"/>
          <w:numId w:val="12"/>
        </w:numPr>
        <w:spacing w:line="240" w:lineRule="auto"/>
        <w:rPr>
          <w:lang w:val="en-GB"/>
        </w:rPr>
      </w:pPr>
      <w:r>
        <w:rPr>
          <w:lang w:val="en-GB"/>
        </w:rPr>
        <w:t>Resist and likely face full destruction (genocide accepted as weapon)</w:t>
      </w:r>
    </w:p>
    <w:p w:rsidR="00D170B8" w:rsidRPr="00FD4C25" w:rsidRDefault="00D170B8" w:rsidP="00D170B8">
      <w:pPr>
        <w:pStyle w:val="Listenabsatz"/>
        <w:numPr>
          <w:ilvl w:val="0"/>
          <w:numId w:val="12"/>
        </w:numPr>
        <w:spacing w:line="240" w:lineRule="auto"/>
        <w:rPr>
          <w:lang w:val="en-GB"/>
        </w:rPr>
      </w:pPr>
      <w:r>
        <w:rPr>
          <w:lang w:val="en-GB"/>
        </w:rPr>
        <w:t xml:space="preserve">Long wars of </w:t>
      </w:r>
      <w:r w:rsidRPr="00D170B8">
        <w:rPr>
          <w:lang w:val="et-EE"/>
        </w:rPr>
        <w:t>attrition</w:t>
      </w:r>
      <w:r>
        <w:rPr>
          <w:lang w:val="et-EE"/>
        </w:rPr>
        <w:t xml:space="preserve"> (Zermürbung)</w:t>
      </w:r>
    </w:p>
    <w:p w:rsidR="00FD4C25" w:rsidRPr="00FD4C25" w:rsidRDefault="00FD4C25" w:rsidP="00FD4C25">
      <w:pPr>
        <w:pStyle w:val="Listenabsatz"/>
        <w:numPr>
          <w:ilvl w:val="1"/>
          <w:numId w:val="12"/>
        </w:numPr>
        <w:spacing w:line="240" w:lineRule="auto"/>
        <w:rPr>
          <w:lang w:val="en-GB"/>
        </w:rPr>
      </w:pPr>
      <w:r>
        <w:rPr>
          <w:lang w:val="et-EE"/>
        </w:rPr>
        <w:t>Brutal, try to kill as many enemies as possible</w:t>
      </w:r>
    </w:p>
    <w:p w:rsidR="00FD4C25" w:rsidRPr="00FD4C25" w:rsidRDefault="00FD4C25" w:rsidP="00FD4C25">
      <w:pPr>
        <w:pStyle w:val="Listenabsatz"/>
        <w:numPr>
          <w:ilvl w:val="1"/>
          <w:numId w:val="12"/>
        </w:numPr>
        <w:spacing w:line="240" w:lineRule="auto"/>
        <w:rPr>
          <w:lang w:val="en-GB"/>
        </w:rPr>
      </w:pPr>
      <w:r>
        <w:rPr>
          <w:lang w:val="et-EE"/>
        </w:rPr>
        <w:t>Psychologic effect of defeat to other enemies considered</w:t>
      </w:r>
    </w:p>
    <w:p w:rsidR="00FD4C25" w:rsidRPr="00D170B8" w:rsidRDefault="00FD4C25" w:rsidP="00D170B8">
      <w:pPr>
        <w:pStyle w:val="Listenabsatz"/>
        <w:numPr>
          <w:ilvl w:val="0"/>
          <w:numId w:val="12"/>
        </w:numPr>
        <w:spacing w:line="240" w:lineRule="auto"/>
        <w:rPr>
          <w:lang w:val="en-GB"/>
        </w:rPr>
      </w:pPr>
      <w:r>
        <w:rPr>
          <w:lang w:val="et-EE"/>
        </w:rPr>
        <w:t>High mobility</w:t>
      </w:r>
    </w:p>
    <w:p w:rsidR="00FD4C25" w:rsidRDefault="00FD4C25" w:rsidP="00FD4C25">
      <w:pPr>
        <w:pStyle w:val="Listenabsatz"/>
        <w:numPr>
          <w:ilvl w:val="1"/>
          <w:numId w:val="12"/>
        </w:numPr>
        <w:spacing w:line="240" w:lineRule="auto"/>
        <w:rPr>
          <w:lang w:val="en-GB"/>
        </w:rPr>
      </w:pPr>
      <w:r>
        <w:rPr>
          <w:lang w:val="en-GB"/>
        </w:rPr>
        <w:t>Good training (walk up to 30km a day)</w:t>
      </w:r>
    </w:p>
    <w:p w:rsidR="00D170B8" w:rsidRDefault="00D170B8" w:rsidP="00FD4C25">
      <w:pPr>
        <w:pStyle w:val="Listenabsatz"/>
        <w:numPr>
          <w:ilvl w:val="1"/>
          <w:numId w:val="12"/>
        </w:numPr>
        <w:spacing w:line="240" w:lineRule="auto"/>
        <w:rPr>
          <w:lang w:val="en-GB"/>
        </w:rPr>
      </w:pPr>
      <w:r>
        <w:rPr>
          <w:lang w:val="en-GB"/>
        </w:rPr>
        <w:t>Building of roads and bridges (good infrastructure network)</w:t>
      </w:r>
    </w:p>
    <w:p w:rsidR="00D170B8" w:rsidRDefault="00D170B8" w:rsidP="00D170B8">
      <w:pPr>
        <w:pStyle w:val="Listenabsatz"/>
        <w:numPr>
          <w:ilvl w:val="0"/>
          <w:numId w:val="12"/>
        </w:numPr>
        <w:spacing w:line="240" w:lineRule="auto"/>
        <w:rPr>
          <w:lang w:val="en-GB"/>
        </w:rPr>
      </w:pPr>
      <w:r>
        <w:rPr>
          <w:lang w:val="en-GB"/>
        </w:rPr>
        <w:t>Building various war factories</w:t>
      </w:r>
    </w:p>
    <w:p w:rsidR="00D170B8" w:rsidRDefault="00D170B8" w:rsidP="00D170B8">
      <w:pPr>
        <w:pStyle w:val="Listenabsatz"/>
        <w:numPr>
          <w:ilvl w:val="0"/>
          <w:numId w:val="12"/>
        </w:numPr>
        <w:spacing w:line="240" w:lineRule="auto"/>
        <w:rPr>
          <w:lang w:val="en-GB"/>
        </w:rPr>
      </w:pPr>
      <w:r>
        <w:rPr>
          <w:lang w:val="en-GB"/>
        </w:rPr>
        <w:t>Permanent professional army</w:t>
      </w:r>
    </w:p>
    <w:p w:rsidR="00D170B8" w:rsidRDefault="00D170B8" w:rsidP="00D170B8">
      <w:pPr>
        <w:pStyle w:val="Listenabsatz"/>
        <w:numPr>
          <w:ilvl w:val="1"/>
          <w:numId w:val="12"/>
        </w:numPr>
        <w:spacing w:line="240" w:lineRule="auto"/>
        <w:rPr>
          <w:lang w:val="en-GB"/>
        </w:rPr>
      </w:pPr>
      <w:r>
        <w:rPr>
          <w:lang w:val="en-GB"/>
        </w:rPr>
        <w:t>Logistics</w:t>
      </w:r>
    </w:p>
    <w:p w:rsidR="00D170B8" w:rsidRDefault="00D170B8" w:rsidP="00D170B8">
      <w:pPr>
        <w:pStyle w:val="Listenabsatz"/>
        <w:numPr>
          <w:ilvl w:val="1"/>
          <w:numId w:val="12"/>
        </w:numPr>
        <w:spacing w:line="240" w:lineRule="auto"/>
        <w:rPr>
          <w:lang w:val="en-GB"/>
        </w:rPr>
      </w:pPr>
      <w:r>
        <w:rPr>
          <w:lang w:val="en-GB"/>
        </w:rPr>
        <w:t>Recruitment</w:t>
      </w:r>
    </w:p>
    <w:p w:rsidR="00D170B8" w:rsidRDefault="00D170B8" w:rsidP="00D170B8">
      <w:pPr>
        <w:pStyle w:val="Listenabsatz"/>
        <w:numPr>
          <w:ilvl w:val="1"/>
          <w:numId w:val="12"/>
        </w:numPr>
        <w:spacing w:line="240" w:lineRule="auto"/>
        <w:rPr>
          <w:lang w:val="en-GB"/>
        </w:rPr>
      </w:pPr>
      <w:r>
        <w:rPr>
          <w:lang w:val="en-GB"/>
        </w:rPr>
        <w:t>Training system</w:t>
      </w:r>
    </w:p>
    <w:p w:rsidR="00FD4C25" w:rsidRPr="00FD4C25" w:rsidRDefault="00D170B8" w:rsidP="00FD4C25">
      <w:pPr>
        <w:pStyle w:val="Listenabsatz"/>
        <w:numPr>
          <w:ilvl w:val="2"/>
          <w:numId w:val="12"/>
        </w:numPr>
        <w:spacing w:line="240" w:lineRule="auto"/>
        <w:rPr>
          <w:lang w:val="en-GB"/>
        </w:rPr>
      </w:pPr>
      <w:r>
        <w:rPr>
          <w:lang w:val="en-GB"/>
        </w:rPr>
        <w:t>Systematic training individually and in unit</w:t>
      </w:r>
    </w:p>
    <w:p w:rsidR="00D170B8" w:rsidRDefault="00D170B8" w:rsidP="00D170B8">
      <w:pPr>
        <w:pStyle w:val="Listenabsatz"/>
        <w:numPr>
          <w:ilvl w:val="1"/>
          <w:numId w:val="12"/>
        </w:numPr>
        <w:spacing w:line="240" w:lineRule="auto"/>
        <w:rPr>
          <w:lang w:val="en-GB"/>
        </w:rPr>
      </w:pPr>
      <w:r>
        <w:rPr>
          <w:lang w:val="en-GB"/>
        </w:rPr>
        <w:t>Office corps (125.000 – 300.000 people, 0.5% of population)</w:t>
      </w:r>
    </w:p>
    <w:p w:rsidR="00D170B8" w:rsidRDefault="00D170B8" w:rsidP="00D170B8">
      <w:pPr>
        <w:pStyle w:val="Listenabsatz"/>
        <w:numPr>
          <w:ilvl w:val="0"/>
          <w:numId w:val="12"/>
        </w:numPr>
        <w:spacing w:line="240" w:lineRule="auto"/>
        <w:rPr>
          <w:lang w:val="en-GB"/>
        </w:rPr>
      </w:pPr>
      <w:r>
        <w:rPr>
          <w:lang w:val="en-GB"/>
        </w:rPr>
        <w:t>Strong discipline and maximum punishment for a whole unit</w:t>
      </w:r>
    </w:p>
    <w:p w:rsidR="00D170B8" w:rsidRDefault="00FD4C25" w:rsidP="00D170B8">
      <w:pPr>
        <w:pStyle w:val="Listenabsatz"/>
        <w:numPr>
          <w:ilvl w:val="0"/>
          <w:numId w:val="12"/>
        </w:numPr>
        <w:spacing w:line="240" w:lineRule="auto"/>
        <w:rPr>
          <w:lang w:val="en-GB"/>
        </w:rPr>
      </w:pPr>
      <w:r>
        <w:rPr>
          <w:lang w:val="en-GB"/>
        </w:rPr>
        <w:t>Romans adopted the weapons, tactics and amours of the enemies they fought</w:t>
      </w:r>
    </w:p>
    <w:p w:rsidR="00FD4C25" w:rsidRDefault="00FD4C25" w:rsidP="00FD4C25">
      <w:pPr>
        <w:pStyle w:val="Listenabsatz"/>
        <w:numPr>
          <w:ilvl w:val="1"/>
          <w:numId w:val="12"/>
        </w:numPr>
        <w:spacing w:line="240" w:lineRule="auto"/>
        <w:rPr>
          <w:lang w:val="en-GB"/>
        </w:rPr>
      </w:pPr>
      <w:r>
        <w:rPr>
          <w:lang w:val="en-GB"/>
        </w:rPr>
        <w:t>Also basic artillery provided</w:t>
      </w:r>
    </w:p>
    <w:p w:rsidR="00FD4C25" w:rsidRDefault="00FD4C25" w:rsidP="00FD4C25">
      <w:pPr>
        <w:pStyle w:val="Listenabsatz"/>
        <w:numPr>
          <w:ilvl w:val="0"/>
          <w:numId w:val="12"/>
        </w:numPr>
        <w:spacing w:line="240" w:lineRule="auto"/>
        <w:rPr>
          <w:lang w:val="en-GB"/>
        </w:rPr>
      </w:pPr>
      <w:r>
        <w:rPr>
          <w:lang w:val="en-GB"/>
        </w:rPr>
        <w:t>Legions of 4.000 – 6.000 men</w:t>
      </w:r>
    </w:p>
    <w:p w:rsidR="00FD4C25" w:rsidRDefault="00FD4C25" w:rsidP="00FD4C25">
      <w:pPr>
        <w:pStyle w:val="Listenabsatz"/>
        <w:numPr>
          <w:ilvl w:val="1"/>
          <w:numId w:val="12"/>
        </w:numPr>
        <w:spacing w:line="240" w:lineRule="auto"/>
        <w:rPr>
          <w:lang w:val="en-GB"/>
        </w:rPr>
      </w:pPr>
      <w:r>
        <w:rPr>
          <w:lang w:val="en-GB"/>
        </w:rPr>
        <w:t>Better to have smaller army groups than one big, as it is most suitable to adopt army size to enemies size</w:t>
      </w:r>
    </w:p>
    <w:p w:rsidR="00FD4C25" w:rsidRDefault="00FD4C25" w:rsidP="00FD4C25">
      <w:pPr>
        <w:pStyle w:val="Listenabsatz"/>
        <w:numPr>
          <w:ilvl w:val="1"/>
          <w:numId w:val="12"/>
        </w:numPr>
        <w:spacing w:line="240" w:lineRule="auto"/>
        <w:rPr>
          <w:lang w:val="en-GB"/>
        </w:rPr>
      </w:pPr>
      <w:r>
        <w:rPr>
          <w:lang w:val="en-GB"/>
        </w:rPr>
        <w:t>Better let enemy starve than fight on open battle</w:t>
      </w:r>
    </w:p>
    <w:p w:rsidR="00FD4C25" w:rsidRPr="00FD4C25" w:rsidRDefault="00FD4C25" w:rsidP="00FD4C25">
      <w:pPr>
        <w:spacing w:line="240" w:lineRule="auto"/>
        <w:jc w:val="both"/>
        <w:rPr>
          <w:lang w:val="en-GB"/>
        </w:rPr>
      </w:pPr>
      <w:r>
        <w:rPr>
          <w:lang w:val="en-GB"/>
        </w:rPr>
        <w:t xml:space="preserve">The Roman State and Empire ran through several phases of war strategies. In the beginning of the state the main goal was defence, which was later replaced by expansion and conquer and, finally, before the collapse of the empire again dominated by defensive strategies. With the establishment of the Roman Empire a permanent professional army was installed. </w:t>
      </w:r>
      <w:proofErr w:type="gramStart"/>
      <w:r>
        <w:rPr>
          <w:lang w:val="en-GB"/>
        </w:rPr>
        <w:t xml:space="preserve">This army, additionally, provided means of nowadays armies such as </w:t>
      </w:r>
      <w:r w:rsidR="00CB22A2">
        <w:rPr>
          <w:lang w:val="en-GB"/>
        </w:rPr>
        <w:t>the separation of different concerns within warfare.</w:t>
      </w:r>
      <w:proofErr w:type="gramEnd"/>
      <w:r w:rsidR="00CB22A2">
        <w:rPr>
          <w:lang w:val="en-GB"/>
        </w:rPr>
        <w:t xml:space="preserve"> </w:t>
      </w:r>
      <w:bookmarkStart w:id="0" w:name="_GoBack"/>
      <w:bookmarkEnd w:id="0"/>
    </w:p>
    <w:sectPr w:rsidR="00FD4C25" w:rsidRPr="00FD4C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980" w:rsidRDefault="00D54980" w:rsidP="00DE12E6">
      <w:pPr>
        <w:spacing w:after="0" w:line="240" w:lineRule="auto"/>
      </w:pPr>
      <w:r>
        <w:separator/>
      </w:r>
    </w:p>
  </w:endnote>
  <w:endnote w:type="continuationSeparator" w:id="0">
    <w:p w:rsidR="00D54980" w:rsidRDefault="00D54980"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980" w:rsidRDefault="00D54980" w:rsidP="00DE12E6">
      <w:pPr>
        <w:spacing w:after="0" w:line="240" w:lineRule="auto"/>
      </w:pPr>
      <w:r>
        <w:separator/>
      </w:r>
    </w:p>
  </w:footnote>
  <w:footnote w:type="continuationSeparator" w:id="0">
    <w:p w:rsidR="00D54980" w:rsidRDefault="00D54980"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1D82321C"/>
    <w:multiLevelType w:val="hybridMultilevel"/>
    <w:tmpl w:val="24D6B1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7C37C85"/>
    <w:multiLevelType w:val="hybridMultilevel"/>
    <w:tmpl w:val="7FF205B2"/>
    <w:lvl w:ilvl="0" w:tplc="D12E58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9">
    <w:nsid w:val="59BA0B9B"/>
    <w:multiLevelType w:val="hybridMultilevel"/>
    <w:tmpl w:val="EC74CD7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1"/>
  </w:num>
  <w:num w:numId="4">
    <w:abstractNumId w:val="11"/>
  </w:num>
  <w:num w:numId="5">
    <w:abstractNumId w:val="10"/>
  </w:num>
  <w:num w:numId="6">
    <w:abstractNumId w:val="5"/>
  </w:num>
  <w:num w:numId="7">
    <w:abstractNumId w:val="0"/>
  </w:num>
  <w:num w:numId="8">
    <w:abstractNumId w:val="8"/>
  </w:num>
  <w:num w:numId="9">
    <w:abstractNumId w:val="2"/>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4759A"/>
    <w:rsid w:val="00054D5D"/>
    <w:rsid w:val="0005738E"/>
    <w:rsid w:val="00064EA9"/>
    <w:rsid w:val="00095AB5"/>
    <w:rsid w:val="000B3A83"/>
    <w:rsid w:val="000B4256"/>
    <w:rsid w:val="000B76E7"/>
    <w:rsid w:val="000C264F"/>
    <w:rsid w:val="000C74D8"/>
    <w:rsid w:val="000D56F7"/>
    <w:rsid w:val="000E36C5"/>
    <w:rsid w:val="00107D42"/>
    <w:rsid w:val="001100E2"/>
    <w:rsid w:val="001163EB"/>
    <w:rsid w:val="00117106"/>
    <w:rsid w:val="001175C1"/>
    <w:rsid w:val="00117A13"/>
    <w:rsid w:val="00152B4D"/>
    <w:rsid w:val="001568A9"/>
    <w:rsid w:val="00165E3A"/>
    <w:rsid w:val="00170472"/>
    <w:rsid w:val="00174F8E"/>
    <w:rsid w:val="00181591"/>
    <w:rsid w:val="00182CA7"/>
    <w:rsid w:val="00193356"/>
    <w:rsid w:val="00197BB7"/>
    <w:rsid w:val="001A079C"/>
    <w:rsid w:val="001A4014"/>
    <w:rsid w:val="001E232C"/>
    <w:rsid w:val="001E5575"/>
    <w:rsid w:val="00214CC4"/>
    <w:rsid w:val="002232D7"/>
    <w:rsid w:val="00230AB1"/>
    <w:rsid w:val="0023547A"/>
    <w:rsid w:val="00236399"/>
    <w:rsid w:val="00237649"/>
    <w:rsid w:val="00245DF9"/>
    <w:rsid w:val="00250329"/>
    <w:rsid w:val="00257C00"/>
    <w:rsid w:val="00257C63"/>
    <w:rsid w:val="00263383"/>
    <w:rsid w:val="002669E3"/>
    <w:rsid w:val="0027034C"/>
    <w:rsid w:val="002809DD"/>
    <w:rsid w:val="0028312E"/>
    <w:rsid w:val="00291CFB"/>
    <w:rsid w:val="002961EF"/>
    <w:rsid w:val="002A3586"/>
    <w:rsid w:val="002B12A9"/>
    <w:rsid w:val="002D0062"/>
    <w:rsid w:val="002D59E9"/>
    <w:rsid w:val="002F11E0"/>
    <w:rsid w:val="00307677"/>
    <w:rsid w:val="003225CA"/>
    <w:rsid w:val="00343FEA"/>
    <w:rsid w:val="00354999"/>
    <w:rsid w:val="00370F9B"/>
    <w:rsid w:val="003714D3"/>
    <w:rsid w:val="00376CCA"/>
    <w:rsid w:val="003B1707"/>
    <w:rsid w:val="00400B4E"/>
    <w:rsid w:val="004118DF"/>
    <w:rsid w:val="00412DD7"/>
    <w:rsid w:val="004302EF"/>
    <w:rsid w:val="00430EBE"/>
    <w:rsid w:val="00431318"/>
    <w:rsid w:val="00446D66"/>
    <w:rsid w:val="00451715"/>
    <w:rsid w:val="00472496"/>
    <w:rsid w:val="00487562"/>
    <w:rsid w:val="00494F62"/>
    <w:rsid w:val="004B3230"/>
    <w:rsid w:val="004E32FC"/>
    <w:rsid w:val="004E4F0B"/>
    <w:rsid w:val="004E6F91"/>
    <w:rsid w:val="004F3578"/>
    <w:rsid w:val="0050368B"/>
    <w:rsid w:val="005128C5"/>
    <w:rsid w:val="00520AD2"/>
    <w:rsid w:val="00522281"/>
    <w:rsid w:val="005303E8"/>
    <w:rsid w:val="005329F0"/>
    <w:rsid w:val="00535021"/>
    <w:rsid w:val="00542802"/>
    <w:rsid w:val="005435F8"/>
    <w:rsid w:val="00545ABF"/>
    <w:rsid w:val="00563BEE"/>
    <w:rsid w:val="00572348"/>
    <w:rsid w:val="00582EED"/>
    <w:rsid w:val="005874D4"/>
    <w:rsid w:val="00594AE9"/>
    <w:rsid w:val="005A110B"/>
    <w:rsid w:val="005A624C"/>
    <w:rsid w:val="005A6A79"/>
    <w:rsid w:val="005B710D"/>
    <w:rsid w:val="005F6A90"/>
    <w:rsid w:val="006002F8"/>
    <w:rsid w:val="006013BE"/>
    <w:rsid w:val="00603C7A"/>
    <w:rsid w:val="00614AE2"/>
    <w:rsid w:val="00620821"/>
    <w:rsid w:val="00621825"/>
    <w:rsid w:val="00621856"/>
    <w:rsid w:val="00630DDE"/>
    <w:rsid w:val="006409D4"/>
    <w:rsid w:val="00645A65"/>
    <w:rsid w:val="006854A3"/>
    <w:rsid w:val="0069429C"/>
    <w:rsid w:val="00695D82"/>
    <w:rsid w:val="006C0676"/>
    <w:rsid w:val="006C5108"/>
    <w:rsid w:val="006D0F65"/>
    <w:rsid w:val="006E20B1"/>
    <w:rsid w:val="006F791A"/>
    <w:rsid w:val="00701F40"/>
    <w:rsid w:val="007119AE"/>
    <w:rsid w:val="00732196"/>
    <w:rsid w:val="00741312"/>
    <w:rsid w:val="00742CA0"/>
    <w:rsid w:val="00766B9B"/>
    <w:rsid w:val="007700D8"/>
    <w:rsid w:val="0077359A"/>
    <w:rsid w:val="0078463F"/>
    <w:rsid w:val="00785085"/>
    <w:rsid w:val="00792979"/>
    <w:rsid w:val="007950FA"/>
    <w:rsid w:val="007A13A9"/>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76D7D"/>
    <w:rsid w:val="00886776"/>
    <w:rsid w:val="0089212A"/>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624F9"/>
    <w:rsid w:val="0097049D"/>
    <w:rsid w:val="00991B0F"/>
    <w:rsid w:val="00994435"/>
    <w:rsid w:val="009A3D73"/>
    <w:rsid w:val="009B66FC"/>
    <w:rsid w:val="009C1513"/>
    <w:rsid w:val="009C1697"/>
    <w:rsid w:val="009C396C"/>
    <w:rsid w:val="009C6BC5"/>
    <w:rsid w:val="009D53F9"/>
    <w:rsid w:val="009D5576"/>
    <w:rsid w:val="00A01002"/>
    <w:rsid w:val="00A021E6"/>
    <w:rsid w:val="00A06044"/>
    <w:rsid w:val="00A1419E"/>
    <w:rsid w:val="00A268F6"/>
    <w:rsid w:val="00A6567A"/>
    <w:rsid w:val="00A65C16"/>
    <w:rsid w:val="00A8666F"/>
    <w:rsid w:val="00A8692C"/>
    <w:rsid w:val="00A928D7"/>
    <w:rsid w:val="00A96D33"/>
    <w:rsid w:val="00AD392C"/>
    <w:rsid w:val="00AE36FE"/>
    <w:rsid w:val="00AE6004"/>
    <w:rsid w:val="00AE7D45"/>
    <w:rsid w:val="00B00994"/>
    <w:rsid w:val="00B13221"/>
    <w:rsid w:val="00B265BB"/>
    <w:rsid w:val="00B269A7"/>
    <w:rsid w:val="00B30A5B"/>
    <w:rsid w:val="00B45F12"/>
    <w:rsid w:val="00B62E71"/>
    <w:rsid w:val="00B7630B"/>
    <w:rsid w:val="00B773CC"/>
    <w:rsid w:val="00B836F6"/>
    <w:rsid w:val="00BA0778"/>
    <w:rsid w:val="00BA57E8"/>
    <w:rsid w:val="00BB3257"/>
    <w:rsid w:val="00BB6AE8"/>
    <w:rsid w:val="00BC3E58"/>
    <w:rsid w:val="00BC7D50"/>
    <w:rsid w:val="00BD6C41"/>
    <w:rsid w:val="00BE5F98"/>
    <w:rsid w:val="00BF47D9"/>
    <w:rsid w:val="00C00148"/>
    <w:rsid w:val="00C15EEC"/>
    <w:rsid w:val="00C20AE6"/>
    <w:rsid w:val="00C23C5B"/>
    <w:rsid w:val="00C413BD"/>
    <w:rsid w:val="00C57B01"/>
    <w:rsid w:val="00C61F47"/>
    <w:rsid w:val="00C75F9A"/>
    <w:rsid w:val="00C844FC"/>
    <w:rsid w:val="00C86321"/>
    <w:rsid w:val="00C8715A"/>
    <w:rsid w:val="00C874DA"/>
    <w:rsid w:val="00C936C7"/>
    <w:rsid w:val="00CA6905"/>
    <w:rsid w:val="00CB115D"/>
    <w:rsid w:val="00CB22A2"/>
    <w:rsid w:val="00CC67A2"/>
    <w:rsid w:val="00CC6C1F"/>
    <w:rsid w:val="00CC71CE"/>
    <w:rsid w:val="00CD00C1"/>
    <w:rsid w:val="00D02FB8"/>
    <w:rsid w:val="00D13FF6"/>
    <w:rsid w:val="00D170B8"/>
    <w:rsid w:val="00D203B4"/>
    <w:rsid w:val="00D411B2"/>
    <w:rsid w:val="00D43802"/>
    <w:rsid w:val="00D53357"/>
    <w:rsid w:val="00D54980"/>
    <w:rsid w:val="00D63B20"/>
    <w:rsid w:val="00D762EF"/>
    <w:rsid w:val="00D7715B"/>
    <w:rsid w:val="00D877B7"/>
    <w:rsid w:val="00D926BA"/>
    <w:rsid w:val="00D9270A"/>
    <w:rsid w:val="00DA309F"/>
    <w:rsid w:val="00DA446E"/>
    <w:rsid w:val="00DA73AF"/>
    <w:rsid w:val="00DB7E5C"/>
    <w:rsid w:val="00DC0160"/>
    <w:rsid w:val="00DC7C97"/>
    <w:rsid w:val="00DD41C2"/>
    <w:rsid w:val="00DE12E6"/>
    <w:rsid w:val="00DF685E"/>
    <w:rsid w:val="00E5049E"/>
    <w:rsid w:val="00E54180"/>
    <w:rsid w:val="00E5674B"/>
    <w:rsid w:val="00E636BB"/>
    <w:rsid w:val="00E66C7E"/>
    <w:rsid w:val="00EA11D8"/>
    <w:rsid w:val="00EB1712"/>
    <w:rsid w:val="00EB3D62"/>
    <w:rsid w:val="00EB459C"/>
    <w:rsid w:val="00EC23D2"/>
    <w:rsid w:val="00EF5C39"/>
    <w:rsid w:val="00F02742"/>
    <w:rsid w:val="00F0542F"/>
    <w:rsid w:val="00F06E4C"/>
    <w:rsid w:val="00F11C4B"/>
    <w:rsid w:val="00F16ECA"/>
    <w:rsid w:val="00F21854"/>
    <w:rsid w:val="00F25DF9"/>
    <w:rsid w:val="00F306DC"/>
    <w:rsid w:val="00F3439C"/>
    <w:rsid w:val="00F36553"/>
    <w:rsid w:val="00F52953"/>
    <w:rsid w:val="00F6635C"/>
    <w:rsid w:val="00F7116B"/>
    <w:rsid w:val="00F715AB"/>
    <w:rsid w:val="00F8524A"/>
    <w:rsid w:val="00F9694C"/>
    <w:rsid w:val="00FB3508"/>
    <w:rsid w:val="00FC3229"/>
    <w:rsid w:val="00FC6817"/>
    <w:rsid w:val="00FD32DA"/>
    <w:rsid w:val="00FD4C25"/>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
    <b:Tag>Hum07</b:Tag>
    <b:SourceType>Report</b:SourceType>
    <b:Guid>{1851F0D6-508E-47E7-A236-457BAF6FD5F8}</b:Guid>
    <b:LCID>en-US</b:LCID>
    <b:Title>Human Security Brief</b:Title>
    <b:Year>2007</b:Year>
    <b:Publisher>Simon Fraser University</b:Publisher>
    <b:City>Vancouver</b:City>
    <b:RefOrder>15</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16</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17</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18</b:RefOrder>
  </b:Source>
  <b:Source>
    <b:Tag>Platzhalter1</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19</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20</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21</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22</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23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24</b:RefOrder>
  </b:Source>
  <b:Source>
    <b:Tag>Platzhalter2</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25</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26</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27</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28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29</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30</b:RefOrder>
  </b:Source>
</b:Sources>
</file>

<file path=customXml/itemProps1.xml><?xml version="1.0" encoding="utf-8"?>
<ds:datastoreItem xmlns:ds="http://schemas.openxmlformats.org/officeDocument/2006/customXml" ds:itemID="{3B24A36D-D7E6-44A6-B7CE-944DF541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92</cp:revision>
  <cp:lastPrinted>2012-05-12T15:49:00Z</cp:lastPrinted>
  <dcterms:created xsi:type="dcterms:W3CDTF">2012-05-08T15:34:00Z</dcterms:created>
  <dcterms:modified xsi:type="dcterms:W3CDTF">2012-05-24T11:36:00Z</dcterms:modified>
</cp:coreProperties>
</file>