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2026-09-11</w:t>
      </w:r>
    </w:p>
    <w:bookmarkStart w:id="32" w:name="abacus.ai-version-1.5-changes"/>
    <w:p>
      <w:pPr>
        <w:pStyle w:val="Heading1"/>
      </w:pPr>
      <w:r>
        <w:t xml:space="preserve">Abacus.AI — Version 1.5 Changes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September 11, 2026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Navigation Fix — TOC Added to All Vault Files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Abacus.AI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User reported that internal heading links were not working (clicking did nothing). Root cause: Obsidian’s Live Preview mode does not follow standard markdown</w:t>
      </w:r>
      <w:r>
        <w:t xml:space="preserve"> </w:t>
      </w:r>
      <w:r>
        <w:rPr>
          <w:rStyle w:val="VerbatimChar"/>
        </w:rPr>
        <w:t xml:space="preserve">[text](#anchor)</w:t>
      </w:r>
      <w:r>
        <w:t xml:space="preserve"> </w:t>
      </w:r>
      <w:r>
        <w:t xml:space="preserve">links. Added</w:t>
      </w:r>
      <w:r>
        <w:t xml:space="preserve"> </w:t>
      </w:r>
      <w:r>
        <w:rPr>
          <w:rStyle w:val="VerbatimChar"/>
        </w:rPr>
        <w:t xml:space="preserve">[[#Heading]]</w:t>
      </w:r>
      <w:r>
        <w:t xml:space="preserve"> </w:t>
      </w:r>
      <w:r>
        <w:t xml:space="preserve">format TOC navigation bars to all 13 content files in the vault. These links work in</w:t>
      </w:r>
      <w:r>
        <w:t xml:space="preserve"> </w:t>
      </w:r>
      <w:r>
        <w:rPr>
          <w:bCs/>
          <w:b/>
        </w:rPr>
        <w:t xml:space="preserve">both Live Preview and Reading View</w:t>
      </w:r>
      <w:r>
        <w:t xml:space="preserve">.</w:t>
      </w:r>
    </w:p>
    <w:p>
      <w:pPr>
        <w:pStyle w:val="BodyText"/>
      </w:pPr>
      <w:r>
        <w:t xml:space="preserve">Also discovered and repaired a corrupted</w:t>
      </w:r>
      <w:r>
        <w:t xml:space="preserve"> </w:t>
      </w:r>
      <w:r>
        <w:rPr>
          <w:rStyle w:val="VerbatimChar"/>
        </w:rPr>
        <w:t xml:space="preserve">Session-Note.md</w:t>
      </w:r>
      <w:r>
        <w:t xml:space="preserve"> </w:t>
      </w:r>
      <w:r>
        <w:t xml:space="preserve">that contained changelog content instead of the template — restored cleanly from git history.</w:t>
      </w:r>
    </w:p>
    <w:p>
      <w:r>
        <w:pict>
          <v:rect style="width:0;height:1.5pt" o:hralign="center" o:hrstd="t" o:hr="t"/>
        </w:pict>
      </w:r>
    </w:p>
    <w:bookmarkEnd w:id="20"/>
    <w:bookmarkStart w:id="23" w:name="what-changed"/>
    <w:p>
      <w:pPr>
        <w:pStyle w:val="Heading2"/>
      </w:pPr>
      <w:r>
        <w:t xml:space="preserve">What Changed</w:t>
      </w:r>
    </w:p>
    <w:bookmarkStart w:id="21" w:name="internal-link-format-why-it-matters"/>
    <w:p>
      <w:pPr>
        <w:pStyle w:val="Heading3"/>
      </w:pPr>
      <w:r>
        <w:t xml:space="preserve">Internal Link Format — Why It Matters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[text](#anchor)</w:t>
            </w:r>
            <w:r>
              <w:t xml:space="preserve"> </w:t>
            </w:r>
            <w:r>
              <w:t xml:space="preserve">(standard markdown)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[[#Heading Text]]</w:t>
            </w:r>
            <w:r>
              <w:t xml:space="preserve"> </w:t>
            </w:r>
            <w:r>
              <w:t xml:space="preserve">(Obsidian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</w:tr>
    </w:tbl>
    <w:p>
      <w:pPr>
        <w:pStyle w:val="BodyText"/>
      </w:pPr>
      <w:r>
        <w:t xml:space="preserve">All TOCs in this vault now use the</w:t>
      </w:r>
      <w:r>
        <w:t xml:space="preserve"> </w:t>
      </w:r>
      <w:r>
        <w:rPr>
          <w:rStyle w:val="VerbatimChar"/>
        </w:rPr>
        <w:t xml:space="preserve">[[#Heading Text]]</w:t>
      </w:r>
      <w:r>
        <w:t xml:space="preserve"> </w:t>
      </w:r>
      <w:r>
        <w:t xml:space="preserve">format.</w:t>
      </w:r>
    </w:p>
    <w:bookmarkEnd w:id="21"/>
    <w:bookmarkStart w:id="22" w:name="toc-format"/>
    <w:p>
      <w:pPr>
        <w:pStyle w:val="Heading3"/>
      </w:pPr>
      <w:r>
        <w:t xml:space="preserve">TOC Format</w:t>
      </w:r>
    </w:p>
    <w:p>
      <w:pPr>
        <w:pStyle w:val="FirstParagraph"/>
      </w:pPr>
      <w:r>
        <w:t xml:space="preserve">Each file received a navigation callout block placed immediately after the main title (H1), before the first section (H2). Format:</w:t>
      </w:r>
    </w:p>
    <w:p>
      <w:pPr>
        <w:pStyle w:val="SourceCode"/>
      </w:pPr>
      <w:r>
        <w:rPr>
          <w:rStyle w:val="AttributeTok"/>
        </w:rPr>
        <w:t xml:space="preserve">&gt; **📋 Quick Navigation**</w:t>
      </w:r>
      <w:r>
        <w:br/>
      </w:r>
      <w:r>
        <w:rPr>
          <w:rStyle w:val="AttributeTok"/>
        </w:rPr>
        <w:t xml:space="preserve">&gt;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#Section One</w:t>
      </w:r>
      <w:r>
        <w:rPr>
          <w:rStyle w:val="CommentTok"/>
        </w:rPr>
        <w:t xml:space="preserve">]</w:t>
      </w:r>
      <w:r>
        <w:rPr>
          <w:rStyle w:val="AttributeTok"/>
        </w:rPr>
        <w:t xml:space="preserve">] ·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#Section Two</w:t>
      </w:r>
      <w:r>
        <w:rPr>
          <w:rStyle w:val="CommentTok"/>
        </w:rPr>
        <w:t xml:space="preserve">]</w:t>
      </w:r>
      <w:r>
        <w:rPr>
          <w:rStyle w:val="AttributeTok"/>
        </w:rPr>
        <w:t xml:space="preserve">] ·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#Section Three</w:t>
      </w:r>
      <w:r>
        <w:rPr>
          <w:rStyle w:val="CommentTok"/>
        </w:rPr>
        <w:t xml:space="preserve">]</w:t>
      </w:r>
      <w:r>
        <w:rPr>
          <w:rStyle w:val="AttributeTok"/>
        </w:rPr>
        <w:t xml:space="preserve">]</w:t>
      </w:r>
    </w:p>
    <w:p>
      <w:pPr>
        <w:pStyle w:val="FirstParagraph"/>
      </w:pPr>
      <w:r>
        <w:t xml:space="preserve">Sections are separated by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for a compact single-line or two-line layout.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iles-updated-13-total"/>
    <w:p>
      <w:pPr>
        <w:pStyle w:val="Heading2"/>
      </w:pPr>
      <w:r>
        <w:t xml:space="preserve">Files Updated (13 total)</w:t>
      </w:r>
    </w:p>
    <w:bookmarkStart w:id="24" w:name="templates-3"/>
    <w:p>
      <w:pPr>
        <w:pStyle w:val="Heading3"/>
      </w:pPr>
      <w:r>
        <w:t xml:space="preserve">Templates (3)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Session-Note.md</w:t>
      </w:r>
      <w:r>
        <w:t xml:space="preserve"> </w:t>
      </w:r>
      <w:r>
        <w:t xml:space="preserve">— 9 section links: Carry-Forward → Intangibles → Session Notes → AI Steps → Goals → PFS → Assignment Selector → Client Summary → Checklist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OPFMS-Client-Master.md</w:t>
      </w:r>
      <w:r>
        <w:t xml:space="preserve"> </w:t>
      </w:r>
      <w:r>
        <w:t xml:space="preserve">— 13 section links: full client master sheet navigation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Client-Summary-Email.md</w:t>
      </w:r>
      <w:r>
        <w:t xml:space="preserve"> </w:t>
      </w:r>
      <w:r>
        <w:t xml:space="preserve">— 3 section links (short file)</w:t>
      </w:r>
    </w:p>
    <w:bookmarkEnd w:id="24"/>
    <w:bookmarkStart w:id="25" w:name="existing-client-files-1"/>
    <w:p>
      <w:pPr>
        <w:pStyle w:val="Heading3"/>
      </w:pPr>
      <w:r>
        <w:t xml:space="preserve">Existing Client Files (1)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OPFMS-Joanna-Abou-Jaoudeh.md</w:t>
      </w:r>
      <w:r>
        <w:t xml:space="preserve"> </w:t>
      </w:r>
      <w:r>
        <w:t xml:space="preserve">— 12 section links matching actual headings in her file</w:t>
      </w:r>
    </w:p>
    <w:bookmarkEnd w:id="25"/>
    <w:bookmarkStart w:id="26" w:name="forms-repository-5"/>
    <w:p>
      <w:pPr>
        <w:pStyle w:val="Heading3"/>
      </w:pPr>
      <w:r>
        <w:t xml:space="preserve">Forms Repository (5)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M020-PFS-Participant-Feedback.md</w:t>
      </w:r>
      <w:r>
        <w:t xml:space="preserve"> </w:t>
      </w:r>
      <w:r>
        <w:t xml:space="preserve">— 10 section 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M021-Action-Steps.md</w:t>
      </w:r>
      <w:r>
        <w:t xml:space="preserve"> </w:t>
      </w:r>
      <w:r>
        <w:t xml:space="preserve">— 6 section 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M022-Emotional-Intelligence.md</w:t>
      </w:r>
      <w:r>
        <w:t xml:space="preserve"> </w:t>
      </w:r>
      <w:r>
        <w:t xml:space="preserve">— 4 section 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P012-Personal-Future-Description.md</w:t>
      </w:r>
      <w:r>
        <w:t xml:space="preserve"> </w:t>
      </w:r>
      <w:r>
        <w:t xml:space="preserve">— 4 section 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P080-Business-Future-Description.md</w:t>
      </w:r>
      <w:r>
        <w:t xml:space="preserve"> </w:t>
      </w:r>
      <w:r>
        <w:t xml:space="preserve">— 4 section links</w:t>
      </w:r>
    </w:p>
    <w:bookmarkEnd w:id="26"/>
    <w:bookmarkStart w:id="27" w:name="resources-2"/>
    <w:p>
      <w:pPr>
        <w:pStyle w:val="Heading3"/>
      </w:pPr>
      <w:r>
        <w:t xml:space="preserve">Resources (2)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PFS-Scoring-Guide.md</w:t>
      </w:r>
      <w:r>
        <w:t xml:space="preserve"> </w:t>
      </w:r>
      <w:r>
        <w:t xml:space="preserve">— 3 section links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Vault-Setup-Guide.md</w:t>
      </w:r>
      <w:r>
        <w:t xml:space="preserve"> </w:t>
      </w:r>
      <w:r>
        <w:t xml:space="preserve">— 9 section links</w:t>
      </w:r>
    </w:p>
    <w:bookmarkEnd w:id="27"/>
    <w:bookmarkStart w:id="28" w:name="assignments-2"/>
    <w:p>
      <w:pPr>
        <w:pStyle w:val="Heading3"/>
      </w:pPr>
      <w:r>
        <w:t xml:space="preserve">Assignments (2)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EPL12-L02-Assignment.md</w:t>
      </w:r>
      <w:r>
        <w:t xml:space="preserve"> </w:t>
      </w:r>
      <w:r>
        <w:t xml:space="preserve">— 6 section links</w:t>
      </w:r>
    </w:p>
    <w:p>
      <w:pPr>
        <w:numPr>
          <w:ilvl w:val="0"/>
          <w:numId w:val="1005"/>
        </w:numPr>
        <w:pStyle w:val="Compact"/>
      </w:pPr>
      <w:r>
        <w:t xml:space="preserve">**_Assignment-Template.md** — 6 section links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g-fixed-session-note.md-corruption"/>
    <w:p>
      <w:pPr>
        <w:pStyle w:val="Heading2"/>
      </w:pPr>
      <w:r>
        <w:t xml:space="preserve">Bug Fixed: Session-Note.md Corruption</w:t>
      </w:r>
    </w:p>
    <w:p>
      <w:pPr>
        <w:pStyle w:val="FirstParagraph"/>
      </w:pPr>
      <w:r>
        <w:t xml:space="preserve">On inspection,</w:t>
      </w:r>
      <w:r>
        <w:t xml:space="preserve"> </w:t>
      </w:r>
      <w:r>
        <w:rPr>
          <w:rStyle w:val="VerbatimChar"/>
        </w:rPr>
        <w:t xml:space="preserve">Session-Note.md</w:t>
      </w:r>
      <w:r>
        <w:t xml:space="preserve"> </w:t>
      </w:r>
      <w:r>
        <w:t xml:space="preserve">was found to contain the content of</w:t>
      </w:r>
      <w:r>
        <w:t xml:space="preserve"> </w:t>
      </w:r>
      <w:r>
        <w:rPr>
          <w:rStyle w:val="VerbatimChar"/>
        </w:rPr>
        <w:t xml:space="preserve">Abacus-AI-v1.2-Changes.md</w:t>
      </w:r>
      <w:r>
        <w:t xml:space="preserve"> </w:t>
      </w:r>
      <w:r>
        <w:t xml:space="preserve">instead of the actual session note template. Cause: a file write operation in a previous session wrote to the wrong path. The file was restored cleanly using</w:t>
      </w:r>
      <w:r>
        <w:t xml:space="preserve"> </w:t>
      </w:r>
      <w:r>
        <w:rPr>
          <w:rStyle w:val="VerbatimChar"/>
        </w:rPr>
        <w:t xml:space="preserve">git show a937110:00-Templates/Session-Note.md</w:t>
      </w:r>
      <w:r>
        <w:t xml:space="preserve">. No session notes already created for clients were affected — this was only the blank template.</w:t>
      </w:r>
    </w:p>
    <w:p>
      <w:r>
        <w:pict>
          <v:rect style="width:0;height:1.5pt" o:hralign="center" o:hrstd="t" o:hr="t"/>
        </w:pict>
      </w:r>
    </w:p>
    <w:bookmarkEnd w:id="30"/>
    <w:bookmarkStart w:id="31" w:name="rule-added-to-ai-instructions"/>
    <w:p>
      <w:pPr>
        <w:pStyle w:val="Heading2"/>
      </w:pPr>
      <w:r>
        <w:t xml:space="preserve">Rule Added to AI Instructions</w:t>
      </w:r>
    </w:p>
    <w:p>
      <w:pPr>
        <w:pStyle w:val="FirstParagraph"/>
      </w:pPr>
      <w:r>
        <w:t xml:space="preserve">Internal links in this vault must always use</w:t>
      </w:r>
      <w:r>
        <w:t xml:space="preserve"> </w:t>
      </w:r>
      <w:r>
        <w:rPr>
          <w:rStyle w:val="VerbatimChar"/>
        </w:rPr>
        <w:t xml:space="preserve">[[#Heading Text]]</w:t>
      </w:r>
      <w:r>
        <w:t xml:space="preserve"> </w:t>
      </w:r>
      <w:r>
        <w:t xml:space="preserve">format, never</w:t>
      </w:r>
      <w:r>
        <w:t xml:space="preserve"> </w:t>
      </w:r>
      <w:r>
        <w:rPr>
          <w:rStyle w:val="VerbatimChar"/>
        </w:rPr>
        <w:t xml:space="preserve">[text](#anchor)</w:t>
      </w:r>
      <w:r>
        <w:t xml:space="preserve">. This applies to any new TOCs, cross-references, or navigation elements added in future sessions.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1.5 — TOC navigation added to all 13 vault files. Links now work in both Obsidian modes.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2026-09-11T22:07:47Z</dcterms:created>
  <dcterms:modified xsi:type="dcterms:W3CDTF">2026-09-11T22:07:47Z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t">
    <vt:lpwstr>Abacus.AI</vt:lpwstr>
  </property>
  <property fmtid="{D5CDD505-2E9C-101B-9397-08002B2CF9AE}" pid="3" name="date">
    <vt:lpwstr>2026-09-11</vt:lpwstr>
  </property>
  <property fmtid="{D5CDD505-2E9C-101B-9397-08002B2CF9AE}" pid="4" name="files_changed">
    <vt:lpwstr/>
  </property>
  <property fmtid="{D5CDD505-2E9C-101B-9397-08002B2CF9AE}" pid="5" name="tags">
    <vt:lpwstr/>
  </property>
  <property fmtid="{D5CDD505-2E9C-101B-9397-08002B2CF9AE}" pid="6" name="type">
    <vt:lpwstr>Navigation Fix — TOC Added to All Vault Files</vt:lpwstr>
  </property>
  <property fmtid="{D5CDD505-2E9C-101B-9397-08002B2CF9AE}" pid="7" name="version">
    <vt:lpwstr>1.5</vt:lpwstr>
  </property>
</Properties>
</file>