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Comprehensive Methodology for Reducing Genetic Mutations and Extending Lifespan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Field of the Invention</w:t>
      </w:r>
    </w:p>
    <w:p w:rsidR="00000000" w:rsidDel="00000000" w:rsidP="00000000" w:rsidRDefault="00000000" w:rsidRPr="00000000" w14:paraId="00000003">
      <w:pPr>
        <w:spacing w:after="240" w:before="240" w:lineRule="auto"/>
        <w:rPr/>
      </w:pPr>
      <w:r w:rsidDel="00000000" w:rsidR="00000000" w:rsidRPr="00000000">
        <w:rPr>
          <w:rtl w:val="0"/>
        </w:rPr>
        <w:t xml:space="preserve">This invention pertains to methodologies in health and longevity, focusing on diet, exercise, toxin minimization, supplementation, antiviral management, and artificial metabolism deceleration strategies designed to reduce genetic mutations and enhance lifespan.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005">
      <w:pPr>
        <w:spacing w:after="240" w:before="240" w:lineRule="auto"/>
        <w:rPr/>
      </w:pPr>
      <w:r w:rsidDel="00000000" w:rsidR="00000000" w:rsidRPr="00000000">
        <w:rPr>
          <w:rtl w:val="0"/>
        </w:rPr>
        <w:t xml:space="preserve">Given the prevalence of genetic mutations and age-related maladies, this method integrates practices related to diet, exercise, toxin reduction, and supplementation, attempting to diminish such risks and extend life duration.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Detailed Description of the Invention</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Dietary Regime</w:t>
        <w:br w:type="textWrapping"/>
      </w:r>
      <w:r w:rsidDel="00000000" w:rsidR="00000000" w:rsidRPr="00000000">
        <w:rPr>
          <w:rtl w:val="0"/>
        </w:rPr>
        <w:t xml:space="preserve">a. </w:t>
      </w:r>
      <w:r w:rsidDel="00000000" w:rsidR="00000000" w:rsidRPr="00000000">
        <w:rPr>
          <w:b w:val="1"/>
          <w:rtl w:val="0"/>
        </w:rPr>
        <w:t xml:space="preserve">Healthy Base Diet:</w:t>
      </w:r>
      <w:r w:rsidDel="00000000" w:rsidR="00000000" w:rsidRPr="00000000">
        <w:rPr>
          <w:rtl w:val="0"/>
        </w:rPr>
        <w:t xml:space="preserve"> Recommending a diet filled with fruits, vegetables, and whole grains, providing antioxidant-rich nourishment to safeguard cells and diminish mutation risks.</w:t>
        <w:br w:type="textWrapping"/>
        <w:t xml:space="preserve">b. </w:t>
      </w:r>
      <w:r w:rsidDel="00000000" w:rsidR="00000000" w:rsidRPr="00000000">
        <w:rPr>
          <w:b w:val="1"/>
          <w:rtl w:val="0"/>
        </w:rPr>
        <w:t xml:space="preserve">Caloric Intake:</w:t>
      </w:r>
      <w:r w:rsidDel="00000000" w:rsidR="00000000" w:rsidRPr="00000000">
        <w:rPr>
          <w:rtl w:val="0"/>
        </w:rPr>
        <w:t xml:space="preserve"> Adopting low-calorie diets, akin to those of long-lived species, to reduce free radical production and minimize DNA damage.</w:t>
        <w:br w:type="textWrapping"/>
        <w:t xml:space="preserve">c. </w:t>
      </w:r>
      <w:r w:rsidDel="00000000" w:rsidR="00000000" w:rsidRPr="00000000">
        <w:rPr>
          <w:b w:val="1"/>
          <w:rtl w:val="0"/>
        </w:rPr>
        <w:t xml:space="preserve">Antioxidant-Rich Foods:</w:t>
      </w:r>
      <w:r w:rsidDel="00000000" w:rsidR="00000000" w:rsidRPr="00000000">
        <w:rPr>
          <w:rtl w:val="0"/>
        </w:rPr>
        <w:t xml:space="preserve"> Leveraging antioxidant-rich food sources to mitigate cellular damage.</w:t>
        <w:br w:type="textWrapping"/>
        <w:t xml:space="preserve">d. </w:t>
      </w:r>
      <w:r w:rsidDel="00000000" w:rsidR="00000000" w:rsidRPr="00000000">
        <w:rPr>
          <w:b w:val="1"/>
          <w:rtl w:val="0"/>
        </w:rPr>
        <w:t xml:space="preserve">Low Protein:</w:t>
      </w:r>
      <w:r w:rsidDel="00000000" w:rsidR="00000000" w:rsidRPr="00000000">
        <w:rPr>
          <w:rtl w:val="0"/>
        </w:rPr>
        <w:t xml:space="preserve"> Adhering to low protein consumption to avoid accumulation of harmful metabolic byproducts.</w:t>
        <w:br w:type="textWrapping"/>
        <w:t xml:space="preserve">e. </w:t>
      </w:r>
      <w:r w:rsidDel="00000000" w:rsidR="00000000" w:rsidRPr="00000000">
        <w:rPr>
          <w:b w:val="1"/>
          <w:rtl w:val="0"/>
        </w:rPr>
        <w:t xml:space="preserve">Sugar Management:</w:t>
      </w:r>
      <w:r w:rsidDel="00000000" w:rsidR="00000000" w:rsidRPr="00000000">
        <w:rPr>
          <w:rtl w:val="0"/>
        </w:rPr>
        <w:t xml:space="preserve"> Advocating for a low-sugar diet to negate health complications related to inflammation and insulin resistance.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Physical Exercise</w:t>
        <w:br w:type="textWrapping"/>
      </w:r>
      <w:r w:rsidDel="00000000" w:rsidR="00000000" w:rsidRPr="00000000">
        <w:rPr>
          <w:rtl w:val="0"/>
        </w:rPr>
        <w:t xml:space="preserve">Inculcating a regular exercise routine, pivotal for enhancing overall health, reducing inflammation, and deterring disease onset.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Minimizing Exposure to Environmental Toxins</w:t>
        <w:br w:type="textWrapping"/>
      </w:r>
      <w:r w:rsidDel="00000000" w:rsidR="00000000" w:rsidRPr="00000000">
        <w:rPr>
          <w:rtl w:val="0"/>
        </w:rPr>
        <w:t xml:space="preserve">Minimizing contact with environmental toxins, including pollutants and pesticides, to significantly reduce cellular damage and mutation risks.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Supplement Administration</w:t>
        <w:br w:type="textWrapping"/>
      </w:r>
      <w:r w:rsidDel="00000000" w:rsidR="00000000" w:rsidRPr="00000000">
        <w:rPr>
          <w:rtl w:val="0"/>
        </w:rPr>
        <w:t xml:space="preserve">Administering supplements, demonstrated to potentially decrease genetic mutation risk and prolong lifespan. A table below provides dosages and evidence strength.</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Artificial Slow Metabolisms</w:t>
        <w:br w:type="textWrapping"/>
      </w:r>
      <w:r w:rsidDel="00000000" w:rsidR="00000000" w:rsidRPr="00000000">
        <w:rPr>
          <w:rtl w:val="0"/>
        </w:rPr>
        <w:t xml:space="preserve">Acknowledging slow metabolisms as characteristic of longevity, facilitating reduced caloric burn at rest and potential protection against diseases like cancer and heart disease.</w:t>
        <w:br w:type="textWrapping"/>
        <w:t xml:space="preserve">a. </w:t>
      </w:r>
      <w:r w:rsidDel="00000000" w:rsidR="00000000" w:rsidRPr="00000000">
        <w:rPr>
          <w:b w:val="1"/>
          <w:rtl w:val="0"/>
        </w:rPr>
        <w:t xml:space="preserve">Cryotherapy:</w:t>
      </w:r>
      <w:r w:rsidDel="00000000" w:rsidR="00000000" w:rsidRPr="00000000">
        <w:rPr>
          <w:rtl w:val="0"/>
        </w:rPr>
        <w:t xml:space="preserve"> Incorporating cryotherapy as a strategy to artificially slow metabolism, which could induce cellular activities that mimic natural slow metabolism seen in long-lived species.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Low Levels of Stress</w:t>
        <w:br w:type="textWrapping"/>
      </w:r>
      <w:r w:rsidDel="00000000" w:rsidR="00000000" w:rsidRPr="00000000">
        <w:rPr>
          <w:rtl w:val="0"/>
        </w:rPr>
        <w:t xml:space="preserve">Recognizing potential longevity and health benefits correlated with residing in low-stress environments, which may decelerate aging processes.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Antiviral Considerations</w:t>
        <w:br w:type="textWrapping"/>
      </w:r>
      <w:r w:rsidDel="00000000" w:rsidR="00000000" w:rsidRPr="00000000">
        <w:rPr>
          <w:rtl w:val="0"/>
        </w:rPr>
        <w:t xml:space="preserve">Recognizing the widespread prevalence of viruses, such as Human Papillomavirus (HPV), which are suggested to be present in approximately 80% of the global population and have been linked to genetic mutations and subsequent cognitive declines. Administering antivirals or vaccinations can serve as a preventive strategy against virus-induced genetic mutations.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Examples of Recommended Foods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Fruits: Berries, citrus fruits, melons, apples, pears, plums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Vegetables: Leafy greens (e.g., spinach, kale), cruciferous vegetables (e.g., broccoli, cauliflower), sweet potatoes, carrots, bell peppers, zucchini</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Whole grains: Oats, quinoa, brown rice, wild rice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Legumes: Lentils, beans, peas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Nuts and seeds: Almonds, walnuts, flaxseeds, chia seeds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Dairy: Yogurt, kefir, low-fat milk</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Table of Supplement Dosages</w:t>
      </w:r>
    </w:p>
    <w:tbl>
      <w:tblPr>
        <w:tblStyle w:val="Table1"/>
        <w:tblW w:w="9015.0" w:type="dxa"/>
        <w:jc w:val="left"/>
        <w:tblLayout w:type="fixed"/>
        <w:tblLook w:val="0600"/>
      </w:tblPr>
      <w:tblGrid>
        <w:gridCol w:w="2675"/>
        <w:gridCol w:w="2675"/>
        <w:gridCol w:w="3665"/>
        <w:tblGridChange w:id="0">
          <w:tblGrid>
            <w:gridCol w:w="2675"/>
            <w:gridCol w:w="2675"/>
            <w:gridCol w:w="366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Supplement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Evidence tier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Dosage (Safe Limits)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Folate</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Strong</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400-800 mcg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Selenium</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Strong</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55-150 mcg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Vitamin D</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Strong</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600-800 IU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Green tea</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(medium)</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 cups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Turmeric</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(medium)</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500-1,000 mg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Omega-3 fatty acids</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(medium)</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1,000-2,000 mg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Zinc</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(medium)</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Men: 11mg, Women: 8mg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Indole-3-carbinol</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(low)</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200-400 mg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Quercetin</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(low)</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500-1,000 mg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Probiotics</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(low)</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10-100 billion CFUs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CoQ10</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(low)</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30-200 mg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Resveratrol</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(low)</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250-500 mg per day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Moringa</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(low)</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500-1,000 mg per day</w:t>
            </w:r>
          </w:p>
        </w:tc>
      </w:tr>
    </w:tbl>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Concluding Statement</w:t>
      </w:r>
    </w:p>
    <w:p w:rsidR="00000000" w:rsidDel="00000000" w:rsidP="00000000" w:rsidRDefault="00000000" w:rsidRPr="00000000" w14:paraId="00000041">
      <w:pPr>
        <w:spacing w:after="240" w:before="240" w:lineRule="auto"/>
        <w:rPr/>
      </w:pPr>
      <w:r w:rsidDel="00000000" w:rsidR="00000000" w:rsidRPr="00000000">
        <w:rPr>
          <w:rtl w:val="0"/>
        </w:rPr>
        <w:t xml:space="preserve">This method amalgamates diet, exercise, toxin avoidance, supplementation, artificial metabolism slowing strategies, and antiviral management to robustly mitigate genetic mutation risks and augment lifespan, with advised consultation with healthcare professionals before any notable lifestyle adjustments.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Claims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Claim 1:</w:t>
      </w:r>
      <w:r w:rsidDel="00000000" w:rsidR="00000000" w:rsidRPr="00000000">
        <w:rPr>
          <w:rtl w:val="0"/>
        </w:rPr>
        <w:t xml:space="preserve"> A method comprising a strategic combination of dietary components, focusing on caloric intake, antioxidant inclusion, low protein, and sugar management to curtail genetic mutations and enhance lifespan.</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Claim 2:</w:t>
      </w:r>
      <w:r w:rsidDel="00000000" w:rsidR="00000000" w:rsidRPr="00000000">
        <w:rPr>
          <w:rtl w:val="0"/>
        </w:rPr>
        <w:t xml:space="preserve"> An exercise regimen, as defined, pivotal for enhancing overall health and minimizing inflammatory responses, thereby extending lifespan.</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Claim 3:</w:t>
      </w:r>
      <w:r w:rsidDel="00000000" w:rsidR="00000000" w:rsidRPr="00000000">
        <w:rPr>
          <w:rtl w:val="0"/>
        </w:rPr>
        <w:t xml:space="preserve"> A methodology of minimizing exposure to environmental toxins to reduce cellular damage and prevent mutation onset.</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Claim 4:</w:t>
      </w:r>
      <w:r w:rsidDel="00000000" w:rsidR="00000000" w:rsidRPr="00000000">
        <w:rPr>
          <w:rtl w:val="0"/>
        </w:rPr>
        <w:t xml:space="preserve"> The administration of supplements, according to the dosages and evidence tiers provided, aiming to decrease genetic mutation risk and elongate lifespan.</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Claim 5:</w:t>
      </w:r>
      <w:r w:rsidDel="00000000" w:rsidR="00000000" w:rsidRPr="00000000">
        <w:rPr>
          <w:rtl w:val="0"/>
        </w:rPr>
        <w:t xml:space="preserve"> A practice involving artificially slowing metabolism through means including cryotherapy, as delineated, to mimic metabolic rates observed in naturally long-lived organisms.</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Claim 6:</w:t>
      </w:r>
      <w:r w:rsidDel="00000000" w:rsidR="00000000" w:rsidRPr="00000000">
        <w:rPr>
          <w:rtl w:val="0"/>
        </w:rPr>
        <w:t xml:space="preserve"> The administration of antivirals or vaccines as a preemptive strategy against virus-induced genetic mutations and potential cognitive decline.</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Claim 7:</w:t>
      </w:r>
      <w:r w:rsidDel="00000000" w:rsidR="00000000" w:rsidRPr="00000000">
        <w:rPr>
          <w:rtl w:val="0"/>
        </w:rPr>
        <w:t xml:space="preserve"> A method wherein the aforementioned practices are integrated, operating synergistically to diminish genetic mutation risks and augment lifespan.</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