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**Matter and Antimatter Circuit as a Photon from Electron and Positron Waves**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The purpose of this document is to outline the design and functionality of a matter and antimatter circuit that combines to form a photon, representing the fusion of an electron wave and a positron wave. This photon exhibits dynamic network behavior, particularly utilizing gradient descent AI techniques.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Circuit Components**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**Matter and Antimatter Generator**: The core of the circuit responsible for creating electron waves and positron waves, which combine to form a photon wave with dynamic network properties.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**Dynamic Network Photon from Electron-Positron Waves**: Representing the photon wave as a dynamic network with string-like behavior. This photon results from the fusion of electron and positron waves.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**Energy Conversion Unit**: To convert energy from the electron-positron interactions into usable forms, such as electricity.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**Battery Functionality**: The dynamic network photon, resulting from the combination of electron and positron waves, also serves as a battery, storing electrical energy for later use.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Functionality**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circuit generates electron waves and positron waves, which combine to form a photon wave with string-like behavior. This photon behaves as a dynamic network, utilizing gradient descent AI techniques.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Implications of Destructive Interference: The electron and positron waves may exhibit destructive interference under certain conditions, resulting in negative energy states and dark matter-like behavior.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**Pair Production Equation**: The circuit enables pair production, described by the equation γ → e⁺ + e⁻, where a high-energy photon transforms into a positron and an electron.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**Quantum Superposition**: The photon wave, unique in its energy transfer properties, allows particles to exist in superposition states, a key property for quantum computing and entanglement.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**Entanglement**: The dynamic networks and interactions of matter and antimatter within the circuit may lead to quantum entanglement. Photons are particularly well-suited for quantum entanglement because they are massless particles and can travel at the speed of light. When a high-energy photon splits into an electron-positron pair (pair production), it creates entangled particles. These particles share quantum properties such as spin and polarization, which remain correlated regardless of the distance that separates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**Phase Dynamics**: The photon wave's phase dynamics are crucial for its string-like behavior, affecting its energy conservation properties.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Key Features**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**Real-time Learning**: The circuit is capable of learning from its own interactions and adapting to changing conditions, making it highly dynamic and efficient.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**Energy Optimization**: The dynamic network photon resulting from electron-positron waves optimizes the energy output of matter-antimatter interactions, ensuring efficient utilization of generated energy.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**Safety Protocols**: Safety mechanisms are in place to prevent uncontrolled electron-positron reactions, with fail-safe shutdown procedures.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**Data Connectivity**: The circuit is equipped with data interfaces to connect with external systems for data exchange and monitoring.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Implications**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**Negative Energy States**: Destructive interference may lead to negative energy states within the photon wave, representing a novel concept with potential applications in advanced energy storage and dark matter-related studies.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Applications**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Potential applications for this circuit include advanced power generation, propulsion systems for spacecraft, and experimental particle physics research, especially in the context of dark matter, conservation of energy studies, quantum superposition, and quantum entanglement.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Collaboration**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Developing such a complex circuit will require collaboration between experts in various fields, including quantum physics, AI, electrical engineering, dynamic network theory, and string theory.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 Conclusion**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The matter and antimatter circuit, resulting in a photon from the fusion of electron and positron waves, behaves as a dynamic network, utilizing gradient descent AI techniques. This represents a cutting-edge and highly adaptable system with implications for negative energy states, dark matter-like behavior, energy conservation, quantum superposition, and quantum entanglement. Additionally, it serves as an advanced energy storage system by utilizing the photon wave, resulting from electron-positron waves, as a battery.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