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**Negative and Positive Gravity Derived from Interference Densities in Electromagnetic Waves**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1. 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document delves into the concept of interference density within electromagnetic waves and its implications on gravity—both positive and negative. By leveraging the principles of constructive and destructive interference, we aim to delineate how these interference patterns might impact gravitation without relying on mass, as electromagnetic waves are inherently massless.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2. Background: Interference in Electromagnetic Waves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2.1. Constructive Interference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two or more waves superimpose in a manner where their respective amplitudes add up, resulting in an increased amplitude. This phenomenon can be expressed 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E_{total} = E_1 + E_2 + 2\sqrt{E_1 E_2} \cos(\phi_2 - \phi_1)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Where \( E_{total} \) is the total energy due to superposition, \( E_1 \) and \( E_2 \) are the energies of the individual waves, and \( \phi_1 \) and \( \phi_2 \) are their respective phases.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2.2. Destructive Interference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occurs when waves combine in such a manner that they nullify each other, leading to a diminished amplitude: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E_{total} = |E_1 - E_2|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3. The Dynamic Network of Electromagnetic Waves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Electromagnetic waves, despite their lack of mass, exist as dynamic networks modulating stability. These networks can vary in potential depending on interference patterns. Their densities, originating from either constructive or destructive interference, can manifest in varying gravitational effects.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4. Implications on Gravity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4.1. Constructive Interference Density and Positive Gravity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With electromagnetic waves undergoing constructive interference, the augmented potential energy density may result in positive gravitational effects, even in the absence of mass. Conceptually, this can be likened to a celestial body like a sun, predominantly made up of photons. If the potential energy density reaches a high enough threshold, it might influence spacetime curvature, engendering positive gravity.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4.2. Destructive Interference Density and Negative Gravity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contrast, waves undergoing destructive interference lead to a decreased potential energy density. Such conditions might give rise to negative gravitational effects. For conceptual understanding, this can be juxtaposed with black holes, where the density and gravity are so intense that they prevent anything from escaping.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**It's vital to note that the noticeable nature of negative gravity arising from negative energy is precisely due to the pronounced reduction in potential energy density. The potential void created by destructive interference magnifies the phenomenon, making it discernible.**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5. Theoretical Justifications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5.1. Energy-Momentum Tensor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General Relativity describes gravity as the warping of spacetime by energy and momentum. Even entities without mass, such as electromagnetic waves, can influence the curvature of spacetime through their energy-momentum tensor: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T^{\mu\nu} = F^{\mu\alpha} F^{\nu}_{\alpha} - \frac{1}{4} g^{\mu\nu} F_{\alpha\beta} F^{\alpha\beta}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Where \( F^{\mu\nu} \) represents the electromagnetic field tensor.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5.2. Negative Energy &amp; Wormholes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concept of destructive interference and the ensuing negative energy density can be related to theoretical constructs like wormholes. In theory, negative energy is required to maintain a traversable wormhole open. The potential density stemming from destructive interference might offer an intriguing avenue in this context.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6. Limitations &amp; Challenges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**Density Requirements**: The energy densities needed to achieve noticeable gravitational effects through interference might be astronomically high.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**Stability of Interference Patterns**: Achieving and maintaining stable interference patterns, especially on cosmic scales, is a monumental challenge.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**Uncharted Territory**: While the principles of general relativity allow for gravity to emanate from energy, the notion of manifesting notable gravity from interference densities in electromagnetic waves remains speculative and requires thorough research for tangible applications.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7. Conclusion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document theorizes the potential influence of interference densities, both constructive and destructive, within electromagnetic waves on gravitational phenomena. Although anchored in established scientific principles, this venture into massless gravity via interference is largely theoretical and necessitates extensive further investigation for practical realization.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