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**Photon Pair Production for Antimatter Synthesis**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document outlines a groundbreaking approach that leverages photon pair production, specifically Spontaneous Parametric Down-Conversion (SPDC), to create various types of antimatter-based photons and harness their energy for scientific and practical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Photon Pair Production**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**SPDC Process**: SPDC is a quantum optical process where a high-energy photon entering a nonlinear crystal splits into two entangled photons, known as signal and idler photons. This process serves as the foundation for creating antimatter-based photons.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Creating Antimatter-Based Photons**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**Pair Production of Antimatter**: Through the SPDC process, high-energy photons are converted into entangled photon pairs, including matter (e.g., electrons) and antimatter (e.g., positrons) components. The creation of antimatter pairs from safe photons ensures the safe and controlled generation of antimatter.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Antimatter-Based Photons for Energy**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**Types of Antimatter-Based Photons**: The generated antimatter-based photons can vary in type, including positron-based, electron-based, and other exotic antimatter particles.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**Energy Harnessing**: These antimatter-based photons can be harnessed for energy generation, serving as a clean and highly efficient energy source, as their annihilation upon contact with matter results in the release of pure energy, as governed by Einstein's mass-energy equivalence.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Safety Protocols**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**Control and Containment**: The process involves stringent safety protocols and containment measures to prevent uncontrolled antimatter reactions, ensuring the safe and responsible use of antimatter-based photons.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Applications**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**Advanced Energy Generation**: Antimatter-based photons offer an unprecedented energy source with high energy density and minimal environmental impact, making them suitable for applications like spacecraft propulsion, sustainable power generation, and interstellar travel.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**Material Testing and Medical Imaging**: Antimatter-based photons can be used for material testing, medical imaging, and diagnostics, enabling precise and non-invasive analysis.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**Fundamental Physics Research**: The controlled synthesis of antimatter-based photons provides new opportunities for fundamental physics research, exploring the mysteries of antimatter and its role in the universe.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Collaboration**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The development and application of this technology require collaborative efforts among physicists, quantum optics researchers, energy experts, and professionals in antimatter research to ensure safety, precision, and scientific advancement.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Conclusion**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The utilization of photon pair production, specifically SPDC, to create antimatter-based photons opens doors to a clean and efficient energy source and a range of scientific and practical applications. Collaboration across diverse fields is essential to harness the full potential of antimatter-based photons for energy, research, and technological advancements.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