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lrhnihsjhhs" w:id="0"/>
      <w:bookmarkEnd w:id="0"/>
      <w:r w:rsidDel="00000000" w:rsidR="00000000" w:rsidRPr="00000000">
        <w:rPr>
          <w:b w:val="1"/>
          <w:color w:val="000000"/>
          <w:sz w:val="26"/>
          <w:szCs w:val="26"/>
          <w:rtl w:val="0"/>
        </w:rPr>
        <w:t xml:space="preserve">Superconducting Metamaterials for Velocity Management in Magnetic Fields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efctos7xbhul" w:id="1"/>
      <w:bookmarkEnd w:id="1"/>
      <w:r w:rsidDel="00000000" w:rsidR="00000000" w:rsidRPr="00000000">
        <w:rPr>
          <w:b w:val="1"/>
          <w:color w:val="000000"/>
          <w:sz w:val="22"/>
          <w:szCs w:val="22"/>
          <w:rtl w:val="0"/>
        </w:rPr>
        <w:t xml:space="preserve">I. Objective</w:t>
      </w:r>
    </w:p>
    <w:p w:rsidR="00000000" w:rsidDel="00000000" w:rsidP="00000000" w:rsidRDefault="00000000" w:rsidRPr="00000000" w14:paraId="00000003">
      <w:pPr>
        <w:spacing w:after="240" w:before="240" w:lineRule="auto"/>
        <w:rPr/>
      </w:pPr>
      <w:r w:rsidDel="00000000" w:rsidR="00000000" w:rsidRPr="00000000">
        <w:rPr>
          <w:rtl w:val="0"/>
        </w:rPr>
        <w:t xml:space="preserve">Develop superconducting metamaterials with integrated LC circuits to manage electric and magnetic field dynamics during high-velocity motion, particularly focused on minimizing the impact of Lorentz forces and induced electric fields.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8f4mnks2if72" w:id="2"/>
      <w:bookmarkEnd w:id="2"/>
      <w:r w:rsidDel="00000000" w:rsidR="00000000" w:rsidRPr="00000000">
        <w:rPr>
          <w:b w:val="1"/>
          <w:color w:val="000000"/>
          <w:sz w:val="22"/>
          <w:szCs w:val="22"/>
          <w:rtl w:val="0"/>
        </w:rPr>
        <w:t xml:space="preserve">II. Material Selection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 Superconducting Metamaterials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Material A:</w:t>
      </w:r>
      <w:r w:rsidDel="00000000" w:rsidR="00000000" w:rsidRPr="00000000">
        <w:rPr>
          <w:rtl w:val="0"/>
        </w:rPr>
        <w:t xml:space="preserve"> Superconducting material for the LC circuit (e.g., YBCO: Yttrium Barium Copper Oxide).</w:t>
      </w:r>
    </w:p>
    <w:p w:rsidR="00000000" w:rsidDel="00000000" w:rsidP="00000000" w:rsidRDefault="00000000" w:rsidRPr="00000000" w14:paraId="00000007">
      <w:pPr>
        <w:numPr>
          <w:ilvl w:val="0"/>
          <w:numId w:val="11"/>
        </w:numPr>
        <w:spacing w:after="240" w:before="0" w:beforeAutospacing="0" w:lineRule="auto"/>
        <w:ind w:left="720" w:hanging="360"/>
      </w:pPr>
      <w:r w:rsidDel="00000000" w:rsidR="00000000" w:rsidRPr="00000000">
        <w:rPr>
          <w:b w:val="1"/>
          <w:rtl w:val="0"/>
        </w:rPr>
        <w:t xml:space="preserve">Material B:</w:t>
      </w:r>
      <w:r w:rsidDel="00000000" w:rsidR="00000000" w:rsidRPr="00000000">
        <w:rPr>
          <w:rtl w:val="0"/>
        </w:rPr>
        <w:t xml:space="preserve"> Secondary superconducting material for isolation layers and/or additional structures (e.g., BSCCO: Bismuth Strontium Calcium Copper Oxide).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B. Coolant</w:t>
      </w:r>
    </w:p>
    <w:p w:rsidR="00000000" w:rsidDel="00000000" w:rsidP="00000000" w:rsidRDefault="00000000" w:rsidRPr="00000000" w14:paraId="00000009">
      <w:pPr>
        <w:numPr>
          <w:ilvl w:val="0"/>
          <w:numId w:val="3"/>
        </w:numPr>
        <w:spacing w:after="240" w:before="240" w:lineRule="auto"/>
        <w:ind w:left="720" w:hanging="360"/>
      </w:pPr>
      <w:r w:rsidDel="00000000" w:rsidR="00000000" w:rsidRPr="00000000">
        <w:rPr>
          <w:rtl w:val="0"/>
        </w:rPr>
        <w:t xml:space="preserve">Type: Liquid helium or other effective cryogenic coolants to maintain critical temperature.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 Casing</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Material: Durable, thermally insulative materials ensuring maintenance of vacuum and cryogenic conditions.</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Structure: Able to support and facilitate internal vacuum conditions and effective cooling.</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hvg9pwt9nzn" w:id="3"/>
      <w:bookmarkEnd w:id="3"/>
      <w:r w:rsidDel="00000000" w:rsidR="00000000" w:rsidRPr="00000000">
        <w:rPr>
          <w:b w:val="1"/>
          <w:color w:val="000000"/>
          <w:sz w:val="22"/>
          <w:szCs w:val="22"/>
          <w:rtl w:val="0"/>
        </w:rPr>
        <w:t xml:space="preserve">III. LC Circuit and Metamaterial Design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 LC Circuit Configuration</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rtl w:val="0"/>
        </w:rPr>
        <w:t xml:space="preserve">Employed to generate destructive interference for counteracting induced electric fields during motion.</w:t>
      </w:r>
    </w:p>
    <w:p w:rsidR="00000000" w:rsidDel="00000000" w:rsidP="00000000" w:rsidRDefault="00000000" w:rsidRPr="00000000" w14:paraId="00000010">
      <w:pPr>
        <w:numPr>
          <w:ilvl w:val="0"/>
          <w:numId w:val="10"/>
        </w:numPr>
        <w:spacing w:after="240" w:before="0" w:beforeAutospacing="0" w:lineRule="auto"/>
        <w:ind w:left="720" w:hanging="360"/>
      </w:pPr>
      <w:r w:rsidDel="00000000" w:rsidR="00000000" w:rsidRPr="00000000">
        <w:rPr>
          <w:rtl w:val="0"/>
        </w:rPr>
        <w:t xml:space="preserve">Facilitate control and regulation of electromagnetic dynamics.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B. Metamaterial Construction</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rtl w:val="0"/>
        </w:rPr>
        <w:t xml:space="preserve">Construction: Utilizing Material A and B in concentric rings or other effective geometric configurations.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Purpose: To cloak or manage external and internally induced electric fields effectively.</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y1fa2maialdz" w:id="4"/>
      <w:bookmarkEnd w:id="4"/>
      <w:r w:rsidDel="00000000" w:rsidR="00000000" w:rsidRPr="00000000">
        <w:rPr>
          <w:b w:val="1"/>
          <w:color w:val="000000"/>
          <w:sz w:val="22"/>
          <w:szCs w:val="22"/>
          <w:rtl w:val="0"/>
        </w:rPr>
        <w:t xml:space="preserve">IV. Experimental Setup</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 Magnetic Linear Accelerator</w:t>
      </w:r>
    </w:p>
    <w:p w:rsidR="00000000" w:rsidDel="00000000" w:rsidP="00000000" w:rsidRDefault="00000000" w:rsidRPr="00000000" w14:paraId="00000016">
      <w:pPr>
        <w:numPr>
          <w:ilvl w:val="0"/>
          <w:numId w:val="14"/>
        </w:numPr>
        <w:spacing w:after="0" w:afterAutospacing="0" w:before="240" w:lineRule="auto"/>
        <w:ind w:left="720" w:hanging="360"/>
      </w:pPr>
      <w:r w:rsidDel="00000000" w:rsidR="00000000" w:rsidRPr="00000000">
        <w:rPr>
          <w:rtl w:val="0"/>
        </w:rPr>
        <w:t xml:space="preserve">Structure: Cylindrical accelerator with an internal vacuum.</w:t>
      </w:r>
    </w:p>
    <w:p w:rsidR="00000000" w:rsidDel="00000000" w:rsidP="00000000" w:rsidRDefault="00000000" w:rsidRPr="00000000" w14:paraId="00000017">
      <w:pPr>
        <w:numPr>
          <w:ilvl w:val="0"/>
          <w:numId w:val="14"/>
        </w:numPr>
        <w:spacing w:after="240" w:before="0" w:beforeAutospacing="0" w:lineRule="auto"/>
        <w:ind w:left="720" w:hanging="360"/>
      </w:pPr>
      <w:r w:rsidDel="00000000" w:rsidR="00000000" w:rsidRPr="00000000">
        <w:rPr>
          <w:rtl w:val="0"/>
        </w:rPr>
        <w:t xml:space="preserve">Purpose: To analyze the electromagnetic behavior of the superconducting LC circuit at varied velocities.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B. Halbach Array Cylinder</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rtl w:val="0"/>
        </w:rPr>
        <w:t xml:space="preserve">Arrangement: Independent, adjustable Halbach array ring slices forming the cylinder.</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rtl w:val="0"/>
        </w:rPr>
        <w:t xml:space="preserve">Purpose: To generate a controlled magnetic field environment mimicking potential space travel conditions.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ahvb469c6zoz" w:id="5"/>
      <w:bookmarkEnd w:id="5"/>
      <w:r w:rsidDel="00000000" w:rsidR="00000000" w:rsidRPr="00000000">
        <w:rPr>
          <w:b w:val="1"/>
          <w:color w:val="000000"/>
          <w:sz w:val="22"/>
          <w:szCs w:val="22"/>
          <w:rtl w:val="0"/>
        </w:rPr>
        <w:t xml:space="preserve">V. Procedure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A. Preparation</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rtl w:val="0"/>
        </w:rPr>
        <w:t xml:space="preserve">Prepare the superconducting LC circuit encapsulated within a suitable vessel, ensuring thermal stability.</w:t>
      </w:r>
    </w:p>
    <w:p w:rsidR="00000000" w:rsidDel="00000000" w:rsidP="00000000" w:rsidRDefault="00000000" w:rsidRPr="00000000" w14:paraId="0000001E">
      <w:pPr>
        <w:numPr>
          <w:ilvl w:val="0"/>
          <w:numId w:val="8"/>
        </w:numPr>
        <w:spacing w:after="240" w:before="0" w:beforeAutospacing="0" w:lineRule="auto"/>
        <w:ind w:left="720" w:hanging="360"/>
      </w:pPr>
      <w:r w:rsidDel="00000000" w:rsidR="00000000" w:rsidRPr="00000000">
        <w:rPr>
          <w:rtl w:val="0"/>
        </w:rPr>
        <w:t xml:space="preserve">Position the LC circuit within the accelerator, ensuring no physical contact and proper magnetic levitation.</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B. Acceleration</w:t>
      </w:r>
    </w:p>
    <w:p w:rsidR="00000000" w:rsidDel="00000000" w:rsidP="00000000" w:rsidRDefault="00000000" w:rsidRPr="00000000" w14:paraId="00000020">
      <w:pPr>
        <w:numPr>
          <w:ilvl w:val="0"/>
          <w:numId w:val="13"/>
        </w:numPr>
        <w:spacing w:after="0" w:afterAutospacing="0" w:before="240" w:lineRule="auto"/>
        <w:ind w:left="720" w:hanging="360"/>
      </w:pPr>
      <w:r w:rsidDel="00000000" w:rsidR="00000000" w:rsidRPr="00000000">
        <w:rPr>
          <w:rtl w:val="0"/>
        </w:rPr>
        <w:t xml:space="preserve">Progressively increase the velocity of the LC circuit within the accelerator.</w:t>
      </w:r>
    </w:p>
    <w:p w:rsidR="00000000" w:rsidDel="00000000" w:rsidP="00000000" w:rsidRDefault="00000000" w:rsidRPr="00000000" w14:paraId="00000021">
      <w:pPr>
        <w:numPr>
          <w:ilvl w:val="0"/>
          <w:numId w:val="13"/>
        </w:numPr>
        <w:spacing w:after="240" w:before="0" w:beforeAutospacing="0" w:lineRule="auto"/>
        <w:ind w:left="720" w:hanging="360"/>
      </w:pPr>
      <w:r w:rsidDel="00000000" w:rsidR="00000000" w:rsidRPr="00000000">
        <w:rPr>
          <w:rtl w:val="0"/>
        </w:rPr>
        <w:t xml:space="preserve">Simultaneously manipulate the Halbach array to adjust the magnetic field experienced by the moving LC circuit.</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 Measurement and Data Collection</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Monitor the electric and magnetic fields generated and experienced by the LC circuit.</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rtl w:val="0"/>
        </w:rPr>
        <w:t xml:space="preserve">Analyze the effectiveness of destructive interference at various velocities and magnetic field strengths.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t2f2kd2uslem" w:id="6"/>
      <w:bookmarkEnd w:id="6"/>
      <w:r w:rsidDel="00000000" w:rsidR="00000000" w:rsidRPr="00000000">
        <w:rPr>
          <w:b w:val="1"/>
          <w:color w:val="000000"/>
          <w:sz w:val="22"/>
          <w:szCs w:val="22"/>
          <w:rtl w:val="0"/>
        </w:rPr>
        <w:t xml:space="preserve">VI. Data Analysis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A. Lorentz Force Management</w:t>
      </w:r>
    </w:p>
    <w:p w:rsidR="00000000" w:rsidDel="00000000" w:rsidP="00000000" w:rsidRDefault="00000000" w:rsidRPr="00000000" w14:paraId="00000027">
      <w:pPr>
        <w:numPr>
          <w:ilvl w:val="0"/>
          <w:numId w:val="15"/>
        </w:numPr>
        <w:spacing w:after="240" w:before="240" w:lineRule="auto"/>
        <w:ind w:left="720" w:hanging="360"/>
      </w:pPr>
      <w:r w:rsidDel="00000000" w:rsidR="00000000" w:rsidRPr="00000000">
        <w:rPr>
          <w:rtl w:val="0"/>
        </w:rPr>
        <w:t xml:space="preserve">Assess how effectively the LC circuit and metamaterial configuration manage Lorentz forces and associated electric fields.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B. Resonance and Interference Dynamics</w:t>
      </w:r>
    </w:p>
    <w:p w:rsidR="00000000" w:rsidDel="00000000" w:rsidP="00000000" w:rsidRDefault="00000000" w:rsidRPr="00000000" w14:paraId="00000029">
      <w:pPr>
        <w:numPr>
          <w:ilvl w:val="0"/>
          <w:numId w:val="7"/>
        </w:numPr>
        <w:spacing w:after="240" w:before="240" w:lineRule="auto"/>
        <w:ind w:left="720" w:hanging="360"/>
      </w:pPr>
      <w:r w:rsidDel="00000000" w:rsidR="00000000" w:rsidRPr="00000000">
        <w:rPr>
          <w:rtl w:val="0"/>
        </w:rPr>
        <w:t xml:space="preserve">Analyze how well the LC circuit manages resonant frequencies and destructive interference throughout the velocity and magnetic field spectrum.</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iadlsmu3jyjr" w:id="7"/>
      <w:bookmarkEnd w:id="7"/>
      <w:r w:rsidDel="00000000" w:rsidR="00000000" w:rsidRPr="00000000">
        <w:rPr>
          <w:b w:val="1"/>
          <w:color w:val="000000"/>
          <w:sz w:val="22"/>
          <w:szCs w:val="22"/>
          <w:rtl w:val="0"/>
        </w:rPr>
        <w:t xml:space="preserve">VII. Safety and Contingency Planning</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 Superconductor Integrity</w:t>
      </w:r>
    </w:p>
    <w:p w:rsidR="00000000" w:rsidDel="00000000" w:rsidP="00000000" w:rsidRDefault="00000000" w:rsidRPr="00000000" w14:paraId="0000002C">
      <w:pPr>
        <w:numPr>
          <w:ilvl w:val="0"/>
          <w:numId w:val="5"/>
        </w:numPr>
        <w:spacing w:after="240" w:before="240" w:lineRule="auto"/>
        <w:ind w:left="720" w:hanging="360"/>
      </w:pPr>
      <w:r w:rsidDel="00000000" w:rsidR="00000000" w:rsidRPr="00000000">
        <w:rPr>
          <w:rtl w:val="0"/>
        </w:rPr>
        <w:t xml:space="preserve">Ensure that the structural and superconducting integrity of the materials is maintained throughout experimentation.</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B. Experimental Controls</w:t>
      </w:r>
    </w:p>
    <w:p w:rsidR="00000000" w:rsidDel="00000000" w:rsidP="00000000" w:rsidRDefault="00000000" w:rsidRPr="00000000" w14:paraId="0000002E">
      <w:pPr>
        <w:numPr>
          <w:ilvl w:val="0"/>
          <w:numId w:val="2"/>
        </w:numPr>
        <w:spacing w:after="240" w:before="240" w:lineRule="auto"/>
        <w:ind w:left="720" w:hanging="360"/>
      </w:pPr>
      <w:r w:rsidDel="00000000" w:rsidR="00000000" w:rsidRPr="00000000">
        <w:rPr>
          <w:rtl w:val="0"/>
        </w:rPr>
        <w:t xml:space="preserve">Maintain stringent control and monitoring over the experimental setup to prevent unintended incidents, especially concerning high-velocity movements and strong magnetic fields.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52myha64lwx2" w:id="8"/>
      <w:bookmarkEnd w:id="8"/>
      <w:r w:rsidDel="00000000" w:rsidR="00000000" w:rsidRPr="00000000">
        <w:rPr>
          <w:b w:val="1"/>
          <w:color w:val="000000"/>
          <w:sz w:val="22"/>
          <w:szCs w:val="22"/>
          <w:rtl w:val="0"/>
        </w:rPr>
        <w:t xml:space="preserve">VIII. Conclusion and Further Research</w:t>
      </w:r>
    </w:p>
    <w:p w:rsidR="00000000" w:rsidDel="00000000" w:rsidP="00000000" w:rsidRDefault="00000000" w:rsidRPr="00000000" w14:paraId="00000030">
      <w:pPr>
        <w:spacing w:after="240" w:before="240" w:lineRule="auto"/>
        <w:rPr/>
      </w:pPr>
      <w:r w:rsidDel="00000000" w:rsidR="00000000" w:rsidRPr="00000000">
        <w:rPr>
          <w:rtl w:val="0"/>
        </w:rPr>
        <w:t xml:space="preserve">Synthesize the findings and ascertain the viability, efficiency, and challenges of utilizing superconducting metamaterials for electromagnetic field management at high velocities. Propose adjustments, optimizations, and further research directions based on the collected data and observed phenomena.</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958ui0z4nf66" w:id="9"/>
      <w:bookmarkEnd w:id="9"/>
      <w:r w:rsidDel="00000000" w:rsidR="00000000" w:rsidRPr="00000000">
        <w:rPr>
          <w:b w:val="1"/>
          <w:color w:val="000000"/>
          <w:sz w:val="22"/>
          <w:szCs w:val="22"/>
          <w:rtl w:val="0"/>
        </w:rPr>
        <w:t xml:space="preserve">IX. Notes</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rtl w:val="0"/>
        </w:rPr>
        <w:t xml:space="preserve">Ethical and safety compliance in experimentation is paramount.</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rtl w:val="0"/>
        </w:rPr>
        <w:t xml:space="preserve">Ensuring data integrity, scientific rigor, and validity in observations will be pivotal for the practical translation of findings.</w:t>
      </w:r>
    </w:p>
    <w:p w:rsidR="00000000" w:rsidDel="00000000" w:rsidP="00000000" w:rsidRDefault="00000000" w:rsidRPr="00000000" w14:paraId="00000034">
      <w:pPr>
        <w:numPr>
          <w:ilvl w:val="0"/>
          <w:numId w:val="12"/>
        </w:numPr>
        <w:spacing w:after="240" w:before="0" w:beforeAutospacing="0" w:lineRule="auto"/>
        <w:ind w:left="720" w:hanging="360"/>
      </w:pPr>
      <w:r w:rsidDel="00000000" w:rsidR="00000000" w:rsidRPr="00000000">
        <w:rPr>
          <w:rtl w:val="0"/>
        </w:rPr>
        <w:t xml:space="preserve">Collaboration with experts in superconducting materials, electromagnetism, and related domains will enhance the depth and applicability of the research.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