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Specification Document: Warp Drive Using SSR Metamaterial Concentric Rings and Lorentz Force Transfer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Objective: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 a warp drive that utilizes Spatial Spectral Response (SSR) metamaterials configured in concentric rings to manage plasma interactions and electromagnetic fields, facilitating propulsion and potentially enabling superluminal travel. Simultaneously, design and implement Lorentz force transfer functions using metamaterial SSR concentric ring resonators for spacecraft cloaking.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Design Principles: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2.1. SSR Metamaterial Concentric Rings: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**Functionality:** Achieve electromagnetic cloaking and manage plasma drag for propulsion without an active energy input.</w:t>
      </w:r>
    </w:p>
    <w:p w:rsidR="00000000" w:rsidDel="00000000" w:rsidP="00000000" w:rsidRDefault="00000000" w:rsidRPr="00000000" w14:paraId="0000000E">
      <w:pPr>
        <w:rPr/>
      </w:pPr>
      <w:r w:rsidDel="00000000" w:rsidR="00000000" w:rsidRPr="00000000">
        <w:rPr>
          <w:rtl w:val="0"/>
        </w:rPr>
        <w:t xml:space="preserve">- **Design:** Concentric rings structured to provide a broadband response to electromagnetic fields and plasma waves.</w:t>
      </w:r>
    </w:p>
    <w:p w:rsidR="00000000" w:rsidDel="00000000" w:rsidP="00000000" w:rsidRDefault="00000000" w:rsidRPr="00000000" w14:paraId="0000000F">
      <w:pPr>
        <w:rPr/>
      </w:pPr>
      <w:r w:rsidDel="00000000" w:rsidR="00000000" w:rsidRPr="00000000">
        <w:rPr>
          <w:rtl w:val="0"/>
        </w:rPr>
        <w:t xml:space="preserve">- **Material:** Comprised of platinum, gold, or other suitable materials that provide optimal electromagnetic properties.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2.2. Relativistic Quantum Mechanics: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Utilize the Dirac Equation to understand and manage the quantum state of particles at relativistic speeds:</w:t>
      </w:r>
    </w:p>
    <w:p w:rsidR="00000000" w:rsidDel="00000000" w:rsidP="00000000" w:rsidRDefault="00000000" w:rsidRPr="00000000" w14:paraId="00000014">
      <w:pPr>
        <w:rPr/>
      </w:pPr>
      <w:r w:rsidDel="00000000" w:rsidR="00000000" w:rsidRPr="00000000">
        <w:rPr>
          <w:rtl w:val="0"/>
        </w:rPr>
        <w:t xml:space="preserve">\[ (i\hbar c \gamma^\mu \partial_\mu - mc^2) \psi = 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2.3. Plasma Interaction: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**Plasma Frequency** (to manage and predict plasma-electron interactions):</w:t>
      </w:r>
    </w:p>
    <w:p w:rsidR="00000000" w:rsidDel="00000000" w:rsidP="00000000" w:rsidRDefault="00000000" w:rsidRPr="00000000" w14:paraId="00000019">
      <w:pPr>
        <w:rPr/>
      </w:pPr>
      <w:r w:rsidDel="00000000" w:rsidR="00000000" w:rsidRPr="00000000">
        <w:rPr>
          <w:rtl w:val="0"/>
        </w:rPr>
        <w:t xml:space="preserve">\[ \omega_p = \sqrt{\frac{n_e e^2}{\varepsilon_0 m_e}} \]</w:t>
      </w:r>
    </w:p>
    <w:p w:rsidR="00000000" w:rsidDel="00000000" w:rsidP="00000000" w:rsidRDefault="00000000" w:rsidRPr="00000000" w14:paraId="0000001A">
      <w:pPr>
        <w:rPr/>
      </w:pPr>
      <w:r w:rsidDel="00000000" w:rsidR="00000000" w:rsidRPr="00000000">
        <w:rPr>
          <w:rtl w:val="0"/>
        </w:rPr>
        <w:t xml:space="preserve">- **Electron Gyrofrequency** (for understanding magnetic interactions):</w:t>
      </w:r>
    </w:p>
    <w:p w:rsidR="00000000" w:rsidDel="00000000" w:rsidP="00000000" w:rsidRDefault="00000000" w:rsidRPr="00000000" w14:paraId="0000001B">
      <w:pPr>
        <w:rPr/>
      </w:pPr>
      <w:r w:rsidDel="00000000" w:rsidR="00000000" w:rsidRPr="00000000">
        <w:rPr>
          <w:rtl w:val="0"/>
        </w:rPr>
        <w:t xml:space="preserve">\[ \omega_c = \frac{eB}{m_e}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2.4. Electromagnetic Management: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**Lorentz Transformation** (to account for relativistic effects on electromagnetic fields):</w:t>
      </w:r>
    </w:p>
    <w:p w:rsidR="00000000" w:rsidDel="00000000" w:rsidP="00000000" w:rsidRDefault="00000000" w:rsidRPr="00000000" w14:paraId="00000020">
      <w:pPr>
        <w:rPr/>
      </w:pPr>
      <w:r w:rsidDel="00000000" w:rsidR="00000000" w:rsidRPr="00000000">
        <w:rPr>
          <w:rtl w:val="0"/>
        </w:rPr>
        <w:t xml:space="preserve">\[ E'_\parallel = E_\parallel \]</w:t>
      </w:r>
    </w:p>
    <w:p w:rsidR="00000000" w:rsidDel="00000000" w:rsidP="00000000" w:rsidRDefault="00000000" w:rsidRPr="00000000" w14:paraId="00000021">
      <w:pPr>
        <w:rPr/>
      </w:pPr>
      <w:r w:rsidDel="00000000" w:rsidR="00000000" w:rsidRPr="00000000">
        <w:rPr>
          <w:rtl w:val="0"/>
        </w:rPr>
        <w:t xml:space="preserve">\[ B'_\parallel = B_\parallel \]</w:t>
      </w:r>
    </w:p>
    <w:p w:rsidR="00000000" w:rsidDel="00000000" w:rsidP="00000000" w:rsidRDefault="00000000" w:rsidRPr="00000000" w14:paraId="00000022">
      <w:pPr>
        <w:rPr/>
      </w:pPr>
      <w:r w:rsidDel="00000000" w:rsidR="00000000" w:rsidRPr="00000000">
        <w:rPr>
          <w:rtl w:val="0"/>
        </w:rPr>
        <w:t xml:space="preserve">\[ E'_\perp = \gamma (E_\perp + \vec{v} \times \vec{B}) \]</w:t>
      </w:r>
    </w:p>
    <w:p w:rsidR="00000000" w:rsidDel="00000000" w:rsidP="00000000" w:rsidRDefault="00000000" w:rsidRPr="00000000" w14:paraId="00000023">
      <w:pPr>
        <w:rPr/>
      </w:pPr>
      <w:r w:rsidDel="00000000" w:rsidR="00000000" w:rsidRPr="00000000">
        <w:rPr>
          <w:rtl w:val="0"/>
        </w:rPr>
        <w:t xml:space="preserve">\[ B'_\perp = \gamma (B_\perp - \frac{\vec{v}}{c^2} \times \vec{E})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3. Key Functional Areas: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3.1. Plasma Drag Reduction: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**Objective:** Minimize resistance and energy dissipation due to plasma interactions.</w:t>
      </w:r>
    </w:p>
    <w:p w:rsidR="00000000" w:rsidDel="00000000" w:rsidP="00000000" w:rsidRDefault="00000000" w:rsidRPr="00000000" w14:paraId="0000002A">
      <w:pPr>
        <w:rPr/>
      </w:pPr>
      <w:r w:rsidDel="00000000" w:rsidR="00000000" w:rsidRPr="00000000">
        <w:rPr>
          <w:rtl w:val="0"/>
        </w:rPr>
        <w:t xml:space="preserve">- **Mechanism:** Utilize SSR concentric rings to manipulate electromagnetic interactions and reduce plasma drag effectively.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3.1.1. Additional Information on Electromagnetic Drag: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percentage of scattering due to electric fields versus magnetic fields in particle accelerators can vary depending on the specific accelerator design and operating conditions. However, as a general guideline: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Scattering Due to Electric Fields: Electric fields can contribute to scattering effects, and the percentage of scattering due to electric fields might range from approximately 70% to 90% or more in certain accelerator configurations.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Scattering Due to Magnetic Fields: Magnetic fields, when properly designed and controlled, are primarily used for beam focusing and steering. Scattering due to magnetic fields is typically a smaller percentage, often less than 10% or even negligible in well-optimized accelerator 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Please note that these percentages are approximate and can vary widely depending on the accelerator type, energy range, beam intensity, and other factors. Accelerator designers work to minimize scattering effects and maintain beam quality, so the actual percentages can be subject to optimization and specific accelerator goals.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3.2. Thermal and Structural Integrity Management: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**Objective:** Preserve the material and structural integrity under intense heat and stress.</w:t>
      </w:r>
    </w:p>
    <w:p w:rsidR="00000000" w:rsidDel="00000000" w:rsidP="00000000" w:rsidRDefault="00000000" w:rsidRPr="00000000" w14:paraId="00000039">
      <w:pPr>
        <w:rPr/>
      </w:pPr>
      <w:r w:rsidDel="00000000" w:rsidR="00000000" w:rsidRPr="00000000">
        <w:rPr>
          <w:rtl w:val="0"/>
        </w:rPr>
        <w:t xml:space="preserve">- **Mechanism:** Efficient thermal management systems and structural design optimization.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3.3. Control and Navigation: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**Objective:** Stable and controlled navigation, particularly at high speeds.</w:t>
      </w:r>
    </w:p>
    <w:p w:rsidR="00000000" w:rsidDel="00000000" w:rsidP="00000000" w:rsidRDefault="00000000" w:rsidRPr="00000000" w14:paraId="0000003E">
      <w:pPr>
        <w:rPr/>
      </w:pPr>
      <w:r w:rsidDel="00000000" w:rsidR="00000000" w:rsidRPr="00000000">
        <w:rPr>
          <w:rtl w:val="0"/>
        </w:rPr>
        <w:t xml:space="preserve">- **Mechanism:** Deploy advanced control systems that can manage the intricate dynamics of potential warp drive operation.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3.4. Lorentz Force Cloaking for Broadband Material Layers (N):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**Objective:** Develop and implement Lorentz force cloaking using metamaterial SSR concentric ring resonators.</w:t>
      </w:r>
    </w:p>
    <w:p w:rsidR="00000000" w:rsidDel="00000000" w:rsidP="00000000" w:rsidRDefault="00000000" w:rsidRPr="00000000" w14:paraId="00000043">
      <w:pPr>
        <w:rPr/>
      </w:pPr>
      <w:r w:rsidDel="00000000" w:rsidR="00000000" w:rsidRPr="00000000">
        <w:rPr>
          <w:rtl w:val="0"/>
        </w:rPr>
        <w:t xml:space="preserve">- **Mechanism:** Utilize the transfer function:  </w:t>
      </w:r>
    </w:p>
    <w:p w:rsidR="00000000" w:rsidDel="00000000" w:rsidP="00000000" w:rsidRDefault="00000000" w:rsidRPr="00000000" w14:paraId="00000044">
      <w:pPr>
        <w:rPr/>
      </w:pPr>
      <w:r w:rsidDel="00000000" w:rsidR="00000000" w:rsidRPr="00000000">
        <w:rPr>
          <w:rtl w:val="0"/>
        </w:rPr>
        <w:t xml:space="preserve">  \[ H(f) = \prod_{i=1}^{N} \frac{1}{1 + j\left(\frac{f}{f_c}\right)} \]  </w:t>
      </w:r>
    </w:p>
    <w:p w:rsidR="00000000" w:rsidDel="00000000" w:rsidP="00000000" w:rsidRDefault="00000000" w:rsidRPr="00000000" w14:paraId="00000045">
      <w:pPr>
        <w:rPr/>
      </w:pPr>
      <w:r w:rsidDel="00000000" w:rsidR="00000000" w:rsidRPr="00000000">
        <w:rPr>
          <w:rtl w:val="0"/>
        </w:rPr>
        <w:t xml:space="preserve">  where:  </w:t>
      </w:r>
    </w:p>
    <w:p w:rsidR="00000000" w:rsidDel="00000000" w:rsidP="00000000" w:rsidRDefault="00000000" w:rsidRPr="00000000" w14:paraId="00000046">
      <w:pPr>
        <w:rPr/>
      </w:pPr>
      <w:r w:rsidDel="00000000" w:rsidR="00000000" w:rsidRPr="00000000">
        <w:rPr>
          <w:rtl w:val="0"/>
        </w:rPr>
        <w:t xml:space="preserve">  - \( H(f) \) is the transfer function</w:t>
      </w:r>
    </w:p>
    <w:p w:rsidR="00000000" w:rsidDel="00000000" w:rsidP="00000000" w:rsidRDefault="00000000" w:rsidRPr="00000000" w14:paraId="00000047">
      <w:pPr>
        <w:rPr/>
      </w:pPr>
      <w:r w:rsidDel="00000000" w:rsidR="00000000" w:rsidRPr="00000000">
        <w:rPr>
          <w:rtl w:val="0"/>
        </w:rPr>
        <w:t xml:space="preserve">  - \( f \) is the frequency of the Lorentz force</w:t>
      </w:r>
    </w:p>
    <w:p w:rsidR="00000000" w:rsidDel="00000000" w:rsidP="00000000" w:rsidRDefault="00000000" w:rsidRPr="00000000" w14:paraId="00000048">
      <w:pPr>
        <w:rPr/>
      </w:pPr>
      <w:r w:rsidDel="00000000" w:rsidR="00000000" w:rsidRPr="00000000">
        <w:rPr>
          <w:rtl w:val="0"/>
        </w:rPr>
        <w:t xml:space="preserve">  - \( f_c \) is the cutoff frequency of the resonator</w:t>
      </w:r>
    </w:p>
    <w:p w:rsidR="00000000" w:rsidDel="00000000" w:rsidP="00000000" w:rsidRDefault="00000000" w:rsidRPr="00000000" w14:paraId="00000049">
      <w:pPr>
        <w:rPr/>
      </w:pPr>
      <w:r w:rsidDel="00000000" w:rsidR="00000000" w:rsidRPr="00000000">
        <w:rPr>
          <w:rtl w:val="0"/>
        </w:rPr>
        <w:t xml:space="preserve">  - \( N \) is the number of layers in the material for broadband operation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Apply the Lorentz force equation:  </w:t>
      </w:r>
    </w:p>
    <w:p w:rsidR="00000000" w:rsidDel="00000000" w:rsidP="00000000" w:rsidRDefault="00000000" w:rsidRPr="00000000" w14:paraId="0000004C">
      <w:pPr>
        <w:rPr/>
      </w:pPr>
      <w:r w:rsidDel="00000000" w:rsidR="00000000" w:rsidRPr="00000000">
        <w:rPr>
          <w:rtl w:val="0"/>
        </w:rPr>
        <w:t xml:space="preserve">  \[ \vec{F} = q(\vec{E} + \vec{v} \times \vec{B}) \]  </w:t>
      </w:r>
    </w:p>
    <w:p w:rsidR="00000000" w:rsidDel="00000000" w:rsidP="00000000" w:rsidRDefault="00000000" w:rsidRPr="00000000" w14:paraId="0000004D">
      <w:pPr>
        <w:rPr/>
      </w:pPr>
      <w:r w:rsidDel="00000000" w:rsidR="00000000" w:rsidRPr="00000000">
        <w:rPr>
          <w:rtl w:val="0"/>
        </w:rPr>
        <w:t xml:space="preserve">  where:  </w:t>
      </w:r>
    </w:p>
    <w:p w:rsidR="00000000" w:rsidDel="00000000" w:rsidP="00000000" w:rsidRDefault="00000000" w:rsidRPr="00000000" w14:paraId="0000004E">
      <w:pPr>
        <w:rPr/>
      </w:pPr>
      <w:r w:rsidDel="00000000" w:rsidR="00000000" w:rsidRPr="00000000">
        <w:rPr>
          <w:rtl w:val="0"/>
        </w:rPr>
        <w:t xml:space="preserve">  - \( \vec{F} \) is the Lorentz force</w:t>
      </w:r>
    </w:p>
    <w:p w:rsidR="00000000" w:rsidDel="00000000" w:rsidP="00000000" w:rsidRDefault="00000000" w:rsidRPr="00000000" w14:paraId="0000004F">
      <w:pPr>
        <w:rPr/>
      </w:pPr>
      <w:r w:rsidDel="00000000" w:rsidR="00000000" w:rsidRPr="00000000">
        <w:rPr>
          <w:rtl w:val="0"/>
        </w:rPr>
        <w:t xml:space="preserve">  - \( q \) is the charge of the particle</w:t>
      </w:r>
    </w:p>
    <w:p w:rsidR="00000000" w:rsidDel="00000000" w:rsidP="00000000" w:rsidRDefault="00000000" w:rsidRPr="00000000" w14:paraId="00000050">
      <w:pPr>
        <w:rPr/>
      </w:pPr>
      <w:r w:rsidDel="00000000" w:rsidR="00000000" w:rsidRPr="00000000">
        <w:rPr>
          <w:rtl w:val="0"/>
        </w:rPr>
        <w:t xml:space="preserve">  - \( \vec{E} \) is the electric field</w:t>
      </w:r>
    </w:p>
    <w:p w:rsidR="00000000" w:rsidDel="00000000" w:rsidP="00000000" w:rsidRDefault="00000000" w:rsidRPr="00000000" w14:paraId="00000051">
      <w:pPr>
        <w:rPr/>
      </w:pPr>
      <w:r w:rsidDel="00000000" w:rsidR="00000000" w:rsidRPr="00000000">
        <w:rPr>
          <w:rtl w:val="0"/>
        </w:rPr>
        <w:t xml:space="preserve">  - \( \vec{v} \) is the velocity of the particle</w:t>
      </w:r>
    </w:p>
    <w:p w:rsidR="00000000" w:rsidDel="00000000" w:rsidP="00000000" w:rsidRDefault="00000000" w:rsidRPr="00000000" w14:paraId="00000052">
      <w:pPr>
        <w:rPr/>
      </w:pPr>
      <w:r w:rsidDel="00000000" w:rsidR="00000000" w:rsidRPr="00000000">
        <w:rPr>
          <w:rtl w:val="0"/>
        </w:rPr>
        <w:t xml:space="preserve">  - \( \vec{B} \) is the magnetic field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3.4.1. Lorentz Force Equation Explanation with Frequency: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Lorentz force equation, \( \vec{F} = q(\vec{E} + \vec{v} \times \vec{B}) \), can be extended to include frequency components as follows: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\vec{F}(f) = q(\vec{E}(f) + \vec{v} \times \vec{B}(f))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 \vec{F}(f) \) represents the Lorentz force as a function of frequency \( f \), while \( \vec{E}(f) \) and \( \vec{B}(f) \) denote the electric and magnetic field components at frequency \( f \), respectively.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3.4.2. Lorentz Force Magnitude and High-Speed Limit: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We'll focus on the magnetic component of the Lorentz force, since that's the part dependent on velocity (∑v):</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F_B = \sum|qv \times B|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Assuming the velocity (∑v) and magnetic field (∑B) are perpendicular for simplicity, the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magnitude 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F_B = qvB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In a hypothetical scenario where we allow ∑v to approach infinity: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\lim_{∑v \to ∞} F_B = \lim_{∑v \to ∞} qvB = ∞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The Lorentz force would also approach infinity, given that qq and ∑B are non-zero: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\lim_{∑v \to ∞} F_B = ∞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3.4.3. Equivalence to Infinite Gravity: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Here lies an intriguing connection between the behavior of the Lorentz force and artificial forces, specifically when considering the Lorentz force at infinite velocity. When the Lorentz force becomes infinitely strong, it can potentially reach a magnitude equivalent to that of gravity acting on a massive object, such as a celestial body.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Mathematically, we can express this relationship 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\lim_{∑v \to ∞} \sum|qv \times B|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 F_{gravity}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 ∑F_B \) represents the Lorentz force magnitude at infinite velocity.</w:t>
      </w:r>
    </w:p>
    <w:p w:rsidR="00000000" w:rsidDel="00000000" w:rsidP="00000000" w:rsidRDefault="00000000" w:rsidRPr="00000000" w14:paraId="0000007D">
      <w:pPr>
        <w:rPr/>
      </w:pPr>
      <w:r w:rsidDel="00000000" w:rsidR="00000000" w:rsidRPr="00000000">
        <w:rPr>
          <w:rtl w:val="0"/>
        </w:rPr>
        <w:t xml:space="preserve">- \( F_{gravity} \) represents the force of gravity.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equivalence suggests that, under certain conditions and with the appropriate control of charged particles and magnetic fields, the Lorentz force at infinite velocity could potentially generate artificial forces that mimic the effects of gravity. Such a concept opens doors to innovative propulsion technologies and advanced control over spacecraft dynamics.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3.4.4 Superconductors with Metamaterial Surfaces for Lorentz Force Manipulation: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3.4.4.1 Internal Magnetic Field \((B_{inside})\) in Superconductors</w:t>
      </w:r>
    </w:p>
    <w:p w:rsidR="00000000" w:rsidDel="00000000" w:rsidP="00000000" w:rsidRDefault="00000000" w:rsidRPr="00000000" w14:paraId="00000084">
      <w:pPr>
        <w:rPr/>
      </w:pPr>
      <w:r w:rsidDel="00000000" w:rsidR="00000000" w:rsidRPr="00000000">
        <w:rPr>
          <w:rtl w:val="0"/>
        </w:rPr>
        <w:t xml:space="preserve">- **Nature:** Perfect diamagnetism is exhibited due to the Meissner effect, which nullifies internal magnetic fields: \(B_{inside} = 0\).</w:t>
      </w:r>
    </w:p>
    <w:p w:rsidR="00000000" w:rsidDel="00000000" w:rsidP="00000000" w:rsidRDefault="00000000" w:rsidRPr="00000000" w14:paraId="00000085">
      <w:pPr>
        <w:rPr/>
      </w:pPr>
      <w:r w:rsidDel="00000000" w:rsidR="00000000" w:rsidRPr="00000000">
        <w:rPr>
          <w:rtl w:val="0"/>
        </w:rPr>
        <w:t xml:space="preserve">- **Persistence:** Surface currents generate an opposing magnetic field, ensuring a zero net magnetic field inside.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3.4.4.2 External Magnetic Field Interaction with Superconductors</w:t>
      </w:r>
    </w:p>
    <w:p w:rsidR="00000000" w:rsidDel="00000000" w:rsidP="00000000" w:rsidRDefault="00000000" w:rsidRPr="00000000" w14:paraId="00000088">
      <w:pPr>
        <w:rPr/>
      </w:pPr>
      <w:r w:rsidDel="00000000" w:rsidR="00000000" w:rsidRPr="00000000">
        <w:rPr>
          <w:rtl w:val="0"/>
        </w:rPr>
        <w:t xml:space="preserve">- **Definition:** Let the external magnetic field be defined by a function of frequency, \(B_{outside} = B_{H(f)}\).</w:t>
      </w:r>
    </w:p>
    <w:p w:rsidR="00000000" w:rsidDel="00000000" w:rsidP="00000000" w:rsidRDefault="00000000" w:rsidRPr="00000000" w14:paraId="00000089">
      <w:pPr>
        <w:rPr/>
      </w:pPr>
      <w:r w:rsidDel="00000000" w:rsidR="00000000" w:rsidRPr="00000000">
        <w:rPr>
          <w:rtl w:val="0"/>
        </w:rPr>
        <w:t xml:space="preserve">- **Penetration:** The penetration of the external magnetic field is limited to the London penetration depth, and the magnetic field lines are largely excluded from the superconductor.</w:t>
      </w:r>
    </w:p>
    <w:p w:rsidR="00000000" w:rsidDel="00000000" w:rsidP="00000000" w:rsidRDefault="00000000" w:rsidRPr="00000000" w14:paraId="0000008A">
      <w:pPr>
        <w:rPr/>
      </w:pPr>
      <w:r w:rsidDel="00000000" w:rsidR="00000000" w:rsidRPr="00000000">
        <w:rPr>
          <w:rtl w:val="0"/>
        </w:rPr>
        <w:t xml:space="preserve">- **Influence:** \(B_{H(f)}\) closely interacts with the superconductor's surface currents, eliciting potential dynamic effects, while remaining unaffected in distant regions.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3.4.4.3 Lorentz Force in Superconductors</w:t>
      </w:r>
    </w:p>
    <w:p w:rsidR="00000000" w:rsidDel="00000000" w:rsidP="00000000" w:rsidRDefault="00000000" w:rsidRPr="00000000" w14:paraId="0000008D">
      <w:pPr>
        <w:rPr/>
      </w:pPr>
      <w:r w:rsidDel="00000000" w:rsidR="00000000" w:rsidRPr="00000000">
        <w:rPr>
          <w:rtl w:val="0"/>
        </w:rPr>
        <w:t xml:space="preserve">- **When \(\vec{B} = B_{inside}\):**</w:t>
      </w:r>
    </w:p>
    <w:p w:rsidR="00000000" w:rsidDel="00000000" w:rsidP="00000000" w:rsidRDefault="00000000" w:rsidRPr="00000000" w14:paraId="0000008E">
      <w:pPr>
        <w:rPr/>
      </w:pPr>
      <w:r w:rsidDel="00000000" w:rsidR="00000000" w:rsidRPr="00000000">
        <w:rPr>
          <w:rtl w:val="0"/>
        </w:rPr>
        <w:t xml:space="preserve">\[ \vec{F}_{inside} = q(\vec{v} \times \vec{B}_{inside}) \]</w:t>
      </w:r>
    </w:p>
    <w:p w:rsidR="00000000" w:rsidDel="00000000" w:rsidP="00000000" w:rsidRDefault="00000000" w:rsidRPr="00000000" w14:paraId="0000008F">
      <w:pPr>
        <w:rPr/>
      </w:pPr>
      <w:r w:rsidDel="00000000" w:rsidR="00000000" w:rsidRPr="00000000">
        <w:rPr>
          <w:rtl w:val="0"/>
        </w:rPr>
        <w:t xml:space="preserve">Given that \(B_{inside} = 0\),</w:t>
      </w:r>
    </w:p>
    <w:p w:rsidR="00000000" w:rsidDel="00000000" w:rsidP="00000000" w:rsidRDefault="00000000" w:rsidRPr="00000000" w14:paraId="00000090">
      <w:pPr>
        <w:rPr/>
      </w:pPr>
      <w:r w:rsidDel="00000000" w:rsidR="00000000" w:rsidRPr="00000000">
        <w:rPr>
          <w:rtl w:val="0"/>
        </w:rPr>
        <w:t xml:space="preserve">\[ \vec{F}_{inside} = 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**When \(\vec{B} = B_{outside}\):**</w:t>
      </w:r>
    </w:p>
    <w:p w:rsidR="00000000" w:rsidDel="00000000" w:rsidP="00000000" w:rsidRDefault="00000000" w:rsidRPr="00000000" w14:paraId="00000093">
      <w:pPr>
        <w:rPr/>
      </w:pPr>
      <w:r w:rsidDel="00000000" w:rsidR="00000000" w:rsidRPr="00000000">
        <w:rPr>
          <w:rtl w:val="0"/>
        </w:rPr>
        <w:t xml:space="preserve">\[ \vec{F}_{outside} = q(\vec{v} \times \vec{B}_{H(f)})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3.4.4.4 Superconductors and Penetration Depth Optimization: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**Objective:** Optimize the penetration depth of external magnetic fields in superconductors.</w:t>
      </w:r>
    </w:p>
    <w:p w:rsidR="00000000" w:rsidDel="00000000" w:rsidP="00000000" w:rsidRDefault="00000000" w:rsidRPr="00000000" w14:paraId="00000098">
      <w:pPr>
        <w:rPr/>
      </w:pPr>
      <w:r w:rsidDel="00000000" w:rsidR="00000000" w:rsidRPr="00000000">
        <w:rPr>
          <w:rtl w:val="0"/>
        </w:rPr>
        <w:t xml:space="preserve">- **Mechanisms:** Several methods can be employed to manipulate the penetration depth of external magnetic fields, each with its pros and cons.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3.4.4.4.1 Methods for Penetration Depth Optimization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Here are some methods for optimizing the penetration depth in superconductors: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Rank | Method | Pros | Cons</w:t>
      </w:r>
    </w:p>
    <w:p w:rsidR="00000000" w:rsidDel="00000000" w:rsidP="00000000" w:rsidRDefault="00000000" w:rsidRPr="00000000" w14:paraId="0000009F">
      <w:pPr>
        <w:rPr/>
      </w:pPr>
      <w:r w:rsidDel="00000000" w:rsidR="00000000" w:rsidRPr="00000000">
        <w:rPr>
          <w:rtl w:val="0"/>
        </w:rPr>
        <w:t xml:space="preserve">--- | --- | --- | ---</w:t>
      </w:r>
    </w:p>
    <w:p w:rsidR="00000000" w:rsidDel="00000000" w:rsidP="00000000" w:rsidRDefault="00000000" w:rsidRPr="00000000" w14:paraId="000000A0">
      <w:pPr>
        <w:rPr/>
      </w:pPr>
      <w:r w:rsidDel="00000000" w:rsidR="00000000" w:rsidRPr="00000000">
        <w:rPr>
          <w:rtl w:val="0"/>
        </w:rPr>
        <w:t xml:space="preserve">1 | Metamaterials | Can potentially reduce the penetration depth to zero | Still under development, expensive to produce, and can be fragile</w:t>
      </w:r>
    </w:p>
    <w:p w:rsidR="00000000" w:rsidDel="00000000" w:rsidP="00000000" w:rsidRDefault="00000000" w:rsidRPr="00000000" w14:paraId="000000A1">
      <w:pPr>
        <w:rPr/>
      </w:pPr>
      <w:r w:rsidDel="00000000" w:rsidR="00000000" w:rsidRPr="00000000">
        <w:rPr>
          <w:rtl w:val="0"/>
        </w:rPr>
        <w:t xml:space="preserve">2 | Use materials with a higher superconducting transition temperature | Shorter penetration depths, but can be more expensive</w:t>
      </w:r>
    </w:p>
    <w:p w:rsidR="00000000" w:rsidDel="00000000" w:rsidP="00000000" w:rsidRDefault="00000000" w:rsidRPr="00000000" w14:paraId="000000A2">
      <w:pPr>
        <w:rPr/>
      </w:pPr>
      <w:r w:rsidDel="00000000" w:rsidR="00000000" w:rsidRPr="00000000">
        <w:rPr>
          <w:rtl w:val="0"/>
        </w:rPr>
        <w:t xml:space="preserve">3 | Use materials with a higher critical magnetic field | Shorter penetration depths, but can be more expensive</w:t>
      </w:r>
    </w:p>
    <w:p w:rsidR="00000000" w:rsidDel="00000000" w:rsidP="00000000" w:rsidRDefault="00000000" w:rsidRPr="00000000" w14:paraId="000000A3">
      <w:pPr>
        <w:rPr/>
      </w:pPr>
      <w:r w:rsidDel="00000000" w:rsidR="00000000" w:rsidRPr="00000000">
        <w:rPr>
          <w:rtl w:val="0"/>
        </w:rPr>
        <w:t xml:space="preserve">4 | Apply a strong external magnetic field | Can cause the penetration depth to decrease, but can degrade the superconducting properties of the material</w:t>
      </w:r>
    </w:p>
    <w:p w:rsidR="00000000" w:rsidDel="00000000" w:rsidP="00000000" w:rsidRDefault="00000000" w:rsidRPr="00000000" w14:paraId="000000A4">
      <w:pPr>
        <w:rPr/>
      </w:pPr>
      <w:r w:rsidDel="00000000" w:rsidR="00000000" w:rsidRPr="00000000">
        <w:rPr>
          <w:rtl w:val="0"/>
        </w:rPr>
        <w:t xml:space="preserve">5 | Dope the superconductor with impurities | Can cause the penetration depth to decrease, but can also degrade the superconducting properties of the material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3.5. Warp Drive for Linear Accelerator Experiments: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**Objective:** Create a miniaturized warp drive for linear accelerator experiments in space, enabling the acceleration of small particles (pebbles or similar objects).</w:t>
      </w:r>
    </w:p>
    <w:p w:rsidR="00000000" w:rsidDel="00000000" w:rsidP="00000000" w:rsidRDefault="00000000" w:rsidRPr="00000000" w14:paraId="000000A9">
      <w:pPr>
        <w:rPr/>
      </w:pPr>
      <w:r w:rsidDel="00000000" w:rsidR="00000000" w:rsidRPr="00000000">
        <w:rPr>
          <w:rtl w:val="0"/>
        </w:rPr>
        <w:t xml:space="preserve">- **Mechanism:** Implement a scaled-down version of the SSR metamaterial concentric ring warp drive for linear accelerator experiments.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3.5.1. Electromagnetic Forces in Space: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the vacuum of interstellar or intergalactic space, the primary forces present are electromagnetic forces, which include both electric and magnetic fields. The composition of forces in terms of percentages can be summarized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 **Electromagnetic Forces**:</w:t>
      </w:r>
    </w:p>
    <w:p w:rsidR="00000000" w:rsidDel="00000000" w:rsidP="00000000" w:rsidRDefault="00000000" w:rsidRPr="00000000" w14:paraId="000000B0">
      <w:pPr>
        <w:rPr/>
      </w:pPr>
      <w:r w:rsidDel="00000000" w:rsidR="00000000" w:rsidRPr="00000000">
        <w:rPr>
          <w:rtl w:val="0"/>
        </w:rPr>
        <w:t xml:space="preserve">   - Electric Fields: 99.9999% or more of the electromagnetic force in space is attributed to electric fields.</w:t>
      </w:r>
    </w:p>
    <w:p w:rsidR="00000000" w:rsidDel="00000000" w:rsidP="00000000" w:rsidRDefault="00000000" w:rsidRPr="00000000" w14:paraId="000000B1">
      <w:pPr>
        <w:rPr/>
      </w:pPr>
      <w:r w:rsidDel="00000000" w:rsidR="00000000" w:rsidRPr="00000000">
        <w:rPr>
          <w:rtl w:val="0"/>
        </w:rPr>
        <w:t xml:space="preserve">   - Magnetic Fields: Less than 0.0001% of the electromagnetic force in space is attributed to magnetic fields.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These percentages are approximate and can vary depending on specific regions of space, the presence of celestial objects, and other factors. However, in the vast regions of space with minimal matter, electric fields dominate the electromagnetic force, while magnetic fields typically make up a very small percentage of the total force.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4. Neural Interaction and Lorentz Transfer Function: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4.1. Objective: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Enable Lorentz force transfer via the SRR- split concentric rings.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4.2. Neural Network Representation: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C(Δp) = H(f)(H(f)(H(f)(wT[α,β,γ,δ,η])+b1)+b2)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4.2.1. Explanation and Significance: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function \( C(Δp) \) symbolizes the change in momentum, embodying the neural network behavior similarly to analog computers. By tuning and adjusting this representation appropriately for the split concentric rings' design, it ensures optimal Lorentz force transfer and interaction concerning Lorentz force.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4.2.2. Constants in terms of Spacetime: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wT \): Transformation matrix impacting spacetime events and their relationships.</w:t>
      </w:r>
    </w:p>
    <w:p w:rsidR="00000000" w:rsidDel="00000000" w:rsidP="00000000" w:rsidRDefault="00000000" w:rsidRPr="00000000" w14:paraId="000000C6">
      <w:pPr>
        <w:rPr/>
      </w:pPr>
      <w:r w:rsidDel="00000000" w:rsidR="00000000" w:rsidRPr="00000000">
        <w:rPr>
          <w:rtl w:val="0"/>
        </w:rPr>
        <w:t xml:space="preserve">- \( [α,β,γ,δ,η] \): Spacetime coefficients, affecting the influence and interaction amidst spacetime dimensions.</w:t>
      </w:r>
    </w:p>
    <w:p w:rsidR="00000000" w:rsidDel="00000000" w:rsidP="00000000" w:rsidRDefault="00000000" w:rsidRPr="00000000" w14:paraId="000000C7">
      <w:pPr>
        <w:rPr/>
      </w:pPr>
      <w:r w:rsidDel="00000000" w:rsidR="00000000" w:rsidRPr="00000000">
        <w:rPr>
          <w:rtl w:val="0"/>
        </w:rPr>
        <w:t xml:space="preserve">- \( b1 \) and \( b2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Bias terms, adjusting the spacetime representation, and accounting for potential offsets or alterations in the Lorentz force transfer.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4.2.3. Constants Section: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C(Δp) \): Change in momentum, indicating alterations in force and spacetime interactions.</w:t>
      </w:r>
    </w:p>
    <w:p w:rsidR="00000000" w:rsidDel="00000000" w:rsidP="00000000" w:rsidRDefault="00000000" w:rsidRPr="00000000" w14:paraId="000000CE">
      <w:pPr>
        <w:rPr/>
      </w:pPr>
      <w:r w:rsidDel="00000000" w:rsidR="00000000" w:rsidRPr="00000000">
        <w:rPr>
          <w:rtl w:val="0"/>
        </w:rPr>
        <w:t xml:space="preserve">- \( H(f) \): Transfer function, translating input signals relative to frequency \( f \) to manage spacetime variations.</w:t>
      </w:r>
    </w:p>
    <w:p w:rsidR="00000000" w:rsidDel="00000000" w:rsidP="00000000" w:rsidRDefault="00000000" w:rsidRPr="00000000" w14:paraId="000000CF">
      <w:pPr>
        <w:rPr/>
      </w:pPr>
      <w:r w:rsidDel="00000000" w:rsidR="00000000" w:rsidRPr="00000000">
        <w:rPr>
          <w:rtl w:val="0"/>
        </w:rPr>
        <w:t xml:space="preserve">- \( wT \): Transformation matrix determining the interactions between different spacetime dimensions.</w:t>
      </w:r>
    </w:p>
    <w:p w:rsidR="00000000" w:rsidDel="00000000" w:rsidP="00000000" w:rsidRDefault="00000000" w:rsidRPr="00000000" w14:paraId="000000D0">
      <w:pPr>
        <w:rPr/>
      </w:pPr>
      <w:r w:rsidDel="00000000" w:rsidR="00000000" w:rsidRPr="00000000">
        <w:rPr>
          <w:rtl w:val="0"/>
        </w:rPr>
        <w:t xml:space="preserve">- \( α, β, γ, δ, η \): Spacetime coefficients, representing the dimensions or coefficients under consideration in this model.</w:t>
      </w:r>
    </w:p>
    <w:p w:rsidR="00000000" w:rsidDel="00000000" w:rsidP="00000000" w:rsidRDefault="00000000" w:rsidRPr="00000000" w14:paraId="000000D1">
      <w:pPr>
        <w:rPr/>
      </w:pPr>
      <w:r w:rsidDel="00000000" w:rsidR="00000000" w:rsidRPr="00000000">
        <w:rPr>
          <w:rtl w:val="0"/>
        </w:rPr>
        <w:t xml:space="preserve">- \( b1 \) and \( b2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Bias terms, vital for model adjustments and fine-tuning concerning the spacetime dimensions and Lorentz force transfer.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5. Technical Specifications: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5.1. Material and Structure: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Utilize metamaterials capable of wideband operation across relevant plasma and electromagnetic frequencies.</w:t>
      </w:r>
    </w:p>
    <w:p w:rsidR="00000000" w:rsidDel="00000000" w:rsidP="00000000" w:rsidRDefault="00000000" w:rsidRPr="00000000" w14:paraId="000000DA">
      <w:pPr>
        <w:rPr/>
      </w:pPr>
      <w:r w:rsidDel="00000000" w:rsidR="00000000" w:rsidRPr="00000000">
        <w:rPr>
          <w:rtl w:val="0"/>
        </w:rPr>
        <w:t xml:space="preserve">- Ensure structural integrity under high-speed, high-stress, and high-temperature conditions.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5.2. Broadband Operation: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Ensure the metamaterials operate across a broad spectrum to manage various wave phenomena effectively.</w:t>
      </w:r>
    </w:p>
    <w:p w:rsidR="00000000" w:rsidDel="00000000" w:rsidP="00000000" w:rsidRDefault="00000000" w:rsidRPr="00000000" w14:paraId="000000DF">
      <w:pPr>
        <w:rPr/>
      </w:pPr>
      <w:r w:rsidDel="00000000" w:rsidR="00000000" w:rsidRPr="00000000">
        <w:rPr>
          <w:rtl w:val="0"/>
        </w:rPr>
        <w:t xml:space="preserve">- Tolerate and manage interactions from low-frequency plasma waves to high-frequency electromagnetic radiation.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5.3. Relativistic Management: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Accommodate for the increasing mass and energy requirements at relativistic speeds.</w:t>
      </w:r>
    </w:p>
    <w:p w:rsidR="00000000" w:rsidDel="00000000" w:rsidP="00000000" w:rsidRDefault="00000000" w:rsidRPr="00000000" w14:paraId="000000E4">
      <w:pPr>
        <w:rPr/>
      </w:pPr>
      <w:r w:rsidDel="00000000" w:rsidR="00000000" w:rsidRPr="00000000">
        <w:rPr>
          <w:rtl w:val="0"/>
        </w:rPr>
        <w:t xml:space="preserve">- Implement systems and designs capable of withstanding relativistic stresses and strains.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5.4. Energy Management: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Develop an energy source and management system that can cater to the massive energy requirements of relativistic travel.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6. Safety and Risk Management: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Implement robust safety protocols to manage and mitigate risks associated with high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-speed, high-energy travel.</w:t>
      </w:r>
    </w:p>
    <w:p w:rsidR="00000000" w:rsidDel="00000000" w:rsidP="00000000" w:rsidRDefault="00000000" w:rsidRPr="00000000" w14:paraId="000000EF">
      <w:pPr>
        <w:rPr/>
      </w:pPr>
      <w:r w:rsidDel="00000000" w:rsidR="00000000" w:rsidRPr="00000000">
        <w:rPr>
          <w:rtl w:val="0"/>
        </w:rPr>
        <w:t xml:space="preserve">- Include redundancy and emergency procedures to protect the craft and inhabitants during unforeseen circumstances.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7. Diagnostic and Monitoring Systems: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Integrate systems that continuously monitor the physical status of the metamaterials, structural integrity, and plasma interaction dynamics.</w:t>
      </w:r>
    </w:p>
    <w:p w:rsidR="00000000" w:rsidDel="00000000" w:rsidP="00000000" w:rsidRDefault="00000000" w:rsidRPr="00000000" w14:paraId="000000F4">
      <w:pPr>
        <w:rPr/>
      </w:pPr>
      <w:r w:rsidDel="00000000" w:rsidR="00000000" w:rsidRPr="00000000">
        <w:rPr>
          <w:rtl w:val="0"/>
        </w:rPr>
        <w:t xml:space="preserve">- Employ real-time diagnostic tools to identify and predict potential failure or stress points during operation.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8. Legal and Ethical Considerations: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Ensure that the development and operation of such a technology comply with international space law and ethical guidelines.</w:t>
      </w:r>
    </w:p>
    <w:p w:rsidR="00000000" w:rsidDel="00000000" w:rsidP="00000000" w:rsidRDefault="00000000" w:rsidRPr="00000000" w14:paraId="000000F9">
      <w:pPr>
        <w:rPr/>
      </w:pPr>
      <w:r w:rsidDel="00000000" w:rsidR="00000000" w:rsidRPr="00000000">
        <w:rPr>
          <w:rtl w:val="0"/>
        </w:rPr>
        <w:t xml:space="preserve">- Include safeguard measures to prevent misuse or catastrophic failure that might pose risks to other spacecraft or celestial bodies.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9. Research and Development Pathway: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Establish a phased R&amp;D plan that sequentially explores and validates each functional area and technical specification.</w:t>
      </w:r>
    </w:p>
    <w:p w:rsidR="00000000" w:rsidDel="00000000" w:rsidP="00000000" w:rsidRDefault="00000000" w:rsidRPr="00000000" w14:paraId="000000FE">
      <w:pPr>
        <w:rPr/>
      </w:pPr>
      <w:r w:rsidDel="00000000" w:rsidR="00000000" w:rsidRPr="00000000">
        <w:rPr>
          <w:rtl w:val="0"/>
        </w:rPr>
        <w:t xml:space="preserve">- Implement iterative prototyping, enabling progressive validation of theoretical models and technologies through experimental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