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8D7C6C" wp14:paraId="27172EEC" wp14:textId="593302F1">
      <w:pPr>
        <w:shd w:val="clear" w:color="auto" w:fill="FFFFFF" w:themeFill="background1"/>
        <w:spacing w:before="408" w:beforeAutospacing="off" w:after="816" w:afterAutospacing="off"/>
        <w:ind w:left="-360" w:right="-360"/>
      </w:pPr>
      <w:r w:rsidRPr="2AF4C9B8" w:rsidR="7146B386">
        <w:rPr>
          <w:rFonts w:ascii="Poppins" w:hAnsi="Poppins" w:eastAsia="Poppins" w:cs="Poppins"/>
          <w:noProof w:val="0"/>
          <w:color w:val="000000" w:themeColor="text1" w:themeTint="FF" w:themeShade="FF"/>
          <w:sz w:val="30"/>
          <w:szCs w:val="30"/>
          <w:lang w:val="en-US"/>
        </w:rPr>
        <w:t xml:space="preserve">Tracking Community Life Engagement outcomes can be more complex than other types of services. </w:t>
      </w:r>
      <w:r w:rsidRPr="2AF4C9B8" w:rsidR="7146B386">
        <w:rPr>
          <w:rFonts w:ascii="Poppins" w:hAnsi="Poppins" w:eastAsia="Poppins" w:cs="Poppins"/>
          <w:b w:val="1"/>
          <w:bCs w:val="1"/>
          <w:noProof w:val="0"/>
          <w:color w:val="000000" w:themeColor="text1" w:themeTint="FF" w:themeShade="FF"/>
          <w:sz w:val="30"/>
          <w:szCs w:val="30"/>
          <w:lang w:val="en-US"/>
        </w:rPr>
        <w:t>To make it manageable, start with clear guideposts when developing your metrics,</w:t>
      </w:r>
      <w:r w:rsidRPr="2AF4C9B8" w:rsidR="7146B386">
        <w:rPr>
          <w:rFonts w:ascii="Poppins" w:hAnsi="Poppins" w:eastAsia="Poppins" w:cs="Poppins"/>
          <w:noProof w:val="0"/>
          <w:color w:val="000000" w:themeColor="text1" w:themeTint="FF" w:themeShade="FF"/>
          <w:sz w:val="30"/>
          <w:szCs w:val="30"/>
          <w:lang w:val="en-US"/>
        </w:rPr>
        <w:t xml:space="preserve"> </w:t>
      </w:r>
      <w:r w:rsidRPr="2AF4C9B8" w:rsidR="7146B386">
        <w:rPr>
          <w:rFonts w:ascii="Poppins" w:hAnsi="Poppins" w:eastAsia="Poppins" w:cs="Poppins"/>
          <w:b w:val="1"/>
          <w:bCs w:val="1"/>
          <w:noProof w:val="0"/>
          <w:color w:val="000000" w:themeColor="text1" w:themeTint="FF" w:themeShade="FF"/>
          <w:sz w:val="30"/>
          <w:szCs w:val="30"/>
          <w:lang w:val="en-US"/>
        </w:rPr>
        <w:t>quality assurance processes, and oversight strategies.</w:t>
      </w:r>
      <w:r w:rsidRPr="2AF4C9B8" w:rsidR="7146B386">
        <w:rPr>
          <w:rFonts w:ascii="Poppins" w:hAnsi="Poppins" w:eastAsia="Poppins" w:cs="Poppins"/>
          <w:noProof w:val="0"/>
          <w:color w:val="000000" w:themeColor="text1" w:themeTint="FF" w:themeShade="FF"/>
          <w:sz w:val="30"/>
          <w:szCs w:val="30"/>
          <w:lang w:val="en-US"/>
        </w:rPr>
        <w:t xml:space="preserve"> This ensures that your data collection efforts are both practical and aligned with your organization’s goals.</w:t>
      </w:r>
    </w:p>
    <w:p w:rsidR="129BBF9F" w:rsidP="2AF4C9B8" w:rsidRDefault="129BBF9F" w14:paraId="3B6848F5" w14:textId="5431D835">
      <w:pPr>
        <w:pStyle w:val="ListParagraph"/>
        <w:numPr>
          <w:ilvl w:val="0"/>
          <w:numId w:val="1"/>
        </w:numPr>
        <w:spacing w:before="0" w:beforeAutospacing="off" w:after="0" w:afterAutospacing="off"/>
        <w:rPr>
          <w:rFonts w:ascii="Aptos" w:hAnsi="Aptos" w:eastAsia="Aptos" w:cs="Aptos"/>
          <w:b w:val="1"/>
          <w:bCs w:val="1"/>
          <w:noProof w:val="0"/>
          <w:color w:val="0C64C0"/>
          <w:sz w:val="24"/>
          <w:szCs w:val="24"/>
          <w:lang w:val="en-US"/>
        </w:rPr>
      </w:pPr>
      <w:r w:rsidRPr="2AF4C9B8" w:rsidR="129BBF9F">
        <w:rPr>
          <w:rFonts w:ascii="Aptos" w:hAnsi="Aptos" w:eastAsia="Aptos" w:cs="Aptos"/>
          <w:b w:val="1"/>
          <w:bCs w:val="1"/>
          <w:noProof w:val="0"/>
          <w:color w:val="0C64C0"/>
          <w:sz w:val="24"/>
          <w:szCs w:val="24"/>
          <w:lang w:val="en-US"/>
        </w:rPr>
        <w:t>I've attached a copy of a PPT that gives an overview of CLE in Action, but here is more info.  Institute on Disability at University of New Hampshire is the primary on this DRRP (Disability and Rehabilitation Research Project) grant.  ICI UMass and ANCOR are subgrantees. It's a knowledge translation grant, designed to share out existing materials developed through previous NIDILRR funded grants.  We are entering the 2</w:t>
      </w:r>
      <w:r w:rsidRPr="2AF4C9B8" w:rsidR="129BBF9F">
        <w:rPr>
          <w:rFonts w:ascii="Aptos" w:hAnsi="Aptos" w:eastAsia="Aptos" w:cs="Aptos"/>
          <w:b w:val="1"/>
          <w:bCs w:val="1"/>
          <w:noProof w:val="0"/>
          <w:color w:val="0C64C0"/>
          <w:sz w:val="24"/>
          <w:szCs w:val="24"/>
          <w:vertAlign w:val="superscript"/>
          <w:lang w:val="en-US"/>
        </w:rPr>
        <w:t>nd</w:t>
      </w:r>
      <w:r w:rsidRPr="2AF4C9B8" w:rsidR="129BBF9F">
        <w:rPr>
          <w:rFonts w:ascii="Aptos" w:hAnsi="Aptos" w:eastAsia="Aptos" w:cs="Aptos"/>
          <w:b w:val="1"/>
          <w:bCs w:val="1"/>
          <w:noProof w:val="0"/>
          <w:color w:val="0C64C0"/>
          <w:sz w:val="24"/>
          <w:szCs w:val="24"/>
          <w:lang w:val="en-US"/>
        </w:rPr>
        <w:t xml:space="preserve"> year of a 5 year grant.  It includes 3 components:</w:t>
      </w:r>
    </w:p>
    <w:p w:rsidR="129BBF9F" w:rsidP="2AF4C9B8" w:rsidRDefault="129BBF9F" w14:paraId="251A8E84" w14:textId="6D79DE44">
      <w:pPr>
        <w:pStyle w:val="ListParagraph"/>
        <w:numPr>
          <w:ilvl w:val="1"/>
          <w:numId w:val="1"/>
        </w:numPr>
        <w:spacing w:before="0" w:beforeAutospacing="off" w:after="0" w:afterAutospacing="off"/>
        <w:rPr>
          <w:rFonts w:ascii="Aptos" w:hAnsi="Aptos" w:eastAsia="Aptos" w:cs="Aptos"/>
          <w:b w:val="1"/>
          <w:bCs w:val="1"/>
          <w:noProof w:val="0"/>
          <w:color w:val="0C64C0"/>
          <w:sz w:val="24"/>
          <w:szCs w:val="24"/>
          <w:lang w:val="en-US"/>
        </w:rPr>
      </w:pPr>
      <w:r w:rsidRPr="2AF4C9B8" w:rsidR="129BBF9F">
        <w:rPr>
          <w:rFonts w:ascii="Aptos" w:hAnsi="Aptos" w:eastAsia="Aptos" w:cs="Aptos"/>
          <w:b w:val="1"/>
          <w:bCs w:val="1"/>
          <w:noProof w:val="0"/>
          <w:color w:val="0C64C0"/>
          <w:sz w:val="24"/>
          <w:szCs w:val="24"/>
          <w:lang w:val="en-US"/>
        </w:rPr>
        <w:t>A CoP: providers nation-wide submitted applications in the early summer. We chose 15 organizations who are now part of a closed, year-long CoP using the ECHO model at not cost.  We will put out another application and choose another cohort next summer.</w:t>
      </w:r>
    </w:p>
    <w:p w:rsidR="129BBF9F" w:rsidP="2AF4C9B8" w:rsidRDefault="129BBF9F" w14:paraId="6A308828" w14:textId="6CA4EEAA">
      <w:pPr>
        <w:pStyle w:val="ListParagraph"/>
        <w:numPr>
          <w:ilvl w:val="1"/>
          <w:numId w:val="1"/>
        </w:numPr>
        <w:spacing w:before="0" w:beforeAutospacing="off" w:after="0" w:afterAutospacing="off"/>
        <w:rPr>
          <w:rFonts w:ascii="Aptos" w:hAnsi="Aptos" w:eastAsia="Aptos" w:cs="Aptos"/>
          <w:b w:val="1"/>
          <w:bCs w:val="1"/>
          <w:noProof w:val="0"/>
          <w:color w:val="0C64C0"/>
          <w:sz w:val="24"/>
          <w:szCs w:val="24"/>
          <w:lang w:val="en-US"/>
        </w:rPr>
      </w:pPr>
      <w:r w:rsidRPr="2AF4C9B8" w:rsidR="129BBF9F">
        <w:rPr>
          <w:rFonts w:ascii="Aptos" w:hAnsi="Aptos" w:eastAsia="Aptos" w:cs="Aptos"/>
          <w:b w:val="1"/>
          <w:bCs w:val="1"/>
          <w:noProof w:val="0"/>
          <w:color w:val="0C64C0"/>
          <w:sz w:val="24"/>
          <w:szCs w:val="24"/>
          <w:lang w:val="en-US"/>
        </w:rPr>
        <w:t xml:space="preserve">A newsletter:  subscribe here if you aren't already on the list </w:t>
      </w:r>
      <w:hyperlink r:id="Rbfe1c8175ba44aeb">
        <w:r w:rsidRPr="2AF4C9B8" w:rsidR="129BBF9F">
          <w:rPr>
            <w:rStyle w:val="Hyperlink"/>
            <w:rFonts w:ascii="Aptos" w:hAnsi="Aptos" w:eastAsia="Aptos" w:cs="Aptos"/>
            <w:b w:val="1"/>
            <w:bCs w:val="1"/>
            <w:noProof w:val="0"/>
            <w:color w:val="0C64C0"/>
            <w:sz w:val="24"/>
            <w:szCs w:val="24"/>
            <w:lang w:val="en-US"/>
          </w:rPr>
          <w:t>CLE in Action! Newsletter Signup | Community Life Engagement In Action</w:t>
        </w:r>
      </w:hyperlink>
    </w:p>
    <w:p w:rsidR="129BBF9F" w:rsidP="2AF4C9B8" w:rsidRDefault="129BBF9F" w14:paraId="2F10D853" w14:textId="08F2D0F8">
      <w:pPr>
        <w:pStyle w:val="ListParagraph"/>
        <w:numPr>
          <w:ilvl w:val="1"/>
          <w:numId w:val="1"/>
        </w:numPr>
        <w:spacing w:before="0" w:beforeAutospacing="off" w:after="0" w:afterAutospacing="off"/>
        <w:rPr>
          <w:rFonts w:ascii="Aptos" w:hAnsi="Aptos" w:eastAsia="Aptos" w:cs="Aptos"/>
          <w:b w:val="1"/>
          <w:bCs w:val="1"/>
          <w:noProof w:val="0"/>
          <w:color w:val="0C64C0"/>
          <w:sz w:val="24"/>
          <w:szCs w:val="24"/>
          <w:lang w:val="en-US"/>
        </w:rPr>
      </w:pPr>
      <w:r w:rsidRPr="2AF4C9B8" w:rsidR="129BBF9F">
        <w:rPr>
          <w:rFonts w:ascii="Aptos" w:hAnsi="Aptos" w:eastAsia="Aptos" w:cs="Aptos"/>
          <w:b w:val="1"/>
          <w:bCs w:val="1"/>
          <w:noProof w:val="0"/>
          <w:color w:val="0C64C0"/>
          <w:sz w:val="24"/>
          <w:szCs w:val="24"/>
          <w:lang w:val="en-US"/>
        </w:rPr>
        <w:t xml:space="preserve">Quarterly 30-minute lunch break webinars: these are open to any and everyone. Register here if you'd like </w:t>
      </w:r>
      <w:hyperlink r:id="Rb372c24ce26c4189">
        <w:r w:rsidRPr="2AF4C9B8" w:rsidR="129BBF9F">
          <w:rPr>
            <w:rStyle w:val="Hyperlink"/>
            <w:rFonts w:ascii="Aptos" w:hAnsi="Aptos" w:eastAsia="Aptos" w:cs="Aptos"/>
            <w:b w:val="1"/>
            <w:bCs w:val="1"/>
            <w:noProof w:val="0"/>
            <w:color w:val="0C64C0"/>
            <w:sz w:val="24"/>
            <w:szCs w:val="24"/>
            <w:lang w:val="en-US"/>
          </w:rPr>
          <w:t>30-Minute Lunch Break Webinar with CLE in Action | Community Life Engagement In Action</w:t>
        </w:r>
      </w:hyperlink>
    </w:p>
    <w:p w:rsidR="129BBF9F" w:rsidP="2AF4C9B8" w:rsidRDefault="129BBF9F" w14:paraId="2055F1CA" w14:textId="5413B716">
      <w:pPr>
        <w:pStyle w:val="ListParagraph"/>
        <w:numPr>
          <w:ilvl w:val="1"/>
          <w:numId w:val="1"/>
        </w:numPr>
        <w:spacing w:before="0" w:beforeAutospacing="off" w:after="0" w:afterAutospacing="off"/>
        <w:rPr>
          <w:rFonts w:ascii="Aptos" w:hAnsi="Aptos" w:eastAsia="Aptos" w:cs="Aptos"/>
          <w:b w:val="1"/>
          <w:bCs w:val="1"/>
          <w:noProof w:val="0"/>
          <w:color w:val="0C64C0"/>
          <w:sz w:val="24"/>
          <w:szCs w:val="24"/>
          <w:lang w:val="en-US"/>
        </w:rPr>
      </w:pPr>
      <w:r w:rsidRPr="2AF4C9B8" w:rsidR="129BBF9F">
        <w:rPr>
          <w:rFonts w:ascii="Aptos" w:hAnsi="Aptos" w:eastAsia="Aptos" w:cs="Aptos"/>
          <w:b w:val="1"/>
          <w:bCs w:val="1"/>
          <w:noProof w:val="0"/>
          <w:color w:val="0C64C0"/>
          <w:sz w:val="24"/>
          <w:szCs w:val="24"/>
          <w:lang w:val="en-US"/>
        </w:rPr>
        <w:t xml:space="preserve">We've shared out info about CLE toolkit, including the Explore CLE course via the newsletter, SELN, CSA register, ICI social media, ANCOR newsletter, etc.  </w:t>
      </w:r>
    </w:p>
    <w:p w:rsidR="2AF4C9B8" w:rsidP="2AF4C9B8" w:rsidRDefault="2AF4C9B8" w14:paraId="6EC6D3E2" w14:textId="64A4132B">
      <w:pPr>
        <w:pStyle w:val="Normal"/>
        <w:shd w:val="clear" w:color="auto" w:fill="FFFFFF" w:themeFill="background1"/>
        <w:spacing w:before="408" w:beforeAutospacing="off" w:after="816" w:afterAutospacing="off"/>
        <w:ind w:left="-360" w:right="-360"/>
        <w:rPr>
          <w:rFonts w:ascii="Poppins" w:hAnsi="Poppins" w:eastAsia="Poppins" w:cs="Poppins"/>
          <w:noProof w:val="0"/>
          <w:color w:val="000000" w:themeColor="text1" w:themeTint="FF" w:themeShade="FF"/>
          <w:sz w:val="30"/>
          <w:szCs w:val="30"/>
          <w:lang w:val="en-US"/>
        </w:rPr>
      </w:pPr>
    </w:p>
    <w:p xmlns:wp14="http://schemas.microsoft.com/office/word/2010/wordml" wp14:paraId="2C078E63" wp14:textId="7980C8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78cc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568CAA"/>
    <w:rsid w:val="0372A38C"/>
    <w:rsid w:val="04218751"/>
    <w:rsid w:val="06C288FA"/>
    <w:rsid w:val="11A5A58E"/>
    <w:rsid w:val="11CD46B2"/>
    <w:rsid w:val="129BBF9F"/>
    <w:rsid w:val="161C7147"/>
    <w:rsid w:val="19281FE6"/>
    <w:rsid w:val="1B28B0BD"/>
    <w:rsid w:val="228B1515"/>
    <w:rsid w:val="2546E8F8"/>
    <w:rsid w:val="256F3A36"/>
    <w:rsid w:val="28EA6F42"/>
    <w:rsid w:val="290B005E"/>
    <w:rsid w:val="2AF4C9B8"/>
    <w:rsid w:val="2B5AEC59"/>
    <w:rsid w:val="2F5F2FD8"/>
    <w:rsid w:val="3CF7D237"/>
    <w:rsid w:val="4D250214"/>
    <w:rsid w:val="560BBF9C"/>
    <w:rsid w:val="61C95D1E"/>
    <w:rsid w:val="63964B62"/>
    <w:rsid w:val="66568CAA"/>
    <w:rsid w:val="698D7C6C"/>
    <w:rsid w:val="7146B386"/>
    <w:rsid w:val="720A062B"/>
    <w:rsid w:val="73E048C4"/>
    <w:rsid w:val="7DBAD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8CAA"/>
  <w15:chartTrackingRefBased/>
  <w15:docId w15:val="{9D11248B-7C80-4E1B-8008-E01FAE9E0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AF4C9B8"/>
    <w:pPr>
      <w:spacing/>
      <w:ind w:left="720"/>
      <w:contextualSpacing/>
    </w:pPr>
  </w:style>
  <w:style w:type="character" w:styleId="Hyperlink">
    <w:uiPriority w:val="99"/>
    <w:name w:val="Hyperlink"/>
    <w:basedOn w:val="DefaultParagraphFont"/>
    <w:unhideWhenUsed/>
    <w:rsid w:val="2AF4C9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am10.safelinks.protection.outlook.com/?url=https%3A%2F%2Funh.az1.qualtrics.com%2Fjfe%2Fform%2FSV_cOtxXVTlOzY1PpA&amp;data=05%7C02%7CGail.Godwin%40umb.edu%7C017fa0dab1954bd5d25408dd1dd5b3f0%7Cb97188711ee94425953c1ace1373eb38%7C0%7C0%7C638699525998953760%7CUnknown%7CTWFpbGZsb3d8eyJFbXB0eU1hcGkiOnRydWUsIlYiOiIwLjAuMDAwMCIsIlAiOiJXaW4zMiIsIkFOIjoiTWFpbCIsIldUIjoyfQ%3D%3D%7C0%7C%7C%7C&amp;sdata=7V014CXnVmKq945km4J%2BC5GG2Rxxwq1oMEm7S9dejCM%3D&amp;reserved=0" TargetMode="External" Id="Rbfe1c8175ba44aeb" /><Relationship Type="http://schemas.openxmlformats.org/officeDocument/2006/relationships/hyperlink" Target="https://nam10.safelinks.protection.outlook.com/?url=https%3A%2F%2Fiod.unh.edu%2Fcommunity-life-engagement-action%2F30-minute-lunch-break-webinar-cle-action&amp;data=05%7C02%7CGail.Godwin%40umb.edu%7C017fa0dab1954bd5d25408dd1dd5b3f0%7Cb97188711ee94425953c1ace1373eb38%7C0%7C0%7C638699525998970602%7CUnknown%7CTWFpbGZsb3d8eyJFbXB0eU1hcGkiOnRydWUsIlYiOiIwLjAuMDAwMCIsIlAiOiJXaW4zMiIsIkFOIjoiTWFpbCIsIldUIjoyfQ%3D%3D%7C0%7C%7C%7C&amp;sdata=0UTUabXHgzadmTb72tKPNgrH%2BEn6r4vEDObStgsMbfo%3D&amp;reserved=0" TargetMode="External" Id="Rb372c24ce26c4189" /><Relationship Type="http://schemas.openxmlformats.org/officeDocument/2006/relationships/numbering" Target="numbering.xml" Id="R3bbfa7af2f6043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2025-02-21T13:32:26.3271237Z</dcterms:created>
  <dcterms:modified xsi:type="dcterms:W3CDTF">2025-11-30T16:14:36.1629139Z</dcterms:modified>
  <dc:creator>Gail M Godwin</dc:creator>
  <lastModifiedBy>Gail M Godwin</lastModifiedBy>
</coreProperties>
</file>