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674BCB" w14:textId="39A1CEC9" w:rsidR="003973F3" w:rsidRPr="00E0127E" w:rsidRDefault="003973F3" w:rsidP="00A90F35">
      <w:pPr>
        <w:rPr>
          <w:rFonts w:cstheme="minorHAnsi"/>
          <w:i/>
        </w:rPr>
      </w:pPr>
      <w:bookmarkStart w:id="0" w:name="_GoBack"/>
      <w:bookmarkEnd w:id="0"/>
      <w:r w:rsidRPr="00E0127E">
        <w:rPr>
          <w:rFonts w:cstheme="minorHAnsi"/>
          <w:i/>
        </w:rPr>
        <w:t xml:space="preserve">Issue. Proposed use of WIOA definition of Recognized Postsecondary Credential in the IPEDs data collection effort. </w:t>
      </w:r>
    </w:p>
    <w:p w14:paraId="0F86C8B8" w14:textId="19445C9A" w:rsidR="003973F3" w:rsidRPr="00E0127E" w:rsidRDefault="003973F3" w:rsidP="00A90F35">
      <w:pPr>
        <w:rPr>
          <w:rFonts w:cstheme="minorHAnsi"/>
          <w:i/>
        </w:rPr>
      </w:pPr>
    </w:p>
    <w:p w14:paraId="213F8308" w14:textId="121C802F" w:rsidR="00A0231F" w:rsidRPr="00E0127E" w:rsidRDefault="00A0231F" w:rsidP="00A90F35">
      <w:pPr>
        <w:rPr>
          <w:rFonts w:cstheme="minorHAnsi"/>
          <w:i/>
        </w:rPr>
      </w:pPr>
      <w:r w:rsidRPr="00E0127E">
        <w:rPr>
          <w:rFonts w:cstheme="minorHAnsi"/>
        </w:rPr>
        <w:t>Integrated Postsecondary Education Data System IPEDS is a web-based data collection system designed to collect basic data from all postsecondary institutions in the United States and the other jurisdictions. IPEDS enables U.S. Department of Education’s National Center for Education Statistics (NCES)to report on key dimensions of postsecondary education such as enrollments, degrees and other awards earned, tuition and fees, average net price, student financial aid, graduation rates, student outcomes, revenues and expenditures, faculty salaries, and staff employed.</w:t>
      </w:r>
      <w:r w:rsidRPr="00E0127E">
        <w:rPr>
          <w:rFonts w:cstheme="minorHAnsi"/>
          <w:i/>
        </w:rPr>
        <w:t xml:space="preserve"> </w:t>
      </w:r>
      <w:r w:rsidRPr="00E0127E">
        <w:rPr>
          <w:rFonts w:cstheme="minorHAnsi"/>
        </w:rPr>
        <w:t xml:space="preserve">IPEDS gathers information from every college, university, and technical and vocational institution that participates in the federal student financial aid programs. These data are made available to students and parents through the </w:t>
      </w:r>
      <w:hyperlink r:id="rId5" w:history="1">
        <w:r w:rsidRPr="00E0127E">
          <w:rPr>
            <w:rStyle w:val="Hyperlink"/>
            <w:rFonts w:cstheme="minorHAnsi"/>
          </w:rPr>
          <w:t>College Navigator</w:t>
        </w:r>
      </w:hyperlink>
      <w:r w:rsidRPr="00E0127E">
        <w:rPr>
          <w:rFonts w:cstheme="minorHAnsi"/>
        </w:rPr>
        <w:t xml:space="preserve"> college search Web site and to researchers and others through the </w:t>
      </w:r>
      <w:hyperlink r:id="rId6" w:history="1">
        <w:r w:rsidRPr="00E0127E">
          <w:rPr>
            <w:rStyle w:val="Hyperlink"/>
            <w:rFonts w:cstheme="minorHAnsi"/>
          </w:rPr>
          <w:t>IPEDS Data Center</w:t>
        </w:r>
      </w:hyperlink>
      <w:r w:rsidRPr="00E0127E">
        <w:rPr>
          <w:rFonts w:cstheme="minorHAnsi"/>
        </w:rPr>
        <w:t>.</w:t>
      </w:r>
    </w:p>
    <w:p w14:paraId="4CDFEED9" w14:textId="6A6E4451" w:rsidR="00A0231F" w:rsidRPr="00E0127E" w:rsidRDefault="00A0231F" w:rsidP="00A90F35">
      <w:pPr>
        <w:rPr>
          <w:rFonts w:cstheme="minorHAnsi"/>
        </w:rPr>
      </w:pPr>
    </w:p>
    <w:p w14:paraId="28190F24" w14:textId="77777777" w:rsidR="00A0231F" w:rsidRPr="00E0127E" w:rsidRDefault="00A0231F" w:rsidP="00A90F35">
      <w:pPr>
        <w:rPr>
          <w:rFonts w:cstheme="minorHAnsi"/>
        </w:rPr>
      </w:pPr>
      <w:r w:rsidRPr="00E0127E">
        <w:rPr>
          <w:rFonts w:cstheme="minorHAnsi"/>
        </w:rPr>
        <w:t xml:space="preserve">Students are reported into IPEDS when they enroll for credit in instructional activity, courses, or programs that lead to a </w:t>
      </w:r>
      <w:r w:rsidRPr="00E0127E">
        <w:rPr>
          <w:rFonts w:cstheme="minorHAnsi"/>
          <w:i/>
          <w:iCs/>
        </w:rPr>
        <w:t xml:space="preserve">formal award </w:t>
      </w:r>
      <w:r w:rsidRPr="00E0127E">
        <w:rPr>
          <w:rFonts w:cstheme="minorHAnsi"/>
          <w:iCs/>
        </w:rPr>
        <w:t>AND</w:t>
      </w:r>
      <w:r w:rsidRPr="00E0127E">
        <w:rPr>
          <w:rFonts w:cstheme="minorHAnsi"/>
        </w:rPr>
        <w:t xml:space="preserve"> when they complete and earn a </w:t>
      </w:r>
      <w:r w:rsidRPr="00E0127E">
        <w:rPr>
          <w:rFonts w:cstheme="minorHAnsi"/>
          <w:i/>
          <w:iCs/>
        </w:rPr>
        <w:t>formal award.</w:t>
      </w:r>
      <w:r w:rsidRPr="00E0127E">
        <w:rPr>
          <w:rFonts w:cstheme="minorHAnsi"/>
        </w:rPr>
        <w:t xml:space="preserve"> Currently, IPEDS distinguishes between formal and informal awards. Neither of these awards is defined in the IPEDS data dictionary, but guidance on how to distinguish between the awards is provided. </w:t>
      </w:r>
    </w:p>
    <w:p w14:paraId="4DB9B01C" w14:textId="77777777" w:rsidR="00A0231F" w:rsidRPr="00E0127E" w:rsidRDefault="00A0231F" w:rsidP="00A90F35">
      <w:pPr>
        <w:rPr>
          <w:rFonts w:cstheme="minorHAnsi"/>
        </w:rPr>
      </w:pPr>
    </w:p>
    <w:p w14:paraId="6706A225" w14:textId="77777777" w:rsidR="00A0231F" w:rsidRPr="00E0127E" w:rsidRDefault="00A0231F" w:rsidP="00A90F35">
      <w:pPr>
        <w:pStyle w:val="ListParagraph"/>
        <w:numPr>
          <w:ilvl w:val="0"/>
          <w:numId w:val="6"/>
        </w:numPr>
        <w:rPr>
          <w:rFonts w:cstheme="minorHAnsi"/>
        </w:rPr>
      </w:pPr>
      <w:r w:rsidRPr="00E0127E">
        <w:rPr>
          <w:rFonts w:cstheme="minorHAnsi"/>
          <w:i/>
        </w:rPr>
        <w:t>Formal awards</w:t>
      </w:r>
      <w:r w:rsidRPr="00E0127E">
        <w:rPr>
          <w:rFonts w:cstheme="minorHAnsi"/>
        </w:rPr>
        <w:t xml:space="preserve"> are conferred by the IHE, have a CIP code, and have instructional activity that is credit bearing. </w:t>
      </w:r>
    </w:p>
    <w:p w14:paraId="5875E692" w14:textId="77777777" w:rsidR="00A0231F" w:rsidRPr="00E0127E" w:rsidRDefault="00A0231F" w:rsidP="00A90F35">
      <w:pPr>
        <w:rPr>
          <w:rFonts w:cstheme="minorHAnsi"/>
        </w:rPr>
      </w:pPr>
    </w:p>
    <w:p w14:paraId="39460036" w14:textId="77777777" w:rsidR="00A0231F" w:rsidRPr="00E0127E" w:rsidRDefault="00A0231F" w:rsidP="00A90F35">
      <w:pPr>
        <w:pStyle w:val="ListParagraph"/>
        <w:numPr>
          <w:ilvl w:val="0"/>
          <w:numId w:val="6"/>
        </w:numPr>
        <w:rPr>
          <w:rFonts w:cstheme="minorHAnsi"/>
        </w:rPr>
      </w:pPr>
      <w:r w:rsidRPr="00E0127E">
        <w:rPr>
          <w:rFonts w:cstheme="minorHAnsi"/>
          <w:i/>
        </w:rPr>
        <w:t>Informal awards</w:t>
      </w:r>
      <w:r w:rsidRPr="00E0127E">
        <w:rPr>
          <w:rFonts w:cstheme="minorHAnsi"/>
        </w:rPr>
        <w:t xml:space="preserve"> are conferred by an entity other than the IHE, are not recognized by IPEDS as academic or occupational or vocational, e.g. “basic skills programs”, and have names such as certificates of merit, completion, or attendance. </w:t>
      </w:r>
    </w:p>
    <w:p w14:paraId="31BE1AF7" w14:textId="77777777" w:rsidR="00A0231F" w:rsidRPr="00E0127E" w:rsidRDefault="00A0231F" w:rsidP="00A90F35">
      <w:pPr>
        <w:rPr>
          <w:rFonts w:cstheme="minorHAnsi"/>
        </w:rPr>
      </w:pPr>
    </w:p>
    <w:p w14:paraId="1BEC0B07" w14:textId="252D2281" w:rsidR="00A0231F" w:rsidRPr="00E0127E" w:rsidRDefault="00A0231F" w:rsidP="00A90F35">
      <w:pPr>
        <w:rPr>
          <w:rFonts w:cstheme="minorHAnsi"/>
        </w:rPr>
      </w:pPr>
      <w:r w:rsidRPr="00E0127E">
        <w:rPr>
          <w:rFonts w:cstheme="minorHAnsi"/>
        </w:rPr>
        <w:t xml:space="preserve">NCES </w:t>
      </w:r>
      <w:r w:rsidR="00A90F35" w:rsidRPr="00E0127E">
        <w:rPr>
          <w:rFonts w:cstheme="minorHAnsi"/>
        </w:rPr>
        <w:t xml:space="preserve">has </w:t>
      </w:r>
      <w:r w:rsidRPr="00E0127E">
        <w:rPr>
          <w:rFonts w:cstheme="minorHAnsi"/>
        </w:rPr>
        <w:t xml:space="preserve">proposes globally replacing “formal award” with “recognized postsecondary credential” as defined in the Workforce Innovation and Opportunities Act across IPEDS survey components and adding a definition of “recognized postsecondary credential” to the glossary. </w:t>
      </w:r>
      <w:r w:rsidR="00A90F35" w:rsidRPr="00E0127E">
        <w:rPr>
          <w:rFonts w:cstheme="minorHAnsi"/>
        </w:rPr>
        <w:t>Th</w:t>
      </w:r>
      <w:r w:rsidR="00430D24" w:rsidRPr="00E0127E">
        <w:rPr>
          <w:rFonts w:cstheme="minorHAnsi"/>
        </w:rPr>
        <w:t xml:space="preserve">e NCES has submitted this and other changes as part of their OMB application requesting a new clearance for the 2019-20, 2020-21, and 2021-22 data collections. The public comment period </w:t>
      </w:r>
      <w:r w:rsidR="00541EE9" w:rsidRPr="00E0127E">
        <w:rPr>
          <w:rFonts w:cstheme="minorHAnsi"/>
        </w:rPr>
        <w:t xml:space="preserve">for this package closes on May 20, 2019 and is available for review at </w:t>
      </w:r>
      <w:hyperlink r:id="rId7" w:history="1">
        <w:r w:rsidR="00541EE9" w:rsidRPr="00E0127E">
          <w:rPr>
            <w:rStyle w:val="Hyperlink"/>
            <w:rFonts w:cstheme="minorHAnsi"/>
          </w:rPr>
          <w:t>https://www.regulations.gov/docket?D=ED-2019-ICCD-0028</w:t>
        </w:r>
      </w:hyperlink>
    </w:p>
    <w:p w14:paraId="40A90F68" w14:textId="77777777" w:rsidR="00541EE9" w:rsidRPr="00E0127E" w:rsidRDefault="00541EE9" w:rsidP="00A90F35">
      <w:pPr>
        <w:rPr>
          <w:rFonts w:cstheme="minorHAnsi"/>
        </w:rPr>
      </w:pPr>
    </w:p>
    <w:p w14:paraId="36DCDB9D" w14:textId="12794FD2" w:rsidR="00A90F35" w:rsidRPr="00E0127E" w:rsidRDefault="00A0231F" w:rsidP="00A90F35">
      <w:pPr>
        <w:pStyle w:val="NormalWeb"/>
        <w:rPr>
          <w:rFonts w:asciiTheme="minorHAnsi" w:hAnsiTheme="minorHAnsi" w:cstheme="minorHAnsi"/>
          <w:i/>
          <w:iCs/>
        </w:rPr>
      </w:pPr>
      <w:r w:rsidRPr="00E0127E">
        <w:rPr>
          <w:rFonts w:asciiTheme="minorHAnsi" w:hAnsiTheme="minorHAnsi" w:cstheme="minorHAnsi"/>
        </w:rPr>
        <w:t xml:space="preserve">The current definition of recognized postsecondary credential </w:t>
      </w:r>
      <w:r w:rsidR="00FE22D1" w:rsidRPr="00E0127E">
        <w:rPr>
          <w:rFonts w:asciiTheme="minorHAnsi" w:hAnsiTheme="minorHAnsi" w:cstheme="minorHAnsi"/>
        </w:rPr>
        <w:t xml:space="preserve">as defined by WIOA does not </w:t>
      </w:r>
      <w:r w:rsidR="00787A43" w:rsidRPr="00E0127E">
        <w:rPr>
          <w:rFonts w:asciiTheme="minorHAnsi" w:hAnsiTheme="minorHAnsi" w:cstheme="minorHAnsi"/>
        </w:rPr>
        <w:t xml:space="preserve">align with or </w:t>
      </w:r>
      <w:r w:rsidR="00FE22D1" w:rsidRPr="00E0127E">
        <w:rPr>
          <w:rFonts w:asciiTheme="minorHAnsi" w:hAnsiTheme="minorHAnsi" w:cstheme="minorHAnsi"/>
        </w:rPr>
        <w:t>acknowledge the credentials conferred to students with intellectual disability served in colleges and universities that are approved comprehensive transition programs</w:t>
      </w:r>
      <w:r w:rsidR="00787A43" w:rsidRPr="00E0127E">
        <w:rPr>
          <w:rFonts w:asciiTheme="minorHAnsi" w:hAnsiTheme="minorHAnsi" w:cstheme="minorHAnsi"/>
        </w:rPr>
        <w:t xml:space="preserve"> as defined in the Higher Education Opportunities Act. This d</w:t>
      </w:r>
      <w:r w:rsidR="006255B0" w:rsidRPr="00E0127E">
        <w:rPr>
          <w:rFonts w:asciiTheme="minorHAnsi" w:hAnsiTheme="minorHAnsi" w:cstheme="minorHAnsi"/>
        </w:rPr>
        <w:t xml:space="preserve">iscrepancy has led to issues in guidance interpretation related to the provision of pre-employment transition services as well as Title IV vocational rehabilitation services for students with intellectual disability as detailed in the report </w:t>
      </w:r>
      <w:r w:rsidR="00A90F35" w:rsidRPr="00E0127E">
        <w:rPr>
          <w:rFonts w:asciiTheme="minorHAnsi" w:hAnsiTheme="minorHAnsi" w:cstheme="minorHAnsi"/>
        </w:rPr>
        <w:t xml:space="preserve">Lee, Rozell, and Will, (2018) </w:t>
      </w:r>
      <w:r w:rsidR="00A90F35" w:rsidRPr="00E0127E">
        <w:rPr>
          <w:rFonts w:asciiTheme="minorHAnsi" w:hAnsiTheme="minorHAnsi" w:cstheme="minorHAnsi"/>
          <w:i/>
          <w:iCs/>
        </w:rPr>
        <w:t>Addressing the Policy Tangle: Students with Intellectual Disability and the Path to Postsecondary Education, Employment and Community Living.</w:t>
      </w:r>
    </w:p>
    <w:p w14:paraId="1B5068EC" w14:textId="77777777" w:rsidR="00541EE9" w:rsidRPr="00E0127E" w:rsidRDefault="00D90AA8" w:rsidP="00A90F35">
      <w:pPr>
        <w:rPr>
          <w:rFonts w:cstheme="minorHAnsi"/>
        </w:rPr>
      </w:pPr>
      <w:r w:rsidRPr="00E0127E">
        <w:rPr>
          <w:rFonts w:cstheme="minorHAnsi"/>
        </w:rPr>
        <w:lastRenderedPageBreak/>
        <w:t xml:space="preserve">If proposed changes to </w:t>
      </w:r>
      <w:r w:rsidR="00A5665C" w:rsidRPr="00E0127E">
        <w:rPr>
          <w:rFonts w:cstheme="minorHAnsi"/>
        </w:rPr>
        <w:t>Integrated Postsecondary Education Data System (</w:t>
      </w:r>
      <w:r w:rsidRPr="00E0127E">
        <w:rPr>
          <w:rFonts w:cstheme="minorHAnsi"/>
        </w:rPr>
        <w:t>IPEDS</w:t>
      </w:r>
      <w:r w:rsidR="00A5665C" w:rsidRPr="00E0127E">
        <w:rPr>
          <w:rFonts w:cstheme="minorHAnsi"/>
        </w:rPr>
        <w:t>)</w:t>
      </w:r>
      <w:r w:rsidRPr="00E0127E">
        <w:rPr>
          <w:rFonts w:cstheme="minorHAnsi"/>
        </w:rPr>
        <w:t xml:space="preserve"> definitions of credentials are implemented, we believe it will result in the exclusion of students with intellectual disability from the </w:t>
      </w:r>
      <w:r w:rsidR="00A5665C" w:rsidRPr="00E0127E">
        <w:rPr>
          <w:rFonts w:cstheme="minorHAnsi"/>
        </w:rPr>
        <w:t>National Center for Education Statistics (NCES) data systems</w:t>
      </w:r>
      <w:r w:rsidRPr="00E0127E">
        <w:rPr>
          <w:rFonts w:cstheme="minorHAnsi"/>
        </w:rPr>
        <w:t xml:space="preserve">. </w:t>
      </w:r>
    </w:p>
    <w:p w14:paraId="05CC94DA" w14:textId="77777777" w:rsidR="00541EE9" w:rsidRPr="00E0127E" w:rsidRDefault="00541EE9" w:rsidP="00A90F35">
      <w:pPr>
        <w:rPr>
          <w:rFonts w:cstheme="minorHAnsi"/>
        </w:rPr>
      </w:pPr>
    </w:p>
    <w:p w14:paraId="33442675" w14:textId="0CAC10B4" w:rsidR="00B71A3D" w:rsidRPr="00E0127E" w:rsidRDefault="009D43CD" w:rsidP="00A90F35">
      <w:pPr>
        <w:rPr>
          <w:rFonts w:cstheme="minorHAnsi"/>
        </w:rPr>
      </w:pPr>
      <w:r w:rsidRPr="00E0127E">
        <w:rPr>
          <w:rFonts w:cstheme="minorHAnsi"/>
        </w:rPr>
        <w:t>The</w:t>
      </w:r>
      <w:r w:rsidR="00D90AA8" w:rsidRPr="00E0127E">
        <w:rPr>
          <w:rFonts w:cstheme="minorHAnsi"/>
        </w:rPr>
        <w:t xml:space="preserve"> Department of Education has invested significant funds in postsecondary programs for students with ID, e.g. TPSID Model Demonstration Programs,</w:t>
      </w:r>
      <w:r w:rsidR="0025347C" w:rsidRPr="00E0127E">
        <w:rPr>
          <w:rFonts w:cstheme="minorHAnsi"/>
        </w:rPr>
        <w:t xml:space="preserve"> </w:t>
      </w:r>
      <w:r w:rsidRPr="00E0127E">
        <w:rPr>
          <w:rFonts w:cstheme="minorHAnsi"/>
        </w:rPr>
        <w:t xml:space="preserve">and has created access to Title IV Federal Student Aid options via implementation of Comprehensive Transition Programs. Using the WIOA definition of recognized postsecondary credential will </w:t>
      </w:r>
      <w:r w:rsidR="00B71A3D" w:rsidRPr="00E0127E">
        <w:rPr>
          <w:rFonts w:cstheme="minorHAnsi"/>
        </w:rPr>
        <w:t>extend the problems found currently related to vocational rehabilitation to the full universe of higher education data collection.</w:t>
      </w:r>
    </w:p>
    <w:p w14:paraId="40099345" w14:textId="4A639BA7" w:rsidR="00226610" w:rsidRPr="00E0127E" w:rsidRDefault="00226610" w:rsidP="00A90F35">
      <w:pPr>
        <w:rPr>
          <w:rFonts w:cstheme="minorHAnsi"/>
        </w:rPr>
      </w:pPr>
    </w:p>
    <w:p w14:paraId="6A572A7C" w14:textId="1433B9AC" w:rsidR="00226610" w:rsidRPr="00E0127E" w:rsidRDefault="005E2259" w:rsidP="00A90F35">
      <w:pPr>
        <w:rPr>
          <w:rFonts w:cstheme="minorHAnsi"/>
        </w:rPr>
      </w:pPr>
      <w:r w:rsidRPr="00E0127E">
        <w:rPr>
          <w:rFonts w:cstheme="minorHAnsi"/>
        </w:rPr>
        <w:t xml:space="preserve">Potential </w:t>
      </w:r>
      <w:r w:rsidR="00226610" w:rsidRPr="00E0127E">
        <w:rPr>
          <w:rFonts w:cstheme="minorHAnsi"/>
        </w:rPr>
        <w:t>Negative Impact of Using WIOA definition</w:t>
      </w:r>
      <w:r w:rsidRPr="00E0127E">
        <w:rPr>
          <w:rFonts w:cstheme="minorHAnsi"/>
        </w:rPr>
        <w:t xml:space="preserve"> in IPEDs</w:t>
      </w:r>
      <w:r w:rsidR="00226610" w:rsidRPr="00E0127E">
        <w:rPr>
          <w:rFonts w:cstheme="minorHAnsi"/>
        </w:rPr>
        <w:t>.</w:t>
      </w:r>
    </w:p>
    <w:p w14:paraId="5EF257A9" w14:textId="0F6D6157" w:rsidR="00B71A3D" w:rsidRPr="00E0127E" w:rsidRDefault="00B71A3D" w:rsidP="005E2259">
      <w:pPr>
        <w:pStyle w:val="ListParagraph"/>
        <w:numPr>
          <w:ilvl w:val="0"/>
          <w:numId w:val="7"/>
        </w:numPr>
        <w:rPr>
          <w:rFonts w:cstheme="minorHAnsi"/>
          <w:snapToGrid w:val="0"/>
        </w:rPr>
      </w:pPr>
      <w:r w:rsidRPr="00E0127E">
        <w:rPr>
          <w:rFonts w:cstheme="minorHAnsi"/>
          <w:snapToGrid w:val="0"/>
        </w:rPr>
        <w:t>IPEDS provides NCES with the basic data needed to describe the size of the postsecondary enterprise in terms of students enrolled, staff employed, dollars expended, and degrees earned. Use of this definition will ensure students with intellectual disability are not included in these data.</w:t>
      </w:r>
    </w:p>
    <w:p w14:paraId="723BF881" w14:textId="42C8D1A0" w:rsidR="00B71A3D" w:rsidRPr="00E0127E" w:rsidRDefault="00B71A3D" w:rsidP="00A90F35">
      <w:pPr>
        <w:rPr>
          <w:rFonts w:cstheme="minorHAnsi"/>
        </w:rPr>
      </w:pPr>
    </w:p>
    <w:p w14:paraId="2D1EC2FD" w14:textId="7A2ABAA6" w:rsidR="00B71A3D" w:rsidRPr="00E0127E" w:rsidRDefault="00B71A3D" w:rsidP="005E2259">
      <w:pPr>
        <w:pStyle w:val="ListParagraph"/>
        <w:numPr>
          <w:ilvl w:val="0"/>
          <w:numId w:val="7"/>
        </w:numPr>
        <w:rPr>
          <w:rFonts w:cstheme="minorHAnsi"/>
          <w:snapToGrid w:val="0"/>
        </w:rPr>
      </w:pPr>
      <w:r w:rsidRPr="00E0127E">
        <w:rPr>
          <w:rFonts w:cstheme="minorHAnsi"/>
          <w:snapToGrid w:val="0"/>
        </w:rPr>
        <w:t xml:space="preserve">The IPEDS universe also provides the institutional sampling frame used in most other postsecondary surveys such as the National Postsecondary Student Aid Study (NPSAS). Each of these surveys uses the IPEDS institutional universe for its first stage sample and relies on IPEDS data on enrollment, completions, or staff to weight its second stage sample. Students with intellectual disability will be excluded from these data. </w:t>
      </w:r>
    </w:p>
    <w:p w14:paraId="6E03185E" w14:textId="07CAC12B" w:rsidR="00541EE9" w:rsidRPr="00E0127E" w:rsidRDefault="00541EE9" w:rsidP="00A90F35">
      <w:pPr>
        <w:rPr>
          <w:rFonts w:cstheme="minorHAnsi"/>
        </w:rPr>
      </w:pPr>
    </w:p>
    <w:p w14:paraId="79AAACB0" w14:textId="6F7A031A" w:rsidR="00D21AED" w:rsidRPr="00E0127E" w:rsidRDefault="002D0A91" w:rsidP="005E2259">
      <w:pPr>
        <w:pStyle w:val="BodyText"/>
        <w:numPr>
          <w:ilvl w:val="0"/>
          <w:numId w:val="7"/>
        </w:numPr>
        <w:rPr>
          <w:rFonts w:asciiTheme="minorHAnsi" w:hAnsiTheme="minorHAnsi" w:cstheme="minorHAnsi"/>
          <w:snapToGrid w:val="0"/>
          <w:sz w:val="24"/>
          <w:szCs w:val="24"/>
        </w:rPr>
      </w:pPr>
      <w:r w:rsidRPr="00E0127E">
        <w:rPr>
          <w:rFonts w:asciiTheme="minorHAnsi" w:hAnsiTheme="minorHAnsi" w:cstheme="minorHAnsi"/>
          <w:snapToGrid w:val="0"/>
          <w:sz w:val="24"/>
          <w:szCs w:val="24"/>
        </w:rPr>
        <w:t>IPEDS data are heavily relied on by Congress, other federal agencies, state governments, education providers, professional associations, private businesses, media, military, and interested individuals.</w:t>
      </w:r>
      <w:r w:rsidR="00D21AED" w:rsidRPr="00E0127E">
        <w:rPr>
          <w:rFonts w:asciiTheme="minorHAnsi" w:hAnsiTheme="minorHAnsi" w:cstheme="minorHAnsi"/>
          <w:snapToGrid w:val="0"/>
          <w:sz w:val="24"/>
          <w:szCs w:val="24"/>
        </w:rPr>
        <w:t xml:space="preserve"> Students with intellectual disability will be excluded from these data. </w:t>
      </w:r>
    </w:p>
    <w:p w14:paraId="3AD02A4B" w14:textId="43839F95" w:rsidR="00D21AED" w:rsidRPr="00E0127E" w:rsidRDefault="005A14F5" w:rsidP="005E2259">
      <w:pPr>
        <w:pStyle w:val="BodyText"/>
        <w:numPr>
          <w:ilvl w:val="0"/>
          <w:numId w:val="7"/>
        </w:numPr>
        <w:rPr>
          <w:rFonts w:asciiTheme="minorHAnsi" w:hAnsiTheme="minorHAnsi" w:cstheme="minorHAnsi"/>
          <w:sz w:val="24"/>
          <w:szCs w:val="24"/>
        </w:rPr>
      </w:pPr>
      <w:r w:rsidRPr="00E0127E">
        <w:rPr>
          <w:rFonts w:asciiTheme="minorHAnsi" w:hAnsiTheme="minorHAnsi" w:cstheme="minorHAnsi"/>
          <w:sz w:val="24"/>
          <w:szCs w:val="24"/>
        </w:rPr>
        <w:t xml:space="preserve">NCES developed a searchable website, College Navigator, to provide up-to-date statistics on a broad range of postsecondary institutions for easy access by consumers. College Navigator is designed to help college students, future students, and their parents understand the differences among colleges and how much it costs to attend college. student with intellectual disability will be excluded from this </w:t>
      </w:r>
      <w:r w:rsidR="005E2259" w:rsidRPr="00E0127E">
        <w:rPr>
          <w:rFonts w:asciiTheme="minorHAnsi" w:hAnsiTheme="minorHAnsi" w:cstheme="minorHAnsi"/>
          <w:sz w:val="24"/>
          <w:szCs w:val="24"/>
        </w:rPr>
        <w:t xml:space="preserve">consumer resource. </w:t>
      </w:r>
    </w:p>
    <w:p w14:paraId="2B8DEDAC" w14:textId="77777777" w:rsidR="005E2259" w:rsidRPr="00E0127E" w:rsidRDefault="005E2259" w:rsidP="002D0A91">
      <w:pPr>
        <w:pStyle w:val="BodyText"/>
        <w:rPr>
          <w:rFonts w:asciiTheme="minorHAnsi" w:hAnsiTheme="minorHAnsi" w:cstheme="minorHAnsi"/>
          <w:snapToGrid w:val="0"/>
          <w:sz w:val="24"/>
          <w:szCs w:val="24"/>
        </w:rPr>
      </w:pPr>
    </w:p>
    <w:p w14:paraId="5D85BFB0" w14:textId="116E4226" w:rsidR="00CA4E4D" w:rsidRPr="00E0127E" w:rsidRDefault="00593E8C" w:rsidP="00A90F35">
      <w:pPr>
        <w:rPr>
          <w:rFonts w:cstheme="minorHAnsi"/>
        </w:rPr>
      </w:pPr>
      <w:r w:rsidRPr="00E0127E">
        <w:rPr>
          <w:rFonts w:cstheme="minorHAnsi"/>
          <w:snapToGrid w:val="0"/>
        </w:rPr>
        <w:t xml:space="preserve">Congress </w:t>
      </w:r>
      <w:r w:rsidR="005E2259" w:rsidRPr="00E0127E">
        <w:rPr>
          <w:rFonts w:cstheme="minorHAnsi"/>
          <w:snapToGrid w:val="0"/>
        </w:rPr>
        <w:t xml:space="preserve"> and the Department of Education </w:t>
      </w:r>
      <w:r w:rsidRPr="00E0127E">
        <w:rPr>
          <w:rFonts w:cstheme="minorHAnsi"/>
          <w:snapToGrid w:val="0"/>
        </w:rPr>
        <w:t>created unprecendented access to higher education for student with intellectual disability via significant investment in TPSID model demonstration projects</w:t>
      </w:r>
      <w:r w:rsidR="000E1A9E" w:rsidRPr="00E0127E">
        <w:rPr>
          <w:rFonts w:cstheme="minorHAnsi"/>
          <w:snapToGrid w:val="0"/>
        </w:rPr>
        <w:t xml:space="preserve">, and access to federal student aid in the creation of </w:t>
      </w:r>
      <w:r w:rsidR="005E2259" w:rsidRPr="00E0127E">
        <w:rPr>
          <w:rFonts w:cstheme="minorHAnsi"/>
          <w:snapToGrid w:val="0"/>
        </w:rPr>
        <w:br/>
        <w:t>C</w:t>
      </w:r>
      <w:r w:rsidR="000E1A9E" w:rsidRPr="00E0127E">
        <w:rPr>
          <w:rFonts w:cstheme="minorHAnsi"/>
          <w:snapToGrid w:val="0"/>
        </w:rPr>
        <w:t xml:space="preserve">omprehensive </w:t>
      </w:r>
      <w:r w:rsidR="005E2259" w:rsidRPr="00E0127E">
        <w:rPr>
          <w:rFonts w:cstheme="minorHAnsi"/>
          <w:snapToGrid w:val="0"/>
        </w:rPr>
        <w:t>T</w:t>
      </w:r>
      <w:r w:rsidR="000E1A9E" w:rsidRPr="00E0127E">
        <w:rPr>
          <w:rFonts w:cstheme="minorHAnsi"/>
          <w:snapToGrid w:val="0"/>
        </w:rPr>
        <w:t xml:space="preserve">ransition </w:t>
      </w:r>
      <w:r w:rsidR="005E2259" w:rsidRPr="00E0127E">
        <w:rPr>
          <w:rFonts w:cstheme="minorHAnsi"/>
          <w:snapToGrid w:val="0"/>
        </w:rPr>
        <w:t>P</w:t>
      </w:r>
      <w:r w:rsidR="000E1A9E" w:rsidRPr="00E0127E">
        <w:rPr>
          <w:rFonts w:cstheme="minorHAnsi"/>
          <w:snapToGrid w:val="0"/>
        </w:rPr>
        <w:t xml:space="preserve">rogram status as part of the Title IV eligibility system. </w:t>
      </w:r>
      <w:r w:rsidR="00ED12C2" w:rsidRPr="00E0127E">
        <w:rPr>
          <w:rFonts w:cstheme="minorHAnsi"/>
          <w:snapToGrid w:val="0"/>
        </w:rPr>
        <w:t xml:space="preserve">IPEDS information on the number of students who complete a postsecondary education program by type of program and level of award </w:t>
      </w:r>
      <w:r w:rsidR="00B40BF0" w:rsidRPr="00E0127E">
        <w:rPr>
          <w:rFonts w:cstheme="minorHAnsi"/>
          <w:snapToGrid w:val="0"/>
        </w:rPr>
        <w:t>is an important</w:t>
      </w:r>
      <w:r w:rsidR="00ED12C2" w:rsidRPr="00E0127E">
        <w:rPr>
          <w:rFonts w:cstheme="minorHAnsi"/>
          <w:snapToGrid w:val="0"/>
        </w:rPr>
        <w:t xml:space="preserve"> source of information on the availability and location of highly trained manpower</w:t>
      </w:r>
      <w:r w:rsidR="00B40BF0" w:rsidRPr="00E0127E">
        <w:rPr>
          <w:rFonts w:cstheme="minorHAnsi"/>
          <w:snapToGrid w:val="0"/>
        </w:rPr>
        <w:t xml:space="preserve">. </w:t>
      </w:r>
      <w:r w:rsidR="00ED12C2" w:rsidRPr="00E0127E">
        <w:rPr>
          <w:rFonts w:cstheme="minorHAnsi"/>
        </w:rPr>
        <w:t>E</w:t>
      </w:r>
      <w:r w:rsidR="00D21AED" w:rsidRPr="00E0127E">
        <w:rPr>
          <w:rFonts w:cstheme="minorHAnsi"/>
        </w:rPr>
        <w:t xml:space="preserve">xclusion of students with </w:t>
      </w:r>
      <w:r w:rsidR="00ED12C2" w:rsidRPr="00E0127E">
        <w:rPr>
          <w:rFonts w:cstheme="minorHAnsi"/>
        </w:rPr>
        <w:t>intellectual disability</w:t>
      </w:r>
      <w:r w:rsidR="00D21AED" w:rsidRPr="00E0127E">
        <w:rPr>
          <w:rFonts w:cstheme="minorHAnsi"/>
        </w:rPr>
        <w:t xml:space="preserve"> will limit the </w:t>
      </w:r>
      <w:r w:rsidR="00473B1D" w:rsidRPr="00E0127E">
        <w:rPr>
          <w:rFonts w:cstheme="minorHAnsi"/>
        </w:rPr>
        <w:t>Department of Education, Congress’s</w:t>
      </w:r>
      <w:r w:rsidR="00D21AED" w:rsidRPr="00E0127E">
        <w:rPr>
          <w:rFonts w:cstheme="minorHAnsi"/>
        </w:rPr>
        <w:t xml:space="preserve"> ability to measure its return on investment. </w:t>
      </w:r>
      <w:r w:rsidR="00D21AED" w:rsidRPr="00E0127E">
        <w:rPr>
          <w:rFonts w:cstheme="minorHAnsi"/>
        </w:rPr>
        <w:lastRenderedPageBreak/>
        <w:t xml:space="preserve">Additionally, the exclusion of students with ID from IPEDS will prevent potential future students with ID and their families from learning about postsecondary educational opportunities. </w:t>
      </w:r>
    </w:p>
    <w:sectPr w:rsidR="00CA4E4D" w:rsidRPr="00E0127E" w:rsidSect="004F4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D1396"/>
    <w:multiLevelType w:val="hybridMultilevel"/>
    <w:tmpl w:val="2EE21972"/>
    <w:lvl w:ilvl="0" w:tplc="711CD2CA">
      <w:start w:val="1"/>
      <w:numFmt w:val="bullet"/>
      <w:lvlText w:val="•"/>
      <w:lvlJc w:val="left"/>
      <w:pPr>
        <w:tabs>
          <w:tab w:val="num" w:pos="720"/>
        </w:tabs>
        <w:ind w:left="720" w:hanging="360"/>
      </w:pPr>
      <w:rPr>
        <w:rFonts w:ascii="Arial" w:hAnsi="Arial" w:hint="default"/>
      </w:rPr>
    </w:lvl>
    <w:lvl w:ilvl="1" w:tplc="083C3E36" w:tentative="1">
      <w:start w:val="1"/>
      <w:numFmt w:val="bullet"/>
      <w:lvlText w:val="•"/>
      <w:lvlJc w:val="left"/>
      <w:pPr>
        <w:tabs>
          <w:tab w:val="num" w:pos="1440"/>
        </w:tabs>
        <w:ind w:left="1440" w:hanging="360"/>
      </w:pPr>
      <w:rPr>
        <w:rFonts w:ascii="Arial" w:hAnsi="Arial" w:hint="default"/>
      </w:rPr>
    </w:lvl>
    <w:lvl w:ilvl="2" w:tplc="2530FBBA" w:tentative="1">
      <w:start w:val="1"/>
      <w:numFmt w:val="bullet"/>
      <w:lvlText w:val="•"/>
      <w:lvlJc w:val="left"/>
      <w:pPr>
        <w:tabs>
          <w:tab w:val="num" w:pos="2160"/>
        </w:tabs>
        <w:ind w:left="2160" w:hanging="360"/>
      </w:pPr>
      <w:rPr>
        <w:rFonts w:ascii="Arial" w:hAnsi="Arial" w:hint="default"/>
      </w:rPr>
    </w:lvl>
    <w:lvl w:ilvl="3" w:tplc="92B2378A" w:tentative="1">
      <w:start w:val="1"/>
      <w:numFmt w:val="bullet"/>
      <w:lvlText w:val="•"/>
      <w:lvlJc w:val="left"/>
      <w:pPr>
        <w:tabs>
          <w:tab w:val="num" w:pos="2880"/>
        </w:tabs>
        <w:ind w:left="2880" w:hanging="360"/>
      </w:pPr>
      <w:rPr>
        <w:rFonts w:ascii="Arial" w:hAnsi="Arial" w:hint="default"/>
      </w:rPr>
    </w:lvl>
    <w:lvl w:ilvl="4" w:tplc="2F1A6D12" w:tentative="1">
      <w:start w:val="1"/>
      <w:numFmt w:val="bullet"/>
      <w:lvlText w:val="•"/>
      <w:lvlJc w:val="left"/>
      <w:pPr>
        <w:tabs>
          <w:tab w:val="num" w:pos="3600"/>
        </w:tabs>
        <w:ind w:left="3600" w:hanging="360"/>
      </w:pPr>
      <w:rPr>
        <w:rFonts w:ascii="Arial" w:hAnsi="Arial" w:hint="default"/>
      </w:rPr>
    </w:lvl>
    <w:lvl w:ilvl="5" w:tplc="A68E101C" w:tentative="1">
      <w:start w:val="1"/>
      <w:numFmt w:val="bullet"/>
      <w:lvlText w:val="•"/>
      <w:lvlJc w:val="left"/>
      <w:pPr>
        <w:tabs>
          <w:tab w:val="num" w:pos="4320"/>
        </w:tabs>
        <w:ind w:left="4320" w:hanging="360"/>
      </w:pPr>
      <w:rPr>
        <w:rFonts w:ascii="Arial" w:hAnsi="Arial" w:hint="default"/>
      </w:rPr>
    </w:lvl>
    <w:lvl w:ilvl="6" w:tplc="67E42DB6" w:tentative="1">
      <w:start w:val="1"/>
      <w:numFmt w:val="bullet"/>
      <w:lvlText w:val="•"/>
      <w:lvlJc w:val="left"/>
      <w:pPr>
        <w:tabs>
          <w:tab w:val="num" w:pos="5040"/>
        </w:tabs>
        <w:ind w:left="5040" w:hanging="360"/>
      </w:pPr>
      <w:rPr>
        <w:rFonts w:ascii="Arial" w:hAnsi="Arial" w:hint="default"/>
      </w:rPr>
    </w:lvl>
    <w:lvl w:ilvl="7" w:tplc="295ADDD2" w:tentative="1">
      <w:start w:val="1"/>
      <w:numFmt w:val="bullet"/>
      <w:lvlText w:val="•"/>
      <w:lvlJc w:val="left"/>
      <w:pPr>
        <w:tabs>
          <w:tab w:val="num" w:pos="5760"/>
        </w:tabs>
        <w:ind w:left="5760" w:hanging="360"/>
      </w:pPr>
      <w:rPr>
        <w:rFonts w:ascii="Arial" w:hAnsi="Arial" w:hint="default"/>
      </w:rPr>
    </w:lvl>
    <w:lvl w:ilvl="8" w:tplc="5112A24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E62A79"/>
    <w:multiLevelType w:val="hybridMultilevel"/>
    <w:tmpl w:val="60A620FC"/>
    <w:lvl w:ilvl="0" w:tplc="DA0473E2">
      <w:start w:val="1"/>
      <w:numFmt w:val="bullet"/>
      <w:lvlText w:val="•"/>
      <w:lvlJc w:val="left"/>
      <w:pPr>
        <w:tabs>
          <w:tab w:val="num" w:pos="720"/>
        </w:tabs>
        <w:ind w:left="720" w:hanging="360"/>
      </w:pPr>
      <w:rPr>
        <w:rFonts w:ascii="Arial" w:hAnsi="Arial" w:hint="default"/>
      </w:rPr>
    </w:lvl>
    <w:lvl w:ilvl="1" w:tplc="3688895E" w:tentative="1">
      <w:start w:val="1"/>
      <w:numFmt w:val="bullet"/>
      <w:lvlText w:val="•"/>
      <w:lvlJc w:val="left"/>
      <w:pPr>
        <w:tabs>
          <w:tab w:val="num" w:pos="1440"/>
        </w:tabs>
        <w:ind w:left="1440" w:hanging="360"/>
      </w:pPr>
      <w:rPr>
        <w:rFonts w:ascii="Arial" w:hAnsi="Arial" w:hint="default"/>
      </w:rPr>
    </w:lvl>
    <w:lvl w:ilvl="2" w:tplc="64F455E6" w:tentative="1">
      <w:start w:val="1"/>
      <w:numFmt w:val="bullet"/>
      <w:lvlText w:val="•"/>
      <w:lvlJc w:val="left"/>
      <w:pPr>
        <w:tabs>
          <w:tab w:val="num" w:pos="2160"/>
        </w:tabs>
        <w:ind w:left="2160" w:hanging="360"/>
      </w:pPr>
      <w:rPr>
        <w:rFonts w:ascii="Arial" w:hAnsi="Arial" w:hint="default"/>
      </w:rPr>
    </w:lvl>
    <w:lvl w:ilvl="3" w:tplc="D8EEBEA0" w:tentative="1">
      <w:start w:val="1"/>
      <w:numFmt w:val="bullet"/>
      <w:lvlText w:val="•"/>
      <w:lvlJc w:val="left"/>
      <w:pPr>
        <w:tabs>
          <w:tab w:val="num" w:pos="2880"/>
        </w:tabs>
        <w:ind w:left="2880" w:hanging="360"/>
      </w:pPr>
      <w:rPr>
        <w:rFonts w:ascii="Arial" w:hAnsi="Arial" w:hint="default"/>
      </w:rPr>
    </w:lvl>
    <w:lvl w:ilvl="4" w:tplc="8532434C" w:tentative="1">
      <w:start w:val="1"/>
      <w:numFmt w:val="bullet"/>
      <w:lvlText w:val="•"/>
      <w:lvlJc w:val="left"/>
      <w:pPr>
        <w:tabs>
          <w:tab w:val="num" w:pos="3600"/>
        </w:tabs>
        <w:ind w:left="3600" w:hanging="360"/>
      </w:pPr>
      <w:rPr>
        <w:rFonts w:ascii="Arial" w:hAnsi="Arial" w:hint="default"/>
      </w:rPr>
    </w:lvl>
    <w:lvl w:ilvl="5" w:tplc="0C14C88C" w:tentative="1">
      <w:start w:val="1"/>
      <w:numFmt w:val="bullet"/>
      <w:lvlText w:val="•"/>
      <w:lvlJc w:val="left"/>
      <w:pPr>
        <w:tabs>
          <w:tab w:val="num" w:pos="4320"/>
        </w:tabs>
        <w:ind w:left="4320" w:hanging="360"/>
      </w:pPr>
      <w:rPr>
        <w:rFonts w:ascii="Arial" w:hAnsi="Arial" w:hint="default"/>
      </w:rPr>
    </w:lvl>
    <w:lvl w:ilvl="6" w:tplc="48F44FAC" w:tentative="1">
      <w:start w:val="1"/>
      <w:numFmt w:val="bullet"/>
      <w:lvlText w:val="•"/>
      <w:lvlJc w:val="left"/>
      <w:pPr>
        <w:tabs>
          <w:tab w:val="num" w:pos="5040"/>
        </w:tabs>
        <w:ind w:left="5040" w:hanging="360"/>
      </w:pPr>
      <w:rPr>
        <w:rFonts w:ascii="Arial" w:hAnsi="Arial" w:hint="default"/>
      </w:rPr>
    </w:lvl>
    <w:lvl w:ilvl="7" w:tplc="1282687C" w:tentative="1">
      <w:start w:val="1"/>
      <w:numFmt w:val="bullet"/>
      <w:lvlText w:val="•"/>
      <w:lvlJc w:val="left"/>
      <w:pPr>
        <w:tabs>
          <w:tab w:val="num" w:pos="5760"/>
        </w:tabs>
        <w:ind w:left="5760" w:hanging="360"/>
      </w:pPr>
      <w:rPr>
        <w:rFonts w:ascii="Arial" w:hAnsi="Arial" w:hint="default"/>
      </w:rPr>
    </w:lvl>
    <w:lvl w:ilvl="8" w:tplc="D0142E0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0C876AD"/>
    <w:multiLevelType w:val="hybridMultilevel"/>
    <w:tmpl w:val="1C66DA70"/>
    <w:lvl w:ilvl="0" w:tplc="96DCD984">
      <w:start w:val="1"/>
      <w:numFmt w:val="bullet"/>
      <w:lvlText w:val="•"/>
      <w:lvlJc w:val="left"/>
      <w:pPr>
        <w:tabs>
          <w:tab w:val="num" w:pos="720"/>
        </w:tabs>
        <w:ind w:left="720" w:hanging="360"/>
      </w:pPr>
      <w:rPr>
        <w:rFonts w:ascii="Arial" w:hAnsi="Arial" w:hint="default"/>
      </w:rPr>
    </w:lvl>
    <w:lvl w:ilvl="1" w:tplc="2662EE96">
      <w:start w:val="91"/>
      <w:numFmt w:val="bullet"/>
      <w:lvlText w:val="•"/>
      <w:lvlJc w:val="left"/>
      <w:pPr>
        <w:tabs>
          <w:tab w:val="num" w:pos="1440"/>
        </w:tabs>
        <w:ind w:left="1440" w:hanging="360"/>
      </w:pPr>
      <w:rPr>
        <w:rFonts w:ascii="Arial" w:hAnsi="Arial" w:hint="default"/>
      </w:rPr>
    </w:lvl>
    <w:lvl w:ilvl="2" w:tplc="6F4C44FA" w:tentative="1">
      <w:start w:val="1"/>
      <w:numFmt w:val="bullet"/>
      <w:lvlText w:val="•"/>
      <w:lvlJc w:val="left"/>
      <w:pPr>
        <w:tabs>
          <w:tab w:val="num" w:pos="2160"/>
        </w:tabs>
        <w:ind w:left="2160" w:hanging="360"/>
      </w:pPr>
      <w:rPr>
        <w:rFonts w:ascii="Arial" w:hAnsi="Arial" w:hint="default"/>
      </w:rPr>
    </w:lvl>
    <w:lvl w:ilvl="3" w:tplc="B868E510" w:tentative="1">
      <w:start w:val="1"/>
      <w:numFmt w:val="bullet"/>
      <w:lvlText w:val="•"/>
      <w:lvlJc w:val="left"/>
      <w:pPr>
        <w:tabs>
          <w:tab w:val="num" w:pos="2880"/>
        </w:tabs>
        <w:ind w:left="2880" w:hanging="360"/>
      </w:pPr>
      <w:rPr>
        <w:rFonts w:ascii="Arial" w:hAnsi="Arial" w:hint="default"/>
      </w:rPr>
    </w:lvl>
    <w:lvl w:ilvl="4" w:tplc="45D0CBF8" w:tentative="1">
      <w:start w:val="1"/>
      <w:numFmt w:val="bullet"/>
      <w:lvlText w:val="•"/>
      <w:lvlJc w:val="left"/>
      <w:pPr>
        <w:tabs>
          <w:tab w:val="num" w:pos="3600"/>
        </w:tabs>
        <w:ind w:left="3600" w:hanging="360"/>
      </w:pPr>
      <w:rPr>
        <w:rFonts w:ascii="Arial" w:hAnsi="Arial" w:hint="default"/>
      </w:rPr>
    </w:lvl>
    <w:lvl w:ilvl="5" w:tplc="A1B63876" w:tentative="1">
      <w:start w:val="1"/>
      <w:numFmt w:val="bullet"/>
      <w:lvlText w:val="•"/>
      <w:lvlJc w:val="left"/>
      <w:pPr>
        <w:tabs>
          <w:tab w:val="num" w:pos="4320"/>
        </w:tabs>
        <w:ind w:left="4320" w:hanging="360"/>
      </w:pPr>
      <w:rPr>
        <w:rFonts w:ascii="Arial" w:hAnsi="Arial" w:hint="default"/>
      </w:rPr>
    </w:lvl>
    <w:lvl w:ilvl="6" w:tplc="56DA6062" w:tentative="1">
      <w:start w:val="1"/>
      <w:numFmt w:val="bullet"/>
      <w:lvlText w:val="•"/>
      <w:lvlJc w:val="left"/>
      <w:pPr>
        <w:tabs>
          <w:tab w:val="num" w:pos="5040"/>
        </w:tabs>
        <w:ind w:left="5040" w:hanging="360"/>
      </w:pPr>
      <w:rPr>
        <w:rFonts w:ascii="Arial" w:hAnsi="Arial" w:hint="default"/>
      </w:rPr>
    </w:lvl>
    <w:lvl w:ilvl="7" w:tplc="29865DD6" w:tentative="1">
      <w:start w:val="1"/>
      <w:numFmt w:val="bullet"/>
      <w:lvlText w:val="•"/>
      <w:lvlJc w:val="left"/>
      <w:pPr>
        <w:tabs>
          <w:tab w:val="num" w:pos="5760"/>
        </w:tabs>
        <w:ind w:left="5760" w:hanging="360"/>
      </w:pPr>
      <w:rPr>
        <w:rFonts w:ascii="Arial" w:hAnsi="Arial" w:hint="default"/>
      </w:rPr>
    </w:lvl>
    <w:lvl w:ilvl="8" w:tplc="4372EDD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C944C6D"/>
    <w:multiLevelType w:val="hybridMultilevel"/>
    <w:tmpl w:val="653898F8"/>
    <w:lvl w:ilvl="0" w:tplc="F022017E">
      <w:start w:val="1"/>
      <w:numFmt w:val="bullet"/>
      <w:lvlText w:val="•"/>
      <w:lvlJc w:val="left"/>
      <w:pPr>
        <w:tabs>
          <w:tab w:val="num" w:pos="720"/>
        </w:tabs>
        <w:ind w:left="720" w:hanging="360"/>
      </w:pPr>
      <w:rPr>
        <w:rFonts w:ascii="Arial" w:hAnsi="Arial" w:hint="default"/>
      </w:rPr>
    </w:lvl>
    <w:lvl w:ilvl="1" w:tplc="7D720EB4" w:tentative="1">
      <w:start w:val="1"/>
      <w:numFmt w:val="bullet"/>
      <w:lvlText w:val="•"/>
      <w:lvlJc w:val="left"/>
      <w:pPr>
        <w:tabs>
          <w:tab w:val="num" w:pos="1440"/>
        </w:tabs>
        <w:ind w:left="1440" w:hanging="360"/>
      </w:pPr>
      <w:rPr>
        <w:rFonts w:ascii="Arial" w:hAnsi="Arial" w:hint="default"/>
      </w:rPr>
    </w:lvl>
    <w:lvl w:ilvl="2" w:tplc="525051E0" w:tentative="1">
      <w:start w:val="1"/>
      <w:numFmt w:val="bullet"/>
      <w:lvlText w:val="•"/>
      <w:lvlJc w:val="left"/>
      <w:pPr>
        <w:tabs>
          <w:tab w:val="num" w:pos="2160"/>
        </w:tabs>
        <w:ind w:left="2160" w:hanging="360"/>
      </w:pPr>
      <w:rPr>
        <w:rFonts w:ascii="Arial" w:hAnsi="Arial" w:hint="default"/>
      </w:rPr>
    </w:lvl>
    <w:lvl w:ilvl="3" w:tplc="7F30C162" w:tentative="1">
      <w:start w:val="1"/>
      <w:numFmt w:val="bullet"/>
      <w:lvlText w:val="•"/>
      <w:lvlJc w:val="left"/>
      <w:pPr>
        <w:tabs>
          <w:tab w:val="num" w:pos="2880"/>
        </w:tabs>
        <w:ind w:left="2880" w:hanging="360"/>
      </w:pPr>
      <w:rPr>
        <w:rFonts w:ascii="Arial" w:hAnsi="Arial" w:hint="default"/>
      </w:rPr>
    </w:lvl>
    <w:lvl w:ilvl="4" w:tplc="54164314" w:tentative="1">
      <w:start w:val="1"/>
      <w:numFmt w:val="bullet"/>
      <w:lvlText w:val="•"/>
      <w:lvlJc w:val="left"/>
      <w:pPr>
        <w:tabs>
          <w:tab w:val="num" w:pos="3600"/>
        </w:tabs>
        <w:ind w:left="3600" w:hanging="360"/>
      </w:pPr>
      <w:rPr>
        <w:rFonts w:ascii="Arial" w:hAnsi="Arial" w:hint="default"/>
      </w:rPr>
    </w:lvl>
    <w:lvl w:ilvl="5" w:tplc="BFF83C9A" w:tentative="1">
      <w:start w:val="1"/>
      <w:numFmt w:val="bullet"/>
      <w:lvlText w:val="•"/>
      <w:lvlJc w:val="left"/>
      <w:pPr>
        <w:tabs>
          <w:tab w:val="num" w:pos="4320"/>
        </w:tabs>
        <w:ind w:left="4320" w:hanging="360"/>
      </w:pPr>
      <w:rPr>
        <w:rFonts w:ascii="Arial" w:hAnsi="Arial" w:hint="default"/>
      </w:rPr>
    </w:lvl>
    <w:lvl w:ilvl="6" w:tplc="40D46F88" w:tentative="1">
      <w:start w:val="1"/>
      <w:numFmt w:val="bullet"/>
      <w:lvlText w:val="•"/>
      <w:lvlJc w:val="left"/>
      <w:pPr>
        <w:tabs>
          <w:tab w:val="num" w:pos="5040"/>
        </w:tabs>
        <w:ind w:left="5040" w:hanging="360"/>
      </w:pPr>
      <w:rPr>
        <w:rFonts w:ascii="Arial" w:hAnsi="Arial" w:hint="default"/>
      </w:rPr>
    </w:lvl>
    <w:lvl w:ilvl="7" w:tplc="11821A64" w:tentative="1">
      <w:start w:val="1"/>
      <w:numFmt w:val="bullet"/>
      <w:lvlText w:val="•"/>
      <w:lvlJc w:val="left"/>
      <w:pPr>
        <w:tabs>
          <w:tab w:val="num" w:pos="5760"/>
        </w:tabs>
        <w:ind w:left="5760" w:hanging="360"/>
      </w:pPr>
      <w:rPr>
        <w:rFonts w:ascii="Arial" w:hAnsi="Arial" w:hint="default"/>
      </w:rPr>
    </w:lvl>
    <w:lvl w:ilvl="8" w:tplc="C85602C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CE8351D"/>
    <w:multiLevelType w:val="hybridMultilevel"/>
    <w:tmpl w:val="C1F6B252"/>
    <w:lvl w:ilvl="0" w:tplc="93C0BFEC">
      <w:start w:val="1"/>
      <w:numFmt w:val="bullet"/>
      <w:lvlText w:val="•"/>
      <w:lvlJc w:val="left"/>
      <w:pPr>
        <w:tabs>
          <w:tab w:val="num" w:pos="720"/>
        </w:tabs>
        <w:ind w:left="720" w:hanging="360"/>
      </w:pPr>
      <w:rPr>
        <w:rFonts w:ascii="Arial" w:hAnsi="Arial" w:hint="default"/>
      </w:rPr>
    </w:lvl>
    <w:lvl w:ilvl="1" w:tplc="76003828">
      <w:start w:val="1"/>
      <w:numFmt w:val="upperLetter"/>
      <w:lvlText w:val="%2."/>
      <w:lvlJc w:val="left"/>
      <w:pPr>
        <w:tabs>
          <w:tab w:val="num" w:pos="1440"/>
        </w:tabs>
        <w:ind w:left="1440" w:hanging="360"/>
      </w:pPr>
    </w:lvl>
    <w:lvl w:ilvl="2" w:tplc="D1C02942" w:tentative="1">
      <w:start w:val="1"/>
      <w:numFmt w:val="bullet"/>
      <w:lvlText w:val="•"/>
      <w:lvlJc w:val="left"/>
      <w:pPr>
        <w:tabs>
          <w:tab w:val="num" w:pos="2160"/>
        </w:tabs>
        <w:ind w:left="2160" w:hanging="360"/>
      </w:pPr>
      <w:rPr>
        <w:rFonts w:ascii="Arial" w:hAnsi="Arial" w:hint="default"/>
      </w:rPr>
    </w:lvl>
    <w:lvl w:ilvl="3" w:tplc="57F23C02" w:tentative="1">
      <w:start w:val="1"/>
      <w:numFmt w:val="bullet"/>
      <w:lvlText w:val="•"/>
      <w:lvlJc w:val="left"/>
      <w:pPr>
        <w:tabs>
          <w:tab w:val="num" w:pos="2880"/>
        </w:tabs>
        <w:ind w:left="2880" w:hanging="360"/>
      </w:pPr>
      <w:rPr>
        <w:rFonts w:ascii="Arial" w:hAnsi="Arial" w:hint="default"/>
      </w:rPr>
    </w:lvl>
    <w:lvl w:ilvl="4" w:tplc="A81E02F0" w:tentative="1">
      <w:start w:val="1"/>
      <w:numFmt w:val="bullet"/>
      <w:lvlText w:val="•"/>
      <w:lvlJc w:val="left"/>
      <w:pPr>
        <w:tabs>
          <w:tab w:val="num" w:pos="3600"/>
        </w:tabs>
        <w:ind w:left="3600" w:hanging="360"/>
      </w:pPr>
      <w:rPr>
        <w:rFonts w:ascii="Arial" w:hAnsi="Arial" w:hint="default"/>
      </w:rPr>
    </w:lvl>
    <w:lvl w:ilvl="5" w:tplc="E85EDF4E" w:tentative="1">
      <w:start w:val="1"/>
      <w:numFmt w:val="bullet"/>
      <w:lvlText w:val="•"/>
      <w:lvlJc w:val="left"/>
      <w:pPr>
        <w:tabs>
          <w:tab w:val="num" w:pos="4320"/>
        </w:tabs>
        <w:ind w:left="4320" w:hanging="360"/>
      </w:pPr>
      <w:rPr>
        <w:rFonts w:ascii="Arial" w:hAnsi="Arial" w:hint="default"/>
      </w:rPr>
    </w:lvl>
    <w:lvl w:ilvl="6" w:tplc="7848E968" w:tentative="1">
      <w:start w:val="1"/>
      <w:numFmt w:val="bullet"/>
      <w:lvlText w:val="•"/>
      <w:lvlJc w:val="left"/>
      <w:pPr>
        <w:tabs>
          <w:tab w:val="num" w:pos="5040"/>
        </w:tabs>
        <w:ind w:left="5040" w:hanging="360"/>
      </w:pPr>
      <w:rPr>
        <w:rFonts w:ascii="Arial" w:hAnsi="Arial" w:hint="default"/>
      </w:rPr>
    </w:lvl>
    <w:lvl w:ilvl="7" w:tplc="CC1C02A4" w:tentative="1">
      <w:start w:val="1"/>
      <w:numFmt w:val="bullet"/>
      <w:lvlText w:val="•"/>
      <w:lvlJc w:val="left"/>
      <w:pPr>
        <w:tabs>
          <w:tab w:val="num" w:pos="5760"/>
        </w:tabs>
        <w:ind w:left="5760" w:hanging="360"/>
      </w:pPr>
      <w:rPr>
        <w:rFonts w:ascii="Arial" w:hAnsi="Arial" w:hint="default"/>
      </w:rPr>
    </w:lvl>
    <w:lvl w:ilvl="8" w:tplc="CC6E414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51C2D32"/>
    <w:multiLevelType w:val="hybridMultilevel"/>
    <w:tmpl w:val="04C0A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E2001B"/>
    <w:multiLevelType w:val="hybridMultilevel"/>
    <w:tmpl w:val="7EFC0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3"/>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E4D"/>
    <w:rsid w:val="000E1A9E"/>
    <w:rsid w:val="00186564"/>
    <w:rsid w:val="0020506B"/>
    <w:rsid w:val="00226610"/>
    <w:rsid w:val="0025347C"/>
    <w:rsid w:val="002D0A91"/>
    <w:rsid w:val="00366ED8"/>
    <w:rsid w:val="00393600"/>
    <w:rsid w:val="003973F3"/>
    <w:rsid w:val="00422F78"/>
    <w:rsid w:val="00430D24"/>
    <w:rsid w:val="00462264"/>
    <w:rsid w:val="00473B1D"/>
    <w:rsid w:val="004D5498"/>
    <w:rsid w:val="004F4E3F"/>
    <w:rsid w:val="00541EE9"/>
    <w:rsid w:val="00593E8C"/>
    <w:rsid w:val="005A14F5"/>
    <w:rsid w:val="005E2259"/>
    <w:rsid w:val="006255B0"/>
    <w:rsid w:val="00787A43"/>
    <w:rsid w:val="00866967"/>
    <w:rsid w:val="009D2CA4"/>
    <w:rsid w:val="009D43CD"/>
    <w:rsid w:val="009F513B"/>
    <w:rsid w:val="00A0231F"/>
    <w:rsid w:val="00A302E3"/>
    <w:rsid w:val="00A5665C"/>
    <w:rsid w:val="00A90F35"/>
    <w:rsid w:val="00B40BF0"/>
    <w:rsid w:val="00B71A3D"/>
    <w:rsid w:val="00C1483A"/>
    <w:rsid w:val="00CA4E4D"/>
    <w:rsid w:val="00CB2FAD"/>
    <w:rsid w:val="00D21AED"/>
    <w:rsid w:val="00D90AA8"/>
    <w:rsid w:val="00DC1347"/>
    <w:rsid w:val="00E0127E"/>
    <w:rsid w:val="00E63DDC"/>
    <w:rsid w:val="00ED12C2"/>
    <w:rsid w:val="00F96721"/>
    <w:rsid w:val="00FE2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7BF4BF"/>
  <w14:defaultImageDpi w14:val="32767"/>
  <w15:chartTrackingRefBased/>
  <w15:docId w15:val="{68BAF50E-9845-1B40-ADA6-4B924D448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A4E4D"/>
    <w:rPr>
      <w:color w:val="0563C1" w:themeColor="hyperlink"/>
      <w:u w:val="single"/>
    </w:rPr>
  </w:style>
  <w:style w:type="character" w:styleId="UnresolvedMention">
    <w:name w:val="Unresolved Mention"/>
    <w:basedOn w:val="DefaultParagraphFont"/>
    <w:uiPriority w:val="99"/>
    <w:rsid w:val="00CA4E4D"/>
    <w:rPr>
      <w:color w:val="605E5C"/>
      <w:shd w:val="clear" w:color="auto" w:fill="E1DFDD"/>
    </w:rPr>
  </w:style>
  <w:style w:type="paragraph" w:styleId="ListParagraph">
    <w:name w:val="List Paragraph"/>
    <w:basedOn w:val="Normal"/>
    <w:uiPriority w:val="34"/>
    <w:qFormat/>
    <w:rsid w:val="00A0231F"/>
    <w:pPr>
      <w:ind w:left="720"/>
      <w:contextualSpacing/>
    </w:pPr>
  </w:style>
  <w:style w:type="paragraph" w:styleId="NormalWeb">
    <w:name w:val="Normal (Web)"/>
    <w:basedOn w:val="Normal"/>
    <w:uiPriority w:val="99"/>
    <w:semiHidden/>
    <w:unhideWhenUsed/>
    <w:rsid w:val="00A90F35"/>
    <w:pPr>
      <w:spacing w:before="100" w:beforeAutospacing="1" w:after="100" w:afterAutospacing="1"/>
    </w:pPr>
    <w:rPr>
      <w:rFonts w:ascii="Times New Roman" w:eastAsia="Times New Roman" w:hAnsi="Times New Roman" w:cs="Times New Roman"/>
    </w:rPr>
  </w:style>
  <w:style w:type="paragraph" w:styleId="BodyText">
    <w:name w:val="Body Text"/>
    <w:basedOn w:val="Normal"/>
    <w:link w:val="BodyTextChar"/>
    <w:uiPriority w:val="1"/>
    <w:qFormat/>
    <w:rsid w:val="00541EE9"/>
    <w:pPr>
      <w:spacing w:after="120"/>
    </w:pPr>
    <w:rPr>
      <w:rFonts w:ascii="Arial" w:eastAsia="Times New Roman" w:hAnsi="Arial" w:cs="Times New Roman"/>
      <w:color w:val="000000" w:themeColor="text1"/>
      <w:sz w:val="22"/>
      <w:szCs w:val="20"/>
    </w:rPr>
  </w:style>
  <w:style w:type="character" w:customStyle="1" w:styleId="BodyTextChar">
    <w:name w:val="Body Text Char"/>
    <w:basedOn w:val="DefaultParagraphFont"/>
    <w:link w:val="BodyText"/>
    <w:uiPriority w:val="1"/>
    <w:rsid w:val="00541EE9"/>
    <w:rPr>
      <w:rFonts w:ascii="Arial" w:eastAsia="Times New Roman" w:hAnsi="Arial" w:cs="Times New Roman"/>
      <w:color w:val="000000" w:themeColor="text1"/>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700395">
      <w:bodyDiv w:val="1"/>
      <w:marLeft w:val="0"/>
      <w:marRight w:val="0"/>
      <w:marTop w:val="0"/>
      <w:marBottom w:val="0"/>
      <w:divBdr>
        <w:top w:val="none" w:sz="0" w:space="0" w:color="auto"/>
        <w:left w:val="none" w:sz="0" w:space="0" w:color="auto"/>
        <w:bottom w:val="none" w:sz="0" w:space="0" w:color="auto"/>
        <w:right w:val="none" w:sz="0" w:space="0" w:color="auto"/>
      </w:divBdr>
    </w:div>
    <w:div w:id="212622519">
      <w:bodyDiv w:val="1"/>
      <w:marLeft w:val="0"/>
      <w:marRight w:val="0"/>
      <w:marTop w:val="0"/>
      <w:marBottom w:val="0"/>
      <w:divBdr>
        <w:top w:val="none" w:sz="0" w:space="0" w:color="auto"/>
        <w:left w:val="none" w:sz="0" w:space="0" w:color="auto"/>
        <w:bottom w:val="none" w:sz="0" w:space="0" w:color="auto"/>
        <w:right w:val="none" w:sz="0" w:space="0" w:color="auto"/>
      </w:divBdr>
      <w:divsChild>
        <w:div w:id="1875338292">
          <w:marLeft w:val="360"/>
          <w:marRight w:val="0"/>
          <w:marTop w:val="200"/>
          <w:marBottom w:val="0"/>
          <w:divBdr>
            <w:top w:val="none" w:sz="0" w:space="0" w:color="auto"/>
            <w:left w:val="none" w:sz="0" w:space="0" w:color="auto"/>
            <w:bottom w:val="none" w:sz="0" w:space="0" w:color="auto"/>
            <w:right w:val="none" w:sz="0" w:space="0" w:color="auto"/>
          </w:divBdr>
        </w:div>
        <w:div w:id="762579163">
          <w:marLeft w:val="1080"/>
          <w:marRight w:val="0"/>
          <w:marTop w:val="100"/>
          <w:marBottom w:val="0"/>
          <w:divBdr>
            <w:top w:val="none" w:sz="0" w:space="0" w:color="auto"/>
            <w:left w:val="none" w:sz="0" w:space="0" w:color="auto"/>
            <w:bottom w:val="none" w:sz="0" w:space="0" w:color="auto"/>
            <w:right w:val="none" w:sz="0" w:space="0" w:color="auto"/>
          </w:divBdr>
        </w:div>
        <w:div w:id="975069812">
          <w:marLeft w:val="1080"/>
          <w:marRight w:val="0"/>
          <w:marTop w:val="100"/>
          <w:marBottom w:val="0"/>
          <w:divBdr>
            <w:top w:val="none" w:sz="0" w:space="0" w:color="auto"/>
            <w:left w:val="none" w:sz="0" w:space="0" w:color="auto"/>
            <w:bottom w:val="none" w:sz="0" w:space="0" w:color="auto"/>
            <w:right w:val="none" w:sz="0" w:space="0" w:color="auto"/>
          </w:divBdr>
        </w:div>
        <w:div w:id="203251145">
          <w:marLeft w:val="360"/>
          <w:marRight w:val="0"/>
          <w:marTop w:val="200"/>
          <w:marBottom w:val="0"/>
          <w:divBdr>
            <w:top w:val="none" w:sz="0" w:space="0" w:color="auto"/>
            <w:left w:val="none" w:sz="0" w:space="0" w:color="auto"/>
            <w:bottom w:val="none" w:sz="0" w:space="0" w:color="auto"/>
            <w:right w:val="none" w:sz="0" w:space="0" w:color="auto"/>
          </w:divBdr>
        </w:div>
      </w:divsChild>
    </w:div>
    <w:div w:id="635185113">
      <w:bodyDiv w:val="1"/>
      <w:marLeft w:val="0"/>
      <w:marRight w:val="0"/>
      <w:marTop w:val="0"/>
      <w:marBottom w:val="0"/>
      <w:divBdr>
        <w:top w:val="none" w:sz="0" w:space="0" w:color="auto"/>
        <w:left w:val="none" w:sz="0" w:space="0" w:color="auto"/>
        <w:bottom w:val="none" w:sz="0" w:space="0" w:color="auto"/>
        <w:right w:val="none" w:sz="0" w:space="0" w:color="auto"/>
      </w:divBdr>
      <w:divsChild>
        <w:div w:id="1171212103">
          <w:marLeft w:val="720"/>
          <w:marRight w:val="0"/>
          <w:marTop w:val="0"/>
          <w:marBottom w:val="0"/>
          <w:divBdr>
            <w:top w:val="none" w:sz="0" w:space="0" w:color="auto"/>
            <w:left w:val="none" w:sz="0" w:space="0" w:color="auto"/>
            <w:bottom w:val="none" w:sz="0" w:space="0" w:color="auto"/>
            <w:right w:val="none" w:sz="0" w:space="0" w:color="auto"/>
          </w:divBdr>
        </w:div>
        <w:div w:id="150297500">
          <w:marLeft w:val="720"/>
          <w:marRight w:val="0"/>
          <w:marTop w:val="0"/>
          <w:marBottom w:val="0"/>
          <w:divBdr>
            <w:top w:val="none" w:sz="0" w:space="0" w:color="auto"/>
            <w:left w:val="none" w:sz="0" w:space="0" w:color="auto"/>
            <w:bottom w:val="none" w:sz="0" w:space="0" w:color="auto"/>
            <w:right w:val="none" w:sz="0" w:space="0" w:color="auto"/>
          </w:divBdr>
        </w:div>
        <w:div w:id="1743016831">
          <w:marLeft w:val="720"/>
          <w:marRight w:val="0"/>
          <w:marTop w:val="0"/>
          <w:marBottom w:val="0"/>
          <w:divBdr>
            <w:top w:val="none" w:sz="0" w:space="0" w:color="auto"/>
            <w:left w:val="none" w:sz="0" w:space="0" w:color="auto"/>
            <w:bottom w:val="none" w:sz="0" w:space="0" w:color="auto"/>
            <w:right w:val="none" w:sz="0" w:space="0" w:color="auto"/>
          </w:divBdr>
        </w:div>
        <w:div w:id="719011485">
          <w:marLeft w:val="720"/>
          <w:marRight w:val="0"/>
          <w:marTop w:val="0"/>
          <w:marBottom w:val="0"/>
          <w:divBdr>
            <w:top w:val="none" w:sz="0" w:space="0" w:color="auto"/>
            <w:left w:val="none" w:sz="0" w:space="0" w:color="auto"/>
            <w:bottom w:val="none" w:sz="0" w:space="0" w:color="auto"/>
            <w:right w:val="none" w:sz="0" w:space="0" w:color="auto"/>
          </w:divBdr>
        </w:div>
      </w:divsChild>
    </w:div>
    <w:div w:id="713237991">
      <w:bodyDiv w:val="1"/>
      <w:marLeft w:val="0"/>
      <w:marRight w:val="0"/>
      <w:marTop w:val="0"/>
      <w:marBottom w:val="0"/>
      <w:divBdr>
        <w:top w:val="none" w:sz="0" w:space="0" w:color="auto"/>
        <w:left w:val="none" w:sz="0" w:space="0" w:color="auto"/>
        <w:bottom w:val="none" w:sz="0" w:space="0" w:color="auto"/>
        <w:right w:val="none" w:sz="0" w:space="0" w:color="auto"/>
      </w:divBdr>
      <w:divsChild>
        <w:div w:id="2018460847">
          <w:marLeft w:val="360"/>
          <w:marRight w:val="0"/>
          <w:marTop w:val="200"/>
          <w:marBottom w:val="0"/>
          <w:divBdr>
            <w:top w:val="none" w:sz="0" w:space="0" w:color="auto"/>
            <w:left w:val="none" w:sz="0" w:space="0" w:color="auto"/>
            <w:bottom w:val="none" w:sz="0" w:space="0" w:color="auto"/>
            <w:right w:val="none" w:sz="0" w:space="0" w:color="auto"/>
          </w:divBdr>
        </w:div>
        <w:div w:id="116068908">
          <w:marLeft w:val="360"/>
          <w:marRight w:val="0"/>
          <w:marTop w:val="200"/>
          <w:marBottom w:val="0"/>
          <w:divBdr>
            <w:top w:val="none" w:sz="0" w:space="0" w:color="auto"/>
            <w:left w:val="none" w:sz="0" w:space="0" w:color="auto"/>
            <w:bottom w:val="none" w:sz="0" w:space="0" w:color="auto"/>
            <w:right w:val="none" w:sz="0" w:space="0" w:color="auto"/>
          </w:divBdr>
        </w:div>
      </w:divsChild>
    </w:div>
    <w:div w:id="986783677">
      <w:bodyDiv w:val="1"/>
      <w:marLeft w:val="0"/>
      <w:marRight w:val="0"/>
      <w:marTop w:val="0"/>
      <w:marBottom w:val="0"/>
      <w:divBdr>
        <w:top w:val="none" w:sz="0" w:space="0" w:color="auto"/>
        <w:left w:val="none" w:sz="0" w:space="0" w:color="auto"/>
        <w:bottom w:val="none" w:sz="0" w:space="0" w:color="auto"/>
        <w:right w:val="none" w:sz="0" w:space="0" w:color="auto"/>
      </w:divBdr>
      <w:divsChild>
        <w:div w:id="982079642">
          <w:marLeft w:val="360"/>
          <w:marRight w:val="0"/>
          <w:marTop w:val="200"/>
          <w:marBottom w:val="0"/>
          <w:divBdr>
            <w:top w:val="none" w:sz="0" w:space="0" w:color="auto"/>
            <w:left w:val="none" w:sz="0" w:space="0" w:color="auto"/>
            <w:bottom w:val="none" w:sz="0" w:space="0" w:color="auto"/>
            <w:right w:val="none" w:sz="0" w:space="0" w:color="auto"/>
          </w:divBdr>
        </w:div>
      </w:divsChild>
    </w:div>
    <w:div w:id="991249930">
      <w:bodyDiv w:val="1"/>
      <w:marLeft w:val="0"/>
      <w:marRight w:val="0"/>
      <w:marTop w:val="0"/>
      <w:marBottom w:val="0"/>
      <w:divBdr>
        <w:top w:val="none" w:sz="0" w:space="0" w:color="auto"/>
        <w:left w:val="none" w:sz="0" w:space="0" w:color="auto"/>
        <w:bottom w:val="none" w:sz="0" w:space="0" w:color="auto"/>
        <w:right w:val="none" w:sz="0" w:space="0" w:color="auto"/>
      </w:divBdr>
      <w:divsChild>
        <w:div w:id="2017803443">
          <w:marLeft w:val="360"/>
          <w:marRight w:val="0"/>
          <w:marTop w:val="200"/>
          <w:marBottom w:val="0"/>
          <w:divBdr>
            <w:top w:val="none" w:sz="0" w:space="0" w:color="auto"/>
            <w:left w:val="none" w:sz="0" w:space="0" w:color="auto"/>
            <w:bottom w:val="none" w:sz="0" w:space="0" w:color="auto"/>
            <w:right w:val="none" w:sz="0" w:space="0" w:color="auto"/>
          </w:divBdr>
        </w:div>
        <w:div w:id="1147436523">
          <w:marLeft w:val="360"/>
          <w:marRight w:val="0"/>
          <w:marTop w:val="200"/>
          <w:marBottom w:val="0"/>
          <w:divBdr>
            <w:top w:val="none" w:sz="0" w:space="0" w:color="auto"/>
            <w:left w:val="none" w:sz="0" w:space="0" w:color="auto"/>
            <w:bottom w:val="none" w:sz="0" w:space="0" w:color="auto"/>
            <w:right w:val="none" w:sz="0" w:space="0" w:color="auto"/>
          </w:divBdr>
        </w:div>
        <w:div w:id="190923463">
          <w:marLeft w:val="1440"/>
          <w:marRight w:val="0"/>
          <w:marTop w:val="100"/>
          <w:marBottom w:val="0"/>
          <w:divBdr>
            <w:top w:val="none" w:sz="0" w:space="0" w:color="auto"/>
            <w:left w:val="none" w:sz="0" w:space="0" w:color="auto"/>
            <w:bottom w:val="none" w:sz="0" w:space="0" w:color="auto"/>
            <w:right w:val="none" w:sz="0" w:space="0" w:color="auto"/>
          </w:divBdr>
        </w:div>
        <w:div w:id="1411003677">
          <w:marLeft w:val="1440"/>
          <w:marRight w:val="0"/>
          <w:marTop w:val="100"/>
          <w:marBottom w:val="0"/>
          <w:divBdr>
            <w:top w:val="none" w:sz="0" w:space="0" w:color="auto"/>
            <w:left w:val="none" w:sz="0" w:space="0" w:color="auto"/>
            <w:bottom w:val="none" w:sz="0" w:space="0" w:color="auto"/>
            <w:right w:val="none" w:sz="0" w:space="0" w:color="auto"/>
          </w:divBdr>
        </w:div>
      </w:divsChild>
    </w:div>
    <w:div w:id="1281567149">
      <w:bodyDiv w:val="1"/>
      <w:marLeft w:val="0"/>
      <w:marRight w:val="0"/>
      <w:marTop w:val="0"/>
      <w:marBottom w:val="0"/>
      <w:divBdr>
        <w:top w:val="none" w:sz="0" w:space="0" w:color="auto"/>
        <w:left w:val="none" w:sz="0" w:space="0" w:color="auto"/>
        <w:bottom w:val="none" w:sz="0" w:space="0" w:color="auto"/>
        <w:right w:val="none" w:sz="0" w:space="0" w:color="auto"/>
      </w:divBdr>
      <w:divsChild>
        <w:div w:id="1836147754">
          <w:marLeft w:val="360"/>
          <w:marRight w:val="0"/>
          <w:marTop w:val="200"/>
          <w:marBottom w:val="0"/>
          <w:divBdr>
            <w:top w:val="none" w:sz="0" w:space="0" w:color="auto"/>
            <w:left w:val="none" w:sz="0" w:space="0" w:color="auto"/>
            <w:bottom w:val="none" w:sz="0" w:space="0" w:color="auto"/>
            <w:right w:val="none" w:sz="0" w:space="0" w:color="auto"/>
          </w:divBdr>
        </w:div>
      </w:divsChild>
    </w:div>
    <w:div w:id="1534687646">
      <w:bodyDiv w:val="1"/>
      <w:marLeft w:val="0"/>
      <w:marRight w:val="0"/>
      <w:marTop w:val="0"/>
      <w:marBottom w:val="0"/>
      <w:divBdr>
        <w:top w:val="none" w:sz="0" w:space="0" w:color="auto"/>
        <w:left w:val="none" w:sz="0" w:space="0" w:color="auto"/>
        <w:bottom w:val="none" w:sz="0" w:space="0" w:color="auto"/>
        <w:right w:val="none" w:sz="0" w:space="0" w:color="auto"/>
      </w:divBdr>
      <w:divsChild>
        <w:div w:id="1067804495">
          <w:marLeft w:val="0"/>
          <w:marRight w:val="0"/>
          <w:marTop w:val="0"/>
          <w:marBottom w:val="0"/>
          <w:divBdr>
            <w:top w:val="none" w:sz="0" w:space="0" w:color="auto"/>
            <w:left w:val="none" w:sz="0" w:space="0" w:color="auto"/>
            <w:bottom w:val="none" w:sz="0" w:space="0" w:color="auto"/>
            <w:right w:val="none" w:sz="0" w:space="0" w:color="auto"/>
          </w:divBdr>
          <w:divsChild>
            <w:div w:id="546452352">
              <w:marLeft w:val="0"/>
              <w:marRight w:val="0"/>
              <w:marTop w:val="0"/>
              <w:marBottom w:val="0"/>
              <w:divBdr>
                <w:top w:val="none" w:sz="0" w:space="0" w:color="auto"/>
                <w:left w:val="none" w:sz="0" w:space="0" w:color="auto"/>
                <w:bottom w:val="none" w:sz="0" w:space="0" w:color="auto"/>
                <w:right w:val="none" w:sz="0" w:space="0" w:color="auto"/>
              </w:divBdr>
              <w:divsChild>
                <w:div w:id="48806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gulations.gov/docket?D=ED-2019-ICCD-002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ces.ed.gov/ipeds/datacenter/" TargetMode="External"/><Relationship Id="rId5" Type="http://schemas.openxmlformats.org/officeDocument/2006/relationships/hyperlink" Target="http://nces.ed.gov/collegenavigato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 Smith</dc:creator>
  <cp:keywords/>
  <dc:description/>
  <cp:lastModifiedBy>Rebecca W Lazo</cp:lastModifiedBy>
  <cp:revision>2</cp:revision>
  <dcterms:created xsi:type="dcterms:W3CDTF">2019-05-09T04:06:00Z</dcterms:created>
  <dcterms:modified xsi:type="dcterms:W3CDTF">2019-05-09T04:06:00Z</dcterms:modified>
</cp:coreProperties>
</file>