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F4E79"/>
          <w:sz w:val="46"/>
        </w:rPr>
        <w:t>AMINA Care - DHIS2 Integration and Permissions Report</w:t>
      </w:r>
    </w:p>
    <w:p>
      <w:pPr>
        <w:jc w:val="center"/>
      </w:pPr>
      <w:r>
        <w:rPr>
          <w:rFonts w:ascii="Aptos" w:hAnsi="Aptos"/>
          <w:b w:val="0"/>
          <w:color w:val="4B5563"/>
          <w:sz w:val="23"/>
        </w:rPr>
        <w:t>How AMINA communicates with DHIS2, what it can push, and what permissions are required</w:t>
      </w:r>
    </w:p>
    <w:p>
      <w:pPr>
        <w:spacing w:before="320"/>
        <w:jc w:val="center"/>
      </w:pPr>
      <w:r>
        <w:rPr>
          <w:rFonts w:ascii="Aptos" w:hAnsi="Aptos"/>
          <w:b w:val="0"/>
          <w:color w:val="4B5563"/>
          <w:sz w:val="19"/>
        </w:rPr>
        <w:t>Prepared for AMINA engineering review | 2026-04-27</w:t>
      </w:r>
    </w:p>
    <w:p>
      <w:r>
        <w:br w:type="page"/>
      </w:r>
    </w:p>
    <w:p>
      <w:pPr>
        <w:pStyle w:val="Heading1"/>
      </w:pPr>
      <w:r>
        <w:t>Executive Summary</w:t>
      </w:r>
    </w:p>
    <w:p>
      <w:pPr>
        <w:spacing w:after="100" w:line="264" w:lineRule="auto"/>
      </w:pPr>
      <w:r>
        <w:rPr>
          <w:rFonts w:ascii="Aptos" w:hAnsi="Aptos"/>
          <w:b w:val="0"/>
          <w:color w:val="1F2937"/>
          <w:sz w:val="20"/>
        </w:rPr>
        <w:t>AMINA already has multiple DHIS2 integration paths. The safest MVP path is aggregate reporting because it sends anonymous counts only. Patient-level Tracker push is also implemented, but it must be treated as a consent-gated, MoH-approved workflow because it can create identifiable DHIS2 records.</w:t>
      </w:r>
    </w:p>
    <w:p>
      <w:pPr>
        <w:spacing w:after="60" w:line="259" w:lineRule="auto"/>
      </w:pPr>
      <w:r>
        <w:rPr>
          <w:rFonts w:ascii="Aptos" w:hAnsi="Aptos"/>
          <w:b/>
          <w:color w:val="2F855A"/>
          <w:sz w:val="20"/>
        </w:rPr>
        <w:t>Aggregate sync:</w:t>
      </w:r>
      <w:r>
        <w:rPr>
          <w:rFonts w:ascii="Aptos" w:hAnsi="Aptos"/>
          <w:b w:val="0"/>
          <w:color w:val="1F2937"/>
          <w:sz w:val="20"/>
        </w:rPr>
        <w:t xml:space="preserve"> anonymous counts by region and day, pushed to DHIS2 /api/dataValueSets.</w:t>
      </w:r>
    </w:p>
    <w:p>
      <w:pPr>
        <w:spacing w:after="60" w:line="259" w:lineRule="auto"/>
      </w:pPr>
      <w:r>
        <w:rPr>
          <w:rFonts w:ascii="Aptos" w:hAnsi="Aptos"/>
          <w:b/>
          <w:color w:val="B45309"/>
          <w:sz w:val="20"/>
        </w:rPr>
        <w:t>Tracker push:</w:t>
      </w:r>
      <w:r>
        <w:rPr>
          <w:rFonts w:ascii="Aptos" w:hAnsi="Aptos"/>
          <w:b w:val="0"/>
          <w:color w:val="1F2937"/>
          <w:sz w:val="20"/>
        </w:rPr>
        <w:t xml:space="preserve"> patient-level TEI, enrollment, and event records, pushed to DHIS2 Tracker endpoints only after consent and configuration.</w:t>
      </w:r>
    </w:p>
    <w:p>
      <w:pPr>
        <w:spacing w:after="60" w:line="259" w:lineRule="auto"/>
      </w:pPr>
      <w:r>
        <w:rPr>
          <w:rFonts w:ascii="Aptos" w:hAnsi="Aptos"/>
          <w:b/>
          <w:color w:val="1F4E79"/>
          <w:sz w:val="20"/>
        </w:rPr>
        <w:t>Referral pull:</w:t>
      </w:r>
      <w:r>
        <w:rPr>
          <w:rFonts w:ascii="Aptos" w:hAnsi="Aptos"/>
          <w:b w:val="0"/>
          <w:color w:val="1F2937"/>
          <w:sz w:val="20"/>
        </w:rPr>
        <w:t xml:space="preserve"> DHIS2 events can be pulled back into AMINA and surfaced as referrals or reconciliation work.</w:t>
      </w:r>
    </w:p>
    <w:p>
      <w:pPr>
        <w:spacing w:after="60" w:line="259" w:lineRule="auto"/>
      </w:pPr>
      <w:r>
        <w:rPr>
          <w:rFonts w:ascii="Aptos" w:hAnsi="Aptos"/>
          <w:b/>
          <w:color w:val="1F4E79"/>
          <w:sz w:val="20"/>
        </w:rPr>
        <w:t>FHIR export:</w:t>
      </w:r>
      <w:r>
        <w:rPr>
          <w:rFonts w:ascii="Aptos" w:hAnsi="Aptos"/>
          <w:b w:val="0"/>
          <w:color w:val="1F2937"/>
          <w:sz w:val="20"/>
        </w:rPr>
        <w:t xml:space="preserve"> AMINA can expose local FHIR R4 bundles, useful for interoperability but not a direct DHIS2 push by itself.</w:t>
      </w:r>
    </w:p>
    <w:p>
      <w:pPr>
        <w:spacing w:after="160" w:line="264" w:lineRule="auto"/>
      </w:pPr>
      <w:r>
        <w:rPr>
          <w:rFonts w:ascii="Aptos" w:hAnsi="Aptos"/>
          <w:b/>
          <w:color w:val="2F855A"/>
          <w:sz w:val="20"/>
        </w:rPr>
        <w:t>Recommendation: start with aggregate push for MVP/MoH demonstration. Add Tracker only after real metadata UIDs, service-account permissions, and patient consent are confirmed.</w:t>
      </w:r>
    </w:p>
    <w:p>
      <w:pPr>
        <w:pStyle w:val="Heading1"/>
      </w:pPr>
      <w:r>
        <w:t>1. Current DHIS2 Architecture</w:t>
      </w:r>
    </w:p>
    <w:p>
      <w:pPr>
        <w:spacing w:after="100" w:line="264" w:lineRule="auto"/>
      </w:pPr>
      <w:r>
        <w:rPr>
          <w:rFonts w:ascii="Aptos" w:hAnsi="Aptos"/>
          <w:b w:val="0"/>
          <w:color w:val="1F2937"/>
          <w:sz w:val="20"/>
        </w:rPr>
        <w:t>The DHIS2 integration is implemented in the Haystack backend, not in the Telegram or Meta sidecars. It is wired through the main FastAPI app and admin-only DHIS2 routes.</w:t>
      </w:r>
    </w:p>
    <w:p>
      <w:pPr>
        <w:pStyle w:val="ListBullet"/>
        <w:spacing w:after="40" w:line="259" w:lineRule="auto"/>
      </w:pPr>
      <w:r>
        <w:rPr>
          <w:rFonts w:ascii="Aptos" w:hAnsi="Aptos"/>
          <w:b w:val="0"/>
          <w:color w:val="1F2937"/>
          <w:sz w:val="19"/>
        </w:rPr>
        <w:t>Aggregate service: haystack-stack/haystack-chatqna/src/services/dhis2_sync.py</w:t>
      </w:r>
    </w:p>
    <w:p>
      <w:pPr>
        <w:pStyle w:val="ListBullet"/>
        <w:spacing w:after="40" w:line="259" w:lineRule="auto"/>
      </w:pPr>
      <w:r>
        <w:rPr>
          <w:rFonts w:ascii="Aptos" w:hAnsi="Aptos"/>
          <w:b w:val="0"/>
          <w:color w:val="1F2937"/>
          <w:sz w:val="19"/>
        </w:rPr>
        <w:t>Tracker service: haystack-stack/haystack-chatqna/src/services/dhis2_tracker.py</w:t>
      </w:r>
    </w:p>
    <w:p>
      <w:pPr>
        <w:pStyle w:val="ListBullet"/>
        <w:spacing w:after="40" w:line="259" w:lineRule="auto"/>
      </w:pPr>
      <w:r>
        <w:rPr>
          <w:rFonts w:ascii="Aptos" w:hAnsi="Aptos"/>
          <w:b w:val="0"/>
          <w:color w:val="1F2937"/>
          <w:sz w:val="19"/>
        </w:rPr>
        <w:t>Referral pull service: haystack-stack/haystack-chatqna/src/services/dhis2_pull.py</w:t>
      </w:r>
    </w:p>
    <w:p>
      <w:pPr>
        <w:pStyle w:val="ListBullet"/>
        <w:spacing w:after="40" w:line="259" w:lineRule="auto"/>
      </w:pPr>
      <w:r>
        <w:rPr>
          <w:rFonts w:ascii="Aptos" w:hAnsi="Aptos"/>
          <w:b w:val="0"/>
          <w:color w:val="1F2937"/>
          <w:sz w:val="19"/>
        </w:rPr>
        <w:t>Admin routes: haystack-stack/haystack-chatqna/src/api/dhis2_routes.py</w:t>
      </w:r>
    </w:p>
    <w:p>
      <w:pPr>
        <w:pStyle w:val="ListBullet"/>
        <w:spacing w:after="40" w:line="259" w:lineRule="auto"/>
      </w:pPr>
      <w:r>
        <w:rPr>
          <w:rFonts w:ascii="Aptos" w:hAnsi="Aptos"/>
          <w:b w:val="0"/>
          <w:color w:val="1F2937"/>
          <w:sz w:val="19"/>
        </w:rPr>
        <w:t>Local documentation: docs/DHIS2_INTEGRATION.md</w:t>
      </w:r>
    </w:p>
    <w:p>
      <w:pPr>
        <w:spacing w:after="100" w:line="264" w:lineRule="auto"/>
      </w:pPr>
      <w:r>
        <w:rPr>
          <w:rFonts w:ascii="Aptos" w:hAnsi="Aptos"/>
          <w:b w:val="0"/>
          <w:color w:val="1F2937"/>
          <w:sz w:val="20"/>
        </w:rPr>
        <w:t>On startup, AMINA mounts /api/v1/dhis2 routes, initializes DHIS2 audit schema, starts the aggregate daily scheduler, initializes Tracker audit schema, and starts referral pull only when DHIS2_PULL_ENABLED is true.</w:t>
      </w:r>
    </w:p>
    <w:p>
      <w:pPr>
        <w:pStyle w:val="Heading1"/>
      </w:pPr>
      <w:r>
        <w:t>2. Aggregate Push: Anonymous Counts</w:t>
      </w:r>
    </w:p>
    <w:p>
      <w:pPr>
        <w:spacing w:after="100" w:line="264" w:lineRule="auto"/>
      </w:pPr>
      <w:r>
        <w:rPr>
          <w:rFonts w:ascii="Aptos" w:hAnsi="Aptos"/>
          <w:b w:val="0"/>
          <w:color w:val="1F2937"/>
          <w:sz w:val="20"/>
        </w:rPr>
        <w:t>Aggregate push is the production-friendliest path. AMINA collects daily counts from ConsultationRecord, PatientVertex, and Redis counters, then maps AMINA metrics to DHIS2 data elements and AMINA regions to DHIS2 organisation units.</w:t>
      </w:r>
    </w:p>
    <w:p>
      <w:pPr>
        <w:pStyle w:val="Heading2"/>
      </w:pPr>
      <w:r>
        <w:t>Metrics currently supported</w:t>
      </w:r>
    </w:p>
    <w:p>
      <w:pPr>
        <w:pStyle w:val="ListBullet"/>
        <w:spacing w:after="40" w:line="259" w:lineRule="auto"/>
      </w:pPr>
      <w:r>
        <w:rPr>
          <w:rFonts w:ascii="Aptos" w:hAnsi="Aptos"/>
          <w:b w:val="0"/>
          <w:color w:val="1F2937"/>
          <w:sz w:val="19"/>
        </w:rPr>
        <w:t>AMINA_CONS_TOTAL - total consultations</w:t>
      </w:r>
    </w:p>
    <w:p>
      <w:pPr>
        <w:pStyle w:val="ListBullet"/>
        <w:spacing w:after="40" w:line="259" w:lineRule="auto"/>
      </w:pPr>
      <w:r>
        <w:rPr>
          <w:rFonts w:ascii="Aptos" w:hAnsi="Aptos"/>
          <w:b w:val="0"/>
          <w:color w:val="1F2937"/>
          <w:sz w:val="19"/>
        </w:rPr>
        <w:t>AMINA_CONS_EMERGENCY - emergency triage consultations</w:t>
      </w:r>
    </w:p>
    <w:p>
      <w:pPr>
        <w:pStyle w:val="ListBullet"/>
        <w:spacing w:after="40" w:line="259" w:lineRule="auto"/>
      </w:pPr>
      <w:r>
        <w:rPr>
          <w:rFonts w:ascii="Aptos" w:hAnsi="Aptos"/>
          <w:b w:val="0"/>
          <w:color w:val="1F2937"/>
          <w:sz w:val="19"/>
        </w:rPr>
        <w:t>AMINA_CONS_URGENT - urgent triage consultations</w:t>
      </w:r>
    </w:p>
    <w:p>
      <w:pPr>
        <w:pStyle w:val="ListBullet"/>
        <w:spacing w:after="40" w:line="259" w:lineRule="auto"/>
      </w:pPr>
      <w:r>
        <w:rPr>
          <w:rFonts w:ascii="Aptos" w:hAnsi="Aptos"/>
          <w:b w:val="0"/>
          <w:color w:val="1F2937"/>
          <w:sz w:val="19"/>
        </w:rPr>
        <w:t>AMINA_CONS_ROUTINE - routine triage consultations</w:t>
      </w:r>
    </w:p>
    <w:p>
      <w:pPr>
        <w:pStyle w:val="ListBullet"/>
        <w:spacing w:after="40" w:line="259" w:lineRule="auto"/>
      </w:pPr>
      <w:r>
        <w:rPr>
          <w:rFonts w:ascii="Aptos" w:hAnsi="Aptos"/>
          <w:b w:val="0"/>
          <w:color w:val="1F2937"/>
          <w:sz w:val="19"/>
        </w:rPr>
        <w:t>AMINA_NCD_HTN - hypertension-related consultations</w:t>
      </w:r>
    </w:p>
    <w:p>
      <w:pPr>
        <w:pStyle w:val="ListBullet"/>
        <w:spacing w:after="40" w:line="259" w:lineRule="auto"/>
      </w:pPr>
      <w:r>
        <w:rPr>
          <w:rFonts w:ascii="Aptos" w:hAnsi="Aptos"/>
          <w:b w:val="0"/>
          <w:color w:val="1F2937"/>
          <w:sz w:val="19"/>
        </w:rPr>
        <w:t>AMINA_NCD_DM - diabetes-related consultations</w:t>
      </w:r>
    </w:p>
    <w:p>
      <w:pPr>
        <w:pStyle w:val="ListBullet"/>
        <w:spacing w:after="40" w:line="259" w:lineRule="auto"/>
      </w:pPr>
      <w:r>
        <w:rPr>
          <w:rFonts w:ascii="Aptos" w:hAnsi="Aptos"/>
          <w:b w:val="0"/>
          <w:color w:val="1F2937"/>
          <w:sz w:val="19"/>
        </w:rPr>
        <w:t>AMINA_NCD_ASTHMA - asthma/COPD-related consultations</w:t>
      </w:r>
    </w:p>
    <w:p>
      <w:pPr>
        <w:pStyle w:val="ListBullet"/>
        <w:spacing w:after="40" w:line="259" w:lineRule="auto"/>
      </w:pPr>
      <w:r>
        <w:rPr>
          <w:rFonts w:ascii="Aptos" w:hAnsi="Aptos"/>
          <w:b w:val="0"/>
          <w:color w:val="1F2937"/>
          <w:sz w:val="19"/>
        </w:rPr>
        <w:t>AMINA_MCH - maternal and child health consultations</w:t>
      </w:r>
    </w:p>
    <w:p>
      <w:pPr>
        <w:pStyle w:val="ListBullet"/>
        <w:spacing w:after="40" w:line="259" w:lineRule="auto"/>
      </w:pPr>
      <w:r>
        <w:rPr>
          <w:rFonts w:ascii="Aptos" w:hAnsi="Aptos"/>
          <w:b w:val="0"/>
          <w:color w:val="1F2937"/>
          <w:sz w:val="19"/>
        </w:rPr>
        <w:t>AMINA_MENTAL_HEALTH - mental health consultations</w:t>
      </w:r>
    </w:p>
    <w:p>
      <w:pPr>
        <w:pStyle w:val="ListBullet"/>
        <w:spacing w:after="40" w:line="259" w:lineRule="auto"/>
      </w:pPr>
      <w:r>
        <w:rPr>
          <w:rFonts w:ascii="Aptos" w:hAnsi="Aptos"/>
          <w:b w:val="0"/>
          <w:color w:val="1F2937"/>
          <w:sz w:val="19"/>
        </w:rPr>
        <w:t>AMINA_CG_ALERTS - caregiver alerts triggered</w:t>
      </w:r>
    </w:p>
    <w:p>
      <w:pPr>
        <w:pStyle w:val="ListBullet"/>
        <w:spacing w:after="40" w:line="259" w:lineRule="auto"/>
      </w:pPr>
      <w:r>
        <w:rPr>
          <w:rFonts w:ascii="Aptos" w:hAnsi="Aptos"/>
          <w:b w:val="0"/>
          <w:color w:val="1F2937"/>
          <w:sz w:val="19"/>
        </w:rPr>
        <w:t>AMINA_SAFETY_BLOCKS - pre-LLM safety gate refusals</w:t>
      </w:r>
    </w:p>
    <w:p>
      <w:pPr>
        <w:pStyle w:val="Heading2"/>
      </w:pPr>
      <w:r>
        <w:t>Aggregate payload shape</w:t>
      </w:r>
    </w:p>
    <w:p>
      <w:pPr>
        <w:spacing w:after="0" w:line="240" w:lineRule="auto"/>
        <w:ind w:left="360"/>
      </w:pPr>
      <w:r>
        <w:rPr>
          <w:rFonts w:ascii="Consolas" w:hAnsi="Consolas"/>
          <w:b w:val="0"/>
          <w:color w:val="111827"/>
          <w:sz w:val="17"/>
        </w:rPr>
        <w:t>POST {DHIS2_BASE_URL}/api/dataValueSets</w:t>
      </w:r>
    </w:p>
    <w:p>
      <w:pPr>
        <w:spacing w:after="0" w:line="240" w:lineRule="auto"/>
        <w:ind w:left="360"/>
      </w:pPr>
      <w:r>
        <w:rPr>
          <w:rFonts w:ascii="Consolas" w:hAnsi="Consolas"/>
          <w:b w:val="0"/>
          <w:color w:val="111827"/>
          <w:sz w:val="17"/>
        </w:rPr>
        <w:t>{</w:t>
      </w:r>
    </w:p>
    <w:p>
      <w:pPr>
        <w:spacing w:after="0" w:line="240" w:lineRule="auto"/>
        <w:ind w:left="360"/>
      </w:pPr>
      <w:r>
        <w:rPr>
          <w:rFonts w:ascii="Consolas" w:hAnsi="Consolas"/>
          <w:b w:val="0"/>
          <w:color w:val="111827"/>
          <w:sz w:val="17"/>
        </w:rPr>
        <w:t xml:space="preserve">  "dataSet": "&lt;DHIS2_DATASET_ID&gt;",</w:t>
      </w:r>
    </w:p>
    <w:p>
      <w:pPr>
        <w:spacing w:after="0" w:line="240" w:lineRule="auto"/>
        <w:ind w:left="360"/>
      </w:pPr>
      <w:r>
        <w:rPr>
          <w:rFonts w:ascii="Consolas" w:hAnsi="Consolas"/>
          <w:b w:val="0"/>
          <w:color w:val="111827"/>
          <w:sz w:val="17"/>
        </w:rPr>
        <w:t xml:space="preserve">  "period": "YYYYMMDD",</w:t>
      </w:r>
    </w:p>
    <w:p>
      <w:pPr>
        <w:spacing w:after="0" w:line="240" w:lineRule="auto"/>
        <w:ind w:left="360"/>
      </w:pPr>
      <w:r>
        <w:rPr>
          <w:rFonts w:ascii="Consolas" w:hAnsi="Consolas"/>
          <w:b w:val="0"/>
          <w:color w:val="111827"/>
          <w:sz w:val="17"/>
        </w:rPr>
        <w:t xml:space="preserve">  "dataValues": [</w:t>
      </w:r>
    </w:p>
    <w:p>
      <w:pPr>
        <w:spacing w:after="0" w:line="240" w:lineRule="auto"/>
        <w:ind w:left="360"/>
      </w:pPr>
      <w:r>
        <w:rPr>
          <w:rFonts w:ascii="Consolas" w:hAnsi="Consolas"/>
          <w:b w:val="0"/>
          <w:color w:val="111827"/>
          <w:sz w:val="17"/>
        </w:rPr>
        <w:t xml:space="preserve">    { "dataElement": "&lt;uid&gt;", "period": "YYYYMMDD", "orgUnit": "&lt;uid&gt;", "value": "12" }</w:t>
      </w:r>
    </w:p>
    <w:p>
      <w:pPr>
        <w:spacing w:after="0" w:line="240" w:lineRule="auto"/>
        <w:ind w:left="360"/>
      </w:pPr>
      <w:r>
        <w:rPr>
          <w:rFonts w:ascii="Consolas" w:hAnsi="Consolas"/>
          <w:b w:val="0"/>
          <w:color w:val="111827"/>
          <w:sz w:val="17"/>
        </w:rPr>
        <w:t xml:space="preserve">  ]</w:t>
      </w:r>
    </w:p>
    <w:p>
      <w:pPr>
        <w:spacing w:after="0" w:line="240" w:lineRule="auto"/>
        <w:ind w:left="360"/>
      </w:pPr>
      <w:r>
        <w:rPr>
          <w:rFonts w:ascii="Consolas" w:hAnsi="Consolas"/>
          <w:b w:val="0"/>
          <w:color w:val="111827"/>
          <w:sz w:val="17"/>
        </w:rPr>
        <w:t>}</w:t>
      </w:r>
    </w:p>
    <w:p>
      <w:pPr>
        <w:spacing w:after="80"/>
      </w:pPr>
    </w:p>
    <w:p>
      <w:pPr>
        <w:spacing w:after="100" w:line="264" w:lineRule="auto"/>
      </w:pPr>
      <w:r>
        <w:rPr>
          <w:rFonts w:ascii="Aptos" w:hAnsi="Aptos"/>
          <w:b w:val="0"/>
          <w:color w:val="1F2937"/>
          <w:sz w:val="20"/>
        </w:rPr>
        <w:t>The scheduler runs daily at 02:00 UTC and pushes the previous complete day. Failed pushes enter a Redis retry queue with exponential backoff. Every dry-run, push, retry, and failure is audited in ArcadeDB as DHIS2AuditVertex.</w:t>
      </w:r>
    </w:p>
    <w:p>
      <w:pPr>
        <w:pStyle w:val="Heading1"/>
      </w:pPr>
      <w:r>
        <w:t>3. Tracker Push: Patient-Level Records</w:t>
      </w:r>
    </w:p>
    <w:p>
      <w:pPr>
        <w:spacing w:after="120" w:line="264" w:lineRule="auto"/>
      </w:pPr>
      <w:r>
        <w:rPr>
          <w:rFonts w:ascii="Aptos" w:hAnsi="Aptos"/>
          <w:b/>
          <w:color w:val="B45309"/>
          <w:sz w:val="20"/>
        </w:rPr>
        <w:t>Tracker push creates patient-level DHIS2 records. It is powerful, but it is not the first thing to enable in a privacy-sensitive MVP.</w:t>
      </w:r>
    </w:p>
    <w:p>
      <w:pPr>
        <w:pStyle w:val="ListBullet"/>
        <w:spacing w:after="40" w:line="259" w:lineRule="auto"/>
      </w:pPr>
      <w:r>
        <w:rPr>
          <w:rFonts w:ascii="Aptos" w:hAnsi="Aptos"/>
          <w:b w:val="0"/>
          <w:color w:val="1F2937"/>
          <w:sz w:val="19"/>
        </w:rPr>
        <w:t>Step 1: create a Tracked Entity Instance through /api/trackedEntityInstances.</w:t>
      </w:r>
    </w:p>
    <w:p>
      <w:pPr>
        <w:pStyle w:val="ListBullet"/>
        <w:spacing w:after="40" w:line="259" w:lineRule="auto"/>
      </w:pPr>
      <w:r>
        <w:rPr>
          <w:rFonts w:ascii="Aptos" w:hAnsi="Aptos"/>
          <w:b w:val="0"/>
          <w:color w:val="1F2937"/>
          <w:sz w:val="19"/>
        </w:rPr>
        <w:t>Step 2: create an enrollment through /api/enrollments.</w:t>
      </w:r>
    </w:p>
    <w:p>
      <w:pPr>
        <w:pStyle w:val="ListBullet"/>
        <w:spacing w:after="40" w:line="259" w:lineRule="auto"/>
      </w:pPr>
      <w:r>
        <w:rPr>
          <w:rFonts w:ascii="Aptos" w:hAnsi="Aptos"/>
          <w:b w:val="0"/>
          <w:color w:val="1F2937"/>
          <w:sz w:val="19"/>
        </w:rPr>
        <w:t>Step 3: create consultation events through /api/events.</w:t>
      </w:r>
    </w:p>
    <w:p>
      <w:pPr>
        <w:spacing w:after="100" w:line="264" w:lineRule="auto"/>
      </w:pPr>
      <w:r>
        <w:rPr>
          <w:rFonts w:ascii="Aptos" w:hAnsi="Aptos"/>
          <w:b w:val="0"/>
          <w:color w:val="1F2937"/>
          <w:sz w:val="20"/>
        </w:rPr>
        <w:t>The code enforces DHIS2_TRACKER_ENABLED and checks patient consent through consent_service.get_consent(patient_id, "dhis2_tracker") or the legacy share_with_dhis2 flag. Admin force exists, but it should be tightly governed and audited.</w:t>
      </w:r>
    </w:p>
    <w:p>
      <w:pPr>
        <w:spacing w:after="100" w:line="264" w:lineRule="auto"/>
      </w:pPr>
      <w:r>
        <w:rPr>
          <w:rFonts w:ascii="Aptos" w:hAnsi="Aptos"/>
          <w:b w:val="0"/>
          <w:color w:val="1F2937"/>
          <w:sz w:val="20"/>
        </w:rPr>
        <w:t>Free-text consultation fields are de-identified before event payload creation. However, TEI attributes may intentionally include name, phone, age, gender, region, or patient ID if those fields are mapped. That is why Tracker needs explicit patient consent and MoH approval.</w:t>
      </w:r>
    </w:p>
    <w:p>
      <w:pPr>
        <w:pStyle w:val="Heading1"/>
      </w:pPr>
      <w:r>
        <w:t>4. Referral Pull-Back</w:t>
      </w:r>
    </w:p>
    <w:p>
      <w:pPr>
        <w:spacing w:after="100" w:line="264" w:lineRule="auto"/>
      </w:pPr>
      <w:r>
        <w:rPr>
          <w:rFonts w:ascii="Aptos" w:hAnsi="Aptos"/>
          <w:b w:val="0"/>
          <w:color w:val="1F2937"/>
          <w:sz w:val="20"/>
        </w:rPr>
        <w:t>When enabled, AMINA can query DHIS2 /api/events for the configured Tracker program. It stores pulled events as DHIS2ReferralVertex records in ArcadeDB. The process is idempotent because events are keyed by DHIS2 event UID.</w:t>
      </w:r>
    </w:p>
    <w:p>
      <w:pPr>
        <w:pStyle w:val="ListBullet"/>
        <w:spacing w:after="40" w:line="259" w:lineRule="auto"/>
      </w:pPr>
      <w:r>
        <w:rPr>
          <w:rFonts w:ascii="Aptos" w:hAnsi="Aptos"/>
          <w:b w:val="0"/>
          <w:color w:val="1F2937"/>
          <w:sz w:val="19"/>
        </w:rPr>
        <w:t>If AMINA previously pushed the patient, TrackerPushAuditVertex maps the DHIS2 TEI UID back to an AMINA patient ID.</w:t>
      </w:r>
    </w:p>
    <w:p>
      <w:pPr>
        <w:pStyle w:val="ListBullet"/>
        <w:spacing w:after="40" w:line="259" w:lineRule="auto"/>
      </w:pPr>
      <w:r>
        <w:rPr>
          <w:rFonts w:ascii="Aptos" w:hAnsi="Aptos"/>
          <w:b w:val="0"/>
          <w:color w:val="1F2937"/>
          <w:sz w:val="19"/>
        </w:rPr>
        <w:t>If no mapping exists, the referral is stored as unlinked and should be reconciled by an admin.</w:t>
      </w:r>
    </w:p>
    <w:p>
      <w:pPr>
        <w:pStyle w:val="ListBullet"/>
        <w:spacing w:after="40" w:line="259" w:lineRule="auto"/>
      </w:pPr>
      <w:r>
        <w:rPr>
          <w:rFonts w:ascii="Aptos" w:hAnsi="Aptos"/>
          <w:b w:val="0"/>
          <w:color w:val="1F2937"/>
          <w:sz w:val="19"/>
        </w:rPr>
        <w:t>Patient and admin endpoints exist to view and acknowledge referrals locally in AMINA.</w:t>
      </w:r>
    </w:p>
    <w:p>
      <w:pPr>
        <w:pStyle w:val="Heading1"/>
      </w:pPr>
      <w:r>
        <w:t>5. Required Configuration</w:t>
      </w:r>
    </w:p>
    <w:p>
      <w:pPr>
        <w:spacing w:after="100" w:line="264" w:lineRule="auto"/>
      </w:pPr>
      <w:r>
        <w:rPr>
          <w:rFonts w:ascii="Aptos" w:hAnsi="Aptos"/>
          <w:b w:val="0"/>
          <w:color w:val="1F2937"/>
          <w:sz w:val="20"/>
        </w:rPr>
        <w:t>The following environment variables control DHIS2 connectivity and mapping. Do not commit production secrets. Prefer a scoped service account or API token.</w:t>
      </w:r>
    </w:p>
    <w:p>
      <w:pPr>
        <w:pStyle w:val="ListBullet"/>
        <w:spacing w:after="40" w:line="259" w:lineRule="auto"/>
      </w:pPr>
      <w:r>
        <w:rPr>
          <w:rFonts w:ascii="Aptos" w:hAnsi="Aptos"/>
          <w:b w:val="0"/>
          <w:color w:val="1F2937"/>
          <w:sz w:val="19"/>
        </w:rPr>
        <w:t>DHIS2_BASE_URL - base DHIS2 server URL.</w:t>
      </w:r>
    </w:p>
    <w:p>
      <w:pPr>
        <w:pStyle w:val="ListBullet"/>
        <w:spacing w:after="40" w:line="259" w:lineRule="auto"/>
      </w:pPr>
      <w:r>
        <w:rPr>
          <w:rFonts w:ascii="Aptos" w:hAnsi="Aptos"/>
          <w:b w:val="0"/>
          <w:color w:val="1F2937"/>
          <w:sz w:val="19"/>
        </w:rPr>
        <w:t>DHIS2_USERNAME and DHIS2_PASSWORD - Basic Auth fallback.</w:t>
      </w:r>
    </w:p>
    <w:p>
      <w:pPr>
        <w:pStyle w:val="ListBullet"/>
        <w:spacing w:after="40" w:line="259" w:lineRule="auto"/>
      </w:pPr>
      <w:r>
        <w:rPr>
          <w:rFonts w:ascii="Aptos" w:hAnsi="Aptos"/>
          <w:b w:val="0"/>
          <w:color w:val="1F2937"/>
          <w:sz w:val="19"/>
        </w:rPr>
        <w:t>DHIS2_API_TOKEN - preferred token auth where supported.</w:t>
      </w:r>
    </w:p>
    <w:p>
      <w:pPr>
        <w:pStyle w:val="ListBullet"/>
        <w:spacing w:after="40" w:line="259" w:lineRule="auto"/>
      </w:pPr>
      <w:r>
        <w:rPr>
          <w:rFonts w:ascii="Aptos" w:hAnsi="Aptos"/>
          <w:b w:val="0"/>
          <w:color w:val="1F2937"/>
          <w:sz w:val="19"/>
        </w:rPr>
        <w:t>DHIS2_DATASET_ID - aggregate dataset UID.</w:t>
      </w:r>
    </w:p>
    <w:p>
      <w:pPr>
        <w:pStyle w:val="ListBullet"/>
        <w:spacing w:after="40" w:line="259" w:lineRule="auto"/>
      </w:pPr>
      <w:r>
        <w:rPr>
          <w:rFonts w:ascii="Aptos" w:hAnsi="Aptos"/>
          <w:b w:val="0"/>
          <w:color w:val="1F2937"/>
          <w:sz w:val="19"/>
        </w:rPr>
        <w:t>DHIS2_ORG_UNIT_MAP - JSON map from AMINA region to DHIS2 orgUnit UID.</w:t>
      </w:r>
    </w:p>
    <w:p>
      <w:pPr>
        <w:pStyle w:val="ListBullet"/>
        <w:spacing w:after="40" w:line="259" w:lineRule="auto"/>
      </w:pPr>
      <w:r>
        <w:rPr>
          <w:rFonts w:ascii="Aptos" w:hAnsi="Aptos"/>
          <w:b w:val="0"/>
          <w:color w:val="1F2937"/>
          <w:sz w:val="19"/>
        </w:rPr>
        <w:t>DHIS2_DATA_ELEMENT_MAP - JSON map from AMINA metric key to DHIS2 dataElement UID.</w:t>
      </w:r>
    </w:p>
    <w:p>
      <w:pPr>
        <w:pStyle w:val="ListBullet"/>
        <w:spacing w:after="40" w:line="259" w:lineRule="auto"/>
      </w:pPr>
      <w:r>
        <w:rPr>
          <w:rFonts w:ascii="Aptos" w:hAnsi="Aptos"/>
          <w:b w:val="0"/>
          <w:color w:val="1F2937"/>
          <w:sz w:val="19"/>
        </w:rPr>
        <w:t>DHIS2_TRACKER_ENABLED - feature flag for patient-level push.</w:t>
      </w:r>
    </w:p>
    <w:p>
      <w:pPr>
        <w:pStyle w:val="ListBullet"/>
        <w:spacing w:after="40" w:line="259" w:lineRule="auto"/>
      </w:pPr>
      <w:r>
        <w:rPr>
          <w:rFonts w:ascii="Aptos" w:hAnsi="Aptos"/>
          <w:b w:val="0"/>
          <w:color w:val="1F2937"/>
          <w:sz w:val="19"/>
        </w:rPr>
        <w:t>DHIS2_TRACKER_PROGRAM_ID - Tracker program UID.</w:t>
      </w:r>
    </w:p>
    <w:p>
      <w:pPr>
        <w:pStyle w:val="ListBullet"/>
        <w:spacing w:after="40" w:line="259" w:lineRule="auto"/>
      </w:pPr>
      <w:r>
        <w:rPr>
          <w:rFonts w:ascii="Aptos" w:hAnsi="Aptos"/>
          <w:b w:val="0"/>
          <w:color w:val="1F2937"/>
          <w:sz w:val="19"/>
        </w:rPr>
        <w:t>DHIS2_TRACKER_PROGRAM_STAGE_ID - Tracker program stage UID.</w:t>
      </w:r>
    </w:p>
    <w:p>
      <w:pPr>
        <w:pStyle w:val="ListBullet"/>
        <w:spacing w:after="40" w:line="259" w:lineRule="auto"/>
      </w:pPr>
      <w:r>
        <w:rPr>
          <w:rFonts w:ascii="Aptos" w:hAnsi="Aptos"/>
          <w:b w:val="0"/>
          <w:color w:val="1F2937"/>
          <w:sz w:val="19"/>
        </w:rPr>
        <w:t>DHIS2_TRACKER_TEI_TYPE_ID - tracked entity type UID.</w:t>
      </w:r>
    </w:p>
    <w:p>
      <w:pPr>
        <w:pStyle w:val="ListBullet"/>
        <w:spacing w:after="40" w:line="259" w:lineRule="auto"/>
      </w:pPr>
      <w:r>
        <w:rPr>
          <w:rFonts w:ascii="Aptos" w:hAnsi="Aptos"/>
          <w:b w:val="0"/>
          <w:color w:val="1F2937"/>
          <w:sz w:val="19"/>
        </w:rPr>
        <w:t>DHIS2_TRACKER_ATTRIBUTE_MAP - AMINA patient field to DHIS2 tracked entity attribute UID map.</w:t>
      </w:r>
    </w:p>
    <w:p>
      <w:pPr>
        <w:pStyle w:val="ListBullet"/>
        <w:spacing w:after="40" w:line="259" w:lineRule="auto"/>
      </w:pPr>
      <w:r>
        <w:rPr>
          <w:rFonts w:ascii="Aptos" w:hAnsi="Aptos"/>
          <w:b w:val="0"/>
          <w:color w:val="1F2937"/>
          <w:sz w:val="19"/>
        </w:rPr>
        <w:t>DHIS2_TRACKER_DATA_ELEMENT_MAP - AMINA consultation field to DHIS2 event data element UID map.</w:t>
      </w:r>
    </w:p>
    <w:p>
      <w:pPr>
        <w:pStyle w:val="ListBullet"/>
        <w:spacing w:after="40" w:line="259" w:lineRule="auto"/>
      </w:pPr>
      <w:r>
        <w:rPr>
          <w:rFonts w:ascii="Aptos" w:hAnsi="Aptos"/>
          <w:b w:val="0"/>
          <w:color w:val="1F2937"/>
          <w:sz w:val="19"/>
        </w:rPr>
        <w:t>DHIS2_PULL_ENABLED - feature flag for scheduled referral/event pull.</w:t>
      </w:r>
    </w:p>
    <w:p>
      <w:pPr>
        <w:pStyle w:val="Heading1"/>
      </w:pPr>
      <w:r>
        <w:t>6. DHIS2 Permissions Needed</w:t>
      </w:r>
    </w:p>
    <w:p>
      <w:pPr>
        <w:spacing w:after="100" w:line="264" w:lineRule="auto"/>
      </w:pPr>
      <w:r>
        <w:rPr>
          <w:rFonts w:ascii="Aptos" w:hAnsi="Aptos"/>
          <w:b w:val="0"/>
          <w:color w:val="1F2937"/>
          <w:sz w:val="20"/>
        </w:rPr>
        <w:t>The exact permission names depend on the DHIS2 version and MoH configuration, but the service account must be able to write the specific metadata AMINA uses. Avoid broad administrator credentials for production.</w:t>
      </w:r>
    </w:p>
    <w:p>
      <w:pPr>
        <w:pStyle w:val="Heading2"/>
      </w:pPr>
      <w:r>
        <w:t>Aggregate /api/dataValueSets</w:t>
      </w:r>
    </w:p>
    <w:p>
      <w:pPr>
        <w:pStyle w:val="ListBullet"/>
        <w:spacing w:after="40" w:line="259" w:lineRule="auto"/>
      </w:pPr>
      <w:r>
        <w:rPr>
          <w:rFonts w:ascii="Aptos" w:hAnsi="Aptos"/>
          <w:b w:val="0"/>
          <w:color w:val="1F2937"/>
          <w:sz w:val="19"/>
        </w:rPr>
        <w:t>API login or API token access.</w:t>
      </w:r>
    </w:p>
    <w:p>
      <w:pPr>
        <w:pStyle w:val="ListBullet"/>
        <w:spacing w:after="40" w:line="259" w:lineRule="auto"/>
      </w:pPr>
      <w:r>
        <w:rPr>
          <w:rFonts w:ascii="Aptos" w:hAnsi="Aptos"/>
          <w:b w:val="0"/>
          <w:color w:val="1F2937"/>
          <w:sz w:val="19"/>
        </w:rPr>
        <w:t>Capture/write access for the target organisation units.</w:t>
      </w:r>
    </w:p>
    <w:p>
      <w:pPr>
        <w:pStyle w:val="ListBullet"/>
        <w:spacing w:after="40" w:line="259" w:lineRule="auto"/>
      </w:pPr>
      <w:r>
        <w:rPr>
          <w:rFonts w:ascii="Aptos" w:hAnsi="Aptos"/>
          <w:b w:val="0"/>
          <w:color w:val="1F2937"/>
          <w:sz w:val="19"/>
        </w:rPr>
        <w:t>Access to the target dataset and mapped data elements.</w:t>
      </w:r>
    </w:p>
    <w:p>
      <w:pPr>
        <w:pStyle w:val="ListBullet"/>
        <w:spacing w:after="40" w:line="259" w:lineRule="auto"/>
      </w:pPr>
      <w:r>
        <w:rPr>
          <w:rFonts w:ascii="Aptos" w:hAnsi="Aptos"/>
          <w:b w:val="0"/>
          <w:color w:val="1F2937"/>
          <w:sz w:val="19"/>
        </w:rPr>
        <w:t>Access to category option combos used by those data elements, if applicable.</w:t>
      </w:r>
    </w:p>
    <w:p>
      <w:pPr>
        <w:pStyle w:val="ListBullet"/>
        <w:spacing w:after="40" w:line="259" w:lineRule="auto"/>
      </w:pPr>
      <w:r>
        <w:rPr>
          <w:rFonts w:ascii="Aptos" w:hAnsi="Aptos"/>
          <w:b w:val="0"/>
          <w:color w:val="1F2937"/>
          <w:sz w:val="19"/>
        </w:rPr>
        <w:t>Dataset assigned to the target organisation units.</w:t>
      </w:r>
    </w:p>
    <w:p>
      <w:pPr>
        <w:pStyle w:val="ListBullet"/>
        <w:spacing w:after="40" w:line="259" w:lineRule="auto"/>
      </w:pPr>
      <w:r>
        <w:rPr>
          <w:rFonts w:ascii="Aptos" w:hAnsi="Aptos"/>
          <w:b w:val="0"/>
          <w:color w:val="1F2937"/>
          <w:sz w:val="19"/>
        </w:rPr>
        <w:t>Reporting period open for data entry.</w:t>
      </w:r>
    </w:p>
    <w:p>
      <w:pPr>
        <w:pStyle w:val="ListBullet"/>
        <w:spacing w:after="40" w:line="259" w:lineRule="auto"/>
      </w:pPr>
      <w:r>
        <w:rPr>
          <w:rFonts w:ascii="Aptos" w:hAnsi="Aptos"/>
          <w:b w:val="0"/>
          <w:color w:val="1F2937"/>
          <w:sz w:val="19"/>
        </w:rPr>
        <w:t>High/superuser authority only if using force=true; avoid force in production.</w:t>
      </w:r>
    </w:p>
    <w:p>
      <w:pPr>
        <w:pStyle w:val="Heading2"/>
      </w:pPr>
      <w:r>
        <w:t>Tracker TEI/enrollment/event push</w:t>
      </w:r>
    </w:p>
    <w:p>
      <w:pPr>
        <w:pStyle w:val="ListBullet"/>
        <w:spacing w:after="40" w:line="259" w:lineRule="auto"/>
      </w:pPr>
      <w:r>
        <w:rPr>
          <w:rFonts w:ascii="Aptos" w:hAnsi="Aptos"/>
          <w:b w:val="0"/>
          <w:color w:val="1F2937"/>
          <w:sz w:val="19"/>
        </w:rPr>
        <w:t>Access to the target Tracker program.</w:t>
      </w:r>
    </w:p>
    <w:p>
      <w:pPr>
        <w:pStyle w:val="ListBullet"/>
        <w:spacing w:after="40" w:line="259" w:lineRule="auto"/>
      </w:pPr>
      <w:r>
        <w:rPr>
          <w:rFonts w:ascii="Aptos" w:hAnsi="Aptos"/>
          <w:b w:val="0"/>
          <w:color w:val="1F2937"/>
          <w:sz w:val="19"/>
        </w:rPr>
        <w:t>Capture/search scope for the target organisation units.</w:t>
      </w:r>
    </w:p>
    <w:p>
      <w:pPr>
        <w:pStyle w:val="ListBullet"/>
        <w:spacing w:after="40" w:line="259" w:lineRule="auto"/>
      </w:pPr>
      <w:r>
        <w:rPr>
          <w:rFonts w:ascii="Aptos" w:hAnsi="Aptos"/>
          <w:b w:val="0"/>
          <w:color w:val="1F2937"/>
          <w:sz w:val="19"/>
        </w:rPr>
        <w:t>Access to the tracked entity type, mapped tracked entity attributes, program stage, and mapped event data elements.</w:t>
      </w:r>
    </w:p>
    <w:p>
      <w:pPr>
        <w:pStyle w:val="ListBullet"/>
        <w:spacing w:after="40" w:line="259" w:lineRule="auto"/>
      </w:pPr>
      <w:r>
        <w:rPr>
          <w:rFonts w:ascii="Aptos" w:hAnsi="Aptos"/>
          <w:b w:val="0"/>
          <w:color w:val="1F2937"/>
          <w:sz w:val="19"/>
        </w:rPr>
        <w:t>Permission to create tracked entities, enrollments, and events.</w:t>
      </w:r>
    </w:p>
    <w:p>
      <w:pPr>
        <w:pStyle w:val="ListBullet"/>
        <w:spacing w:after="40" w:line="259" w:lineRule="auto"/>
      </w:pPr>
      <w:r>
        <w:rPr>
          <w:rFonts w:ascii="Aptos" w:hAnsi="Aptos"/>
          <w:b w:val="0"/>
          <w:color w:val="1F2937"/>
          <w:sz w:val="19"/>
        </w:rPr>
        <w:t>Correct Tracker ownership and sharing configuration for the program.</w:t>
      </w:r>
    </w:p>
    <w:p>
      <w:pPr>
        <w:pStyle w:val="Heading2"/>
      </w:pPr>
      <w:r>
        <w:t>Referral pull</w:t>
      </w:r>
    </w:p>
    <w:p>
      <w:pPr>
        <w:pStyle w:val="ListBullet"/>
        <w:spacing w:after="40" w:line="259" w:lineRule="auto"/>
      </w:pPr>
      <w:r>
        <w:rPr>
          <w:rFonts w:ascii="Aptos" w:hAnsi="Aptos"/>
          <w:b w:val="0"/>
          <w:color w:val="1F2937"/>
          <w:sz w:val="19"/>
        </w:rPr>
        <w:t>Read/search access to Tracker events in the configured program and organisation-unit scope.</w:t>
      </w:r>
    </w:p>
    <w:p>
      <w:pPr>
        <w:pStyle w:val="ListBullet"/>
        <w:spacing w:after="40" w:line="259" w:lineRule="auto"/>
      </w:pPr>
      <w:r>
        <w:rPr>
          <w:rFonts w:ascii="Aptos" w:hAnsi="Aptos"/>
          <w:b w:val="0"/>
          <w:color w:val="1F2937"/>
          <w:sz w:val="19"/>
        </w:rPr>
        <w:t>Access to the event data elements needed for referral summary extraction.</w:t>
      </w:r>
    </w:p>
    <w:p>
      <w:pPr>
        <w:pStyle w:val="Heading1"/>
      </w:pPr>
      <w:r>
        <w:t>7. Operational Runbook</w:t>
      </w:r>
    </w:p>
    <w:p>
      <w:pPr>
        <w:pStyle w:val="Heading2"/>
      </w:pPr>
      <w:r>
        <w:t>Recommended MVP sequence</w:t>
      </w:r>
    </w:p>
    <w:p>
      <w:pPr>
        <w:pStyle w:val="ListNumber"/>
        <w:spacing w:after="40" w:line="259" w:lineRule="auto"/>
      </w:pPr>
      <w:r>
        <w:rPr>
          <w:rFonts w:ascii="Aptos" w:hAnsi="Aptos"/>
          <w:b w:val="0"/>
          <w:color w:val="1F2937"/>
          <w:sz w:val="19"/>
        </w:rPr>
        <w:t>Confirm aggregate metadata with MoH: dataset UID, data element UIDs, org unit UIDs, and open reporting periods.</w:t>
      </w:r>
    </w:p>
    <w:p>
      <w:pPr>
        <w:pStyle w:val="ListNumber"/>
        <w:spacing w:after="40" w:line="259" w:lineRule="auto"/>
      </w:pPr>
      <w:r>
        <w:rPr>
          <w:rFonts w:ascii="Aptos" w:hAnsi="Aptos"/>
          <w:b w:val="0"/>
          <w:color w:val="1F2937"/>
          <w:sz w:val="19"/>
        </w:rPr>
        <w:t>Configure DHIS2_BASE_URL, credentials/API token, DHIS2_DATASET_ID, DHIS2_ORG_UNIT_MAP, and DHIS2_DATA_ELEMENT_MAP.</w:t>
      </w:r>
    </w:p>
    <w:p>
      <w:pPr>
        <w:pStyle w:val="ListNumber"/>
        <w:spacing w:after="40" w:line="259" w:lineRule="auto"/>
      </w:pPr>
      <w:r>
        <w:rPr>
          <w:rFonts w:ascii="Aptos" w:hAnsi="Aptos"/>
          <w:b w:val="0"/>
          <w:color w:val="1F2937"/>
          <w:sz w:val="19"/>
        </w:rPr>
        <w:t>Run /api/v1/dhis2/sync/dry-run for a recent day and inspect value_count plus warnings.</w:t>
      </w:r>
    </w:p>
    <w:p>
      <w:pPr>
        <w:pStyle w:val="ListNumber"/>
        <w:spacing w:after="40" w:line="259" w:lineRule="auto"/>
      </w:pPr>
      <w:r>
        <w:rPr>
          <w:rFonts w:ascii="Aptos" w:hAnsi="Aptos"/>
          <w:b w:val="0"/>
          <w:color w:val="1F2937"/>
          <w:sz w:val="19"/>
        </w:rPr>
        <w:t>Run one manual aggregate push to a staging or sandbox org unit.</w:t>
      </w:r>
    </w:p>
    <w:p>
      <w:pPr>
        <w:pStyle w:val="ListNumber"/>
        <w:spacing w:after="40" w:line="259" w:lineRule="auto"/>
      </w:pPr>
      <w:r>
        <w:rPr>
          <w:rFonts w:ascii="Aptos" w:hAnsi="Aptos"/>
          <w:b w:val="0"/>
          <w:color w:val="1F2937"/>
          <w:sz w:val="19"/>
        </w:rPr>
        <w:t>Verify the import summary in DHIS2 and the AMINA DHIS2AuditVertex audit record.</w:t>
      </w:r>
    </w:p>
    <w:p>
      <w:pPr>
        <w:pStyle w:val="ListNumber"/>
        <w:spacing w:after="40" w:line="259" w:lineRule="auto"/>
      </w:pPr>
      <w:r>
        <w:rPr>
          <w:rFonts w:ascii="Aptos" w:hAnsi="Aptos"/>
          <w:b w:val="0"/>
          <w:color w:val="1F2937"/>
          <w:sz w:val="19"/>
        </w:rPr>
        <w:t>Enable daily 02:00 UTC aggregate schedule for production.</w:t>
      </w:r>
    </w:p>
    <w:p>
      <w:pPr>
        <w:pStyle w:val="ListNumber"/>
        <w:spacing w:after="40" w:line="259" w:lineRule="auto"/>
      </w:pPr>
      <w:r>
        <w:rPr>
          <w:rFonts w:ascii="Aptos" w:hAnsi="Aptos"/>
          <w:b w:val="0"/>
          <w:color w:val="1F2937"/>
          <w:sz w:val="19"/>
        </w:rPr>
        <w:t>Consider Tracker only after consent and metadata mapping are confirmed.</w:t>
      </w:r>
    </w:p>
    <w:p>
      <w:pPr>
        <w:pStyle w:val="Heading2"/>
      </w:pPr>
      <w:r>
        <w:t>Useful AMINA admin endpoints</w:t>
      </w:r>
    </w:p>
    <w:p>
      <w:pPr>
        <w:pStyle w:val="ListBullet"/>
        <w:spacing w:after="40" w:line="259" w:lineRule="auto"/>
      </w:pPr>
      <w:r>
        <w:rPr>
          <w:rFonts w:ascii="Aptos" w:hAnsi="Aptos"/>
          <w:b w:val="0"/>
          <w:color w:val="1F2937"/>
          <w:sz w:val="19"/>
        </w:rPr>
        <w:t>GET /api/v1/dhis2/config - redacted DHIS2 configuration.</w:t>
      </w:r>
    </w:p>
    <w:p>
      <w:pPr>
        <w:pStyle w:val="ListBullet"/>
        <w:spacing w:after="40" w:line="259" w:lineRule="auto"/>
      </w:pPr>
      <w:r>
        <w:rPr>
          <w:rFonts w:ascii="Aptos" w:hAnsi="Aptos"/>
          <w:b w:val="0"/>
          <w:color w:val="1F2937"/>
          <w:sz w:val="19"/>
        </w:rPr>
        <w:t>GET /api/v1/dhis2/metrics/today - live aggregate preview.</w:t>
      </w:r>
    </w:p>
    <w:p>
      <w:pPr>
        <w:pStyle w:val="ListBullet"/>
        <w:spacing w:after="40" w:line="259" w:lineRule="auto"/>
      </w:pPr>
      <w:r>
        <w:rPr>
          <w:rFonts w:ascii="Aptos" w:hAnsi="Aptos"/>
          <w:b w:val="0"/>
          <w:color w:val="1F2937"/>
          <w:sz w:val="19"/>
        </w:rPr>
        <w:t>POST /api/v1/dhis2/sync/dry-run - build aggregate payload without pushing.</w:t>
      </w:r>
    </w:p>
    <w:p>
      <w:pPr>
        <w:pStyle w:val="ListBullet"/>
        <w:spacing w:after="40" w:line="259" w:lineRule="auto"/>
      </w:pPr>
      <w:r>
        <w:rPr>
          <w:rFonts w:ascii="Aptos" w:hAnsi="Aptos"/>
          <w:b w:val="0"/>
          <w:color w:val="1F2937"/>
          <w:sz w:val="19"/>
        </w:rPr>
        <w:t>POST /api/v1/dhis2/sync/manual - push aggregate payload.</w:t>
      </w:r>
    </w:p>
    <w:p>
      <w:pPr>
        <w:pStyle w:val="ListBullet"/>
        <w:spacing w:after="40" w:line="259" w:lineRule="auto"/>
      </w:pPr>
      <w:r>
        <w:rPr>
          <w:rFonts w:ascii="Aptos" w:hAnsi="Aptos"/>
          <w:b w:val="0"/>
          <w:color w:val="1F2937"/>
          <w:sz w:val="19"/>
        </w:rPr>
        <w:t>GET /api/v1/dhis2/tracker/config - redacted Tracker configuration.</w:t>
      </w:r>
    </w:p>
    <w:p>
      <w:pPr>
        <w:pStyle w:val="ListBullet"/>
        <w:spacing w:after="40" w:line="259" w:lineRule="auto"/>
      </w:pPr>
      <w:r>
        <w:rPr>
          <w:rFonts w:ascii="Aptos" w:hAnsi="Aptos"/>
          <w:b w:val="0"/>
          <w:color w:val="1F2937"/>
          <w:sz w:val="19"/>
        </w:rPr>
        <w:t>POST /api/v1/dhis2/tracker/dry-run - build TEI/enrollment/events without pushing.</w:t>
      </w:r>
    </w:p>
    <w:p>
      <w:pPr>
        <w:pStyle w:val="ListBullet"/>
        <w:spacing w:after="40" w:line="259" w:lineRule="auto"/>
      </w:pPr>
      <w:r>
        <w:rPr>
          <w:rFonts w:ascii="Aptos" w:hAnsi="Aptos"/>
          <w:b w:val="0"/>
          <w:color w:val="1F2937"/>
          <w:sz w:val="19"/>
        </w:rPr>
        <w:t>POST /api/v1/dhis2/tracker/push - push one consented patient.</w:t>
      </w:r>
    </w:p>
    <w:p>
      <w:pPr>
        <w:pStyle w:val="ListBullet"/>
        <w:spacing w:after="40" w:line="259" w:lineRule="auto"/>
      </w:pPr>
      <w:r>
        <w:rPr>
          <w:rFonts w:ascii="Aptos" w:hAnsi="Aptos"/>
          <w:b w:val="0"/>
          <w:color w:val="1F2937"/>
          <w:sz w:val="19"/>
        </w:rPr>
        <w:t>POST /api/v1/dhis2/pull/manual - pull DHIS2 events/referrals.</w:t>
      </w:r>
    </w:p>
    <w:p>
      <w:pPr>
        <w:pStyle w:val="Heading1"/>
      </w:pPr>
      <w:r>
        <w:t>8. Risk Assessment</w:t>
      </w:r>
    </w:p>
    <w:p>
      <w:pPr>
        <w:spacing w:after="60" w:line="259" w:lineRule="auto"/>
      </w:pPr>
      <w:r>
        <w:rPr>
          <w:rFonts w:ascii="Aptos" w:hAnsi="Aptos"/>
          <w:b/>
          <w:color w:val="B45309"/>
          <w:sz w:val="20"/>
        </w:rPr>
        <w:t>Wrong metadata UID mapping:</w:t>
      </w:r>
      <w:r>
        <w:rPr>
          <w:rFonts w:ascii="Aptos" w:hAnsi="Aptos"/>
          <w:b w:val="0"/>
          <w:color w:val="1F2937"/>
          <w:sz w:val="20"/>
        </w:rPr>
        <w:t xml:space="preserve"> High risk. Always dry-run and have MoH validate orgUnit, dataset, data element, program, stage, and attribute maps.</w:t>
      </w:r>
    </w:p>
    <w:p>
      <w:pPr>
        <w:spacing w:after="60" w:line="259" w:lineRule="auto"/>
      </w:pPr>
      <w:r>
        <w:rPr>
          <w:rFonts w:ascii="Aptos" w:hAnsi="Aptos"/>
          <w:b/>
          <w:color w:val="B45309"/>
          <w:sz w:val="20"/>
        </w:rPr>
        <w:t>Patient-level data without consent:</w:t>
      </w:r>
      <w:r>
        <w:rPr>
          <w:rFonts w:ascii="Aptos" w:hAnsi="Aptos"/>
          <w:b w:val="0"/>
          <w:color w:val="1F2937"/>
          <w:sz w:val="20"/>
        </w:rPr>
        <w:t xml:space="preserve"> Critical risk. Keep Tracker disabled by default and enforce consent/audit before any production use.</w:t>
      </w:r>
    </w:p>
    <w:p>
      <w:pPr>
        <w:spacing w:after="60" w:line="259" w:lineRule="auto"/>
      </w:pPr>
      <w:r>
        <w:rPr>
          <w:rFonts w:ascii="Aptos" w:hAnsi="Aptos"/>
          <w:b/>
          <w:color w:val="B45309"/>
          <w:sz w:val="20"/>
        </w:rPr>
        <w:t>Overpowered service account:</w:t>
      </w:r>
      <w:r>
        <w:rPr>
          <w:rFonts w:ascii="Aptos" w:hAnsi="Aptos"/>
          <w:b w:val="0"/>
          <w:color w:val="1F2937"/>
          <w:sz w:val="20"/>
        </w:rPr>
        <w:t xml:space="preserve"> High risk. Use a dedicated scoped account or API token, not admin/district credentials.</w:t>
      </w:r>
    </w:p>
    <w:p>
      <w:pPr>
        <w:spacing w:after="60" w:line="259" w:lineRule="auto"/>
      </w:pPr>
      <w:r>
        <w:rPr>
          <w:rFonts w:ascii="Aptos" w:hAnsi="Aptos"/>
          <w:b/>
          <w:color w:val="B45309"/>
          <w:sz w:val="20"/>
        </w:rPr>
        <w:t>Locked reporting periods:</w:t>
      </w:r>
      <w:r>
        <w:rPr>
          <w:rFonts w:ascii="Aptos" w:hAnsi="Aptos"/>
          <w:b w:val="0"/>
          <w:color w:val="1F2937"/>
          <w:sz w:val="20"/>
        </w:rPr>
        <w:t xml:space="preserve"> Medium risk. Use open periods and avoid force=true except for controlled sandbox demos.</w:t>
      </w:r>
    </w:p>
    <w:p>
      <w:pPr>
        <w:spacing w:after="60" w:line="259" w:lineRule="auto"/>
      </w:pPr>
      <w:r>
        <w:rPr>
          <w:rFonts w:ascii="Aptos" w:hAnsi="Aptos"/>
          <w:b/>
          <w:color w:val="B45309"/>
          <w:sz w:val="20"/>
        </w:rPr>
        <w:t>Tracker endpoint compatibility:</w:t>
      </w:r>
      <w:r>
        <w:rPr>
          <w:rFonts w:ascii="Aptos" w:hAnsi="Aptos"/>
          <w:b w:val="0"/>
          <w:color w:val="1F2937"/>
          <w:sz w:val="20"/>
        </w:rPr>
        <w:t xml:space="preserve"> Medium risk. Current code uses older Tracker endpoints. A production hardening phase should add /api/tracker compatibility if the target DHIS2 requires it.</w:t>
      </w:r>
    </w:p>
    <w:p>
      <w:pPr>
        <w:spacing w:after="60" w:line="259" w:lineRule="auto"/>
      </w:pPr>
      <w:r>
        <w:rPr>
          <w:rFonts w:ascii="Aptos" w:hAnsi="Aptos"/>
          <w:b/>
          <w:color w:val="B45309"/>
          <w:sz w:val="20"/>
        </w:rPr>
        <w:t>Unlinked referrals:</w:t>
      </w:r>
      <w:r>
        <w:rPr>
          <w:rFonts w:ascii="Aptos" w:hAnsi="Aptos"/>
          <w:b w:val="0"/>
          <w:color w:val="1F2937"/>
          <w:sz w:val="20"/>
        </w:rPr>
        <w:t xml:space="preserve"> Medium risk. Keep an admin reconciliation queue for DHIS2 events that cannot be mapped to an AMINA patient.</w:t>
      </w:r>
    </w:p>
    <w:p>
      <w:pPr>
        <w:pStyle w:val="Heading1"/>
      </w:pPr>
      <w:r>
        <w:t>9. Recommendations</w:t>
      </w:r>
    </w:p>
    <w:p>
      <w:pPr>
        <w:spacing w:after="120" w:line="264" w:lineRule="auto"/>
      </w:pPr>
      <w:r>
        <w:rPr>
          <w:rFonts w:ascii="Aptos" w:hAnsi="Aptos"/>
          <w:b/>
          <w:color w:val="2F855A"/>
          <w:sz w:val="20"/>
        </w:rPr>
        <w:t>Primary recommendation: use aggregate sync first. It is privacy-safe, scheduled, auditable, and aligned with public-health reporting. Treat Tracker as a second phase after consent and metadata are finalized.</w:t>
      </w:r>
    </w:p>
    <w:p>
      <w:pPr>
        <w:pStyle w:val="ListBullet"/>
        <w:spacing w:after="40" w:line="259" w:lineRule="auto"/>
      </w:pPr>
      <w:r>
        <w:rPr>
          <w:rFonts w:ascii="Aptos" w:hAnsi="Aptos"/>
          <w:b w:val="0"/>
          <w:color w:val="1F2937"/>
          <w:sz w:val="19"/>
        </w:rPr>
        <w:t>Use API token authentication if the DHIS2 deployment supports it; otherwise use a dedicated Basic Auth service account.</w:t>
      </w:r>
    </w:p>
    <w:p>
      <w:pPr>
        <w:pStyle w:val="ListBullet"/>
        <w:spacing w:after="40" w:line="259" w:lineRule="auto"/>
      </w:pPr>
      <w:r>
        <w:rPr>
          <w:rFonts w:ascii="Aptos" w:hAnsi="Aptos"/>
          <w:b w:val="0"/>
          <w:color w:val="1F2937"/>
          <w:sz w:val="19"/>
        </w:rPr>
        <w:t>Ask MoH for a dedicated AMINA dataset and NCD data elements rather than relying on public sandbox mappings.</w:t>
      </w:r>
    </w:p>
    <w:p>
      <w:pPr>
        <w:pStyle w:val="ListBullet"/>
        <w:spacing w:after="40" w:line="259" w:lineRule="auto"/>
      </w:pPr>
      <w:r>
        <w:rPr>
          <w:rFonts w:ascii="Aptos" w:hAnsi="Aptos"/>
          <w:b w:val="0"/>
          <w:color w:val="1F2937"/>
          <w:sz w:val="19"/>
        </w:rPr>
        <w:t>Do not use public sandbox mapping semantics for production. The current demo override intentionally maps AMINA metrics to unrelated demo data elements.</w:t>
      </w:r>
    </w:p>
    <w:p>
      <w:pPr>
        <w:pStyle w:val="ListBullet"/>
        <w:spacing w:after="40" w:line="259" w:lineRule="auto"/>
      </w:pPr>
      <w:r>
        <w:rPr>
          <w:rFonts w:ascii="Aptos" w:hAnsi="Aptos"/>
          <w:b w:val="0"/>
          <w:color w:val="1F2937"/>
          <w:sz w:val="19"/>
        </w:rPr>
        <w:t>Do not enable Tracker until patient consent, data sharing policy, TEI attributes, program stage, and event data elements are reviewed.</w:t>
      </w:r>
    </w:p>
    <w:p>
      <w:pPr>
        <w:pStyle w:val="ListBullet"/>
        <w:spacing w:after="40" w:line="259" w:lineRule="auto"/>
      </w:pPr>
      <w:r>
        <w:rPr>
          <w:rFonts w:ascii="Aptos" w:hAnsi="Aptos"/>
          <w:b w:val="0"/>
          <w:color w:val="1F2937"/>
          <w:sz w:val="19"/>
        </w:rPr>
        <w:t>Plan a future Tracker compatibility layer for the newer /api/tracker endpoint used by current DHIS2 versions.</w:t>
      </w:r>
    </w:p>
    <w:p>
      <w:pPr>
        <w:pStyle w:val="Heading1"/>
      </w:pPr>
      <w:r>
        <w:t>10. Reference Notes</w:t>
      </w:r>
    </w:p>
    <w:p>
      <w:pPr>
        <w:pStyle w:val="ListBullet"/>
        <w:spacing w:after="40" w:line="259" w:lineRule="auto"/>
      </w:pPr>
      <w:r>
        <w:rPr>
          <w:rFonts w:ascii="Aptos" w:hAnsi="Aptos"/>
          <w:b w:val="0"/>
          <w:color w:val="1F2937"/>
          <w:sz w:val="19"/>
        </w:rPr>
        <w:t>DHIS2 aggregate data import uses /api/dataValueSets with dataElement, period, orgUnit, and value fields.</w:t>
      </w:r>
    </w:p>
    <w:p>
      <w:pPr>
        <w:pStyle w:val="ListBullet"/>
        <w:spacing w:after="40" w:line="259" w:lineRule="auto"/>
      </w:pPr>
      <w:r>
        <w:rPr>
          <w:rFonts w:ascii="Aptos" w:hAnsi="Aptos"/>
          <w:b w:val="0"/>
          <w:color w:val="1F2937"/>
          <w:sz w:val="19"/>
        </w:rPr>
        <w:t>DHIS2 force import can bypass locks such as closed periods, but requires elevated authority and should not be normal production behavior.</w:t>
      </w:r>
    </w:p>
    <w:p>
      <w:pPr>
        <w:pStyle w:val="ListBullet"/>
        <w:spacing w:after="40" w:line="259" w:lineRule="auto"/>
      </w:pPr>
      <w:r>
        <w:rPr>
          <w:rFonts w:ascii="Aptos" w:hAnsi="Aptos"/>
          <w:b w:val="0"/>
          <w:color w:val="1F2937"/>
          <w:sz w:val="19"/>
        </w:rPr>
        <w:t>DHIS2 Tracker data is governed by program access level, org-unit capture/search scope, program ownership, and metadata sharing rules.</w:t>
      </w:r>
    </w:p>
    <w:p>
      <w:pPr>
        <w:pStyle w:val="ListBullet"/>
        <w:spacing w:after="40" w:line="259" w:lineRule="auto"/>
      </w:pPr>
      <w:r>
        <w:rPr>
          <w:rFonts w:ascii="Aptos" w:hAnsi="Aptos"/>
          <w:b w:val="0"/>
          <w:color w:val="1F2937"/>
          <w:sz w:val="19"/>
        </w:rPr>
        <w:t>AMINA local docs: docs/DHIS2_INTEGRATION.md.</w:t>
      </w:r>
    </w:p>
    <w:p>
      <w:pPr>
        <w:pStyle w:val="ListBullet"/>
        <w:spacing w:after="40" w:line="259" w:lineRule="auto"/>
      </w:pPr>
      <w:r>
        <w:rPr>
          <w:rFonts w:ascii="Aptos" w:hAnsi="Aptos"/>
          <w:b w:val="0"/>
          <w:color w:val="1F2937"/>
          <w:sz w:val="19"/>
        </w:rPr>
        <w:t>Official references: DHIS2 data value import documentation and DHIS2 Tracker API documentation.</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4B5563"/>
        <w:sz w:val="16"/>
      </w:rPr>
      <w:t>AMINA Care - DHIS2 Integration and Permissions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855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0"/>
    </w:rPr>
  </w:style>
  <w:style w:type="paragraph" w:styleId="ListBullet2">
    <w:name w:val="List Bullet 2"/>
    <w:basedOn w:val="Normal"/>
    <w:uiPriority w:val="99"/>
    <w:unhideWhenUsed/>
    <w:rsid w:val="00326F90"/>
    <w:pPr>
      <w:numPr>
        <w:numId w:val="2"/>
      </w:numPr>
      <w:contextualSpacing/>
    </w:pPr>
    <w:rPr>
      <w:rFonts w:ascii="Aptos" w:hAnsi="Aptos" w:eastAsia="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