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398f5849ce9c7363d3a47f66c60523e5ba4c9b3"/>
    <w:p>
      <w:pPr>
        <w:pStyle w:val="Heading1"/>
      </w:pPr>
      <w:r>
        <w:t xml:space="preserve">🗄️ Base de datos permanente para el RAG (auto-aprendizaje 100% persistente)</w:t>
      </w:r>
    </w:p>
    <w:bookmarkStart w:id="20" w:name="por-qué"/>
    <w:p>
      <w:pPr>
        <w:pStyle w:val="Heading2"/>
      </w:pPr>
      <w:r>
        <w:t xml:space="preserve">¿Por qué?</w:t>
      </w:r>
    </w:p>
    <w:p>
      <w:pPr>
        <w:pStyle w:val="FirstParagraph"/>
      </w:pPr>
      <w:r>
        <w:t xml:space="preserve">El filesystem de Render (plan free) es</w:t>
      </w:r>
      <w:r>
        <w:t xml:space="preserve"> </w:t>
      </w:r>
      <w:r>
        <w:rPr>
          <w:bCs/>
          <w:b/>
        </w:rPr>
        <w:t xml:space="preserve">efímero</w:t>
      </w:r>
      <w:r>
        <w:t xml:space="preserve">: cada vez que el servicio se</w:t>
      </w:r>
      <w:r>
        <w:t xml:space="preserve"> </w:t>
      </w:r>
      <w:r>
        <w:t xml:space="preserve">reinicia o se redespliega, se borran los archivos que no están en git. Eso</w:t>
      </w:r>
      <w:r>
        <w:t xml:space="preserve"> </w:t>
      </w:r>
      <w:r>
        <w:t xml:space="preserve">significa que los ejemplos que el bot</w:t>
      </w:r>
      <w:r>
        <w:t xml:space="preserve"> </w:t>
      </w:r>
      <w:r>
        <w:t xml:space="preserve">“</w:t>
      </w:r>
      <w:r>
        <w:t xml:space="preserve">aprende</w:t>
      </w:r>
      <w:r>
        <w:t xml:space="preserve">”</w:t>
      </w:r>
      <w:r>
        <w:t xml:space="preserve"> </w:t>
      </w:r>
      <w:r>
        <w:t xml:space="preserve">automáticamente cada semana</w:t>
      </w:r>
      <w:r>
        <w:t xml:space="preserve"> </w:t>
      </w:r>
      <w:r>
        <w:t xml:space="preserve">(guardados en</w:t>
      </w:r>
      <w:r>
        <w:t xml:space="preserve"> </w:t>
      </w:r>
      <w:r>
        <w:rPr>
          <w:rStyle w:val="VerbatimChar"/>
        </w:rPr>
        <w:t xml:space="preserve">knowledge_base.json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embeddings_cache.json</w:t>
      </w:r>
      <w:r>
        <w:t xml:space="preserve">)</w:t>
      </w:r>
      <w:r>
        <w:t xml:space="preserve"> </w:t>
      </w:r>
      <w:r>
        <w:rPr>
          <w:bCs/>
          <w:b/>
        </w:rPr>
        <w:t xml:space="preserve">se perderían</w:t>
      </w:r>
      <w:r>
        <w:t xml:space="preserve"> </w:t>
      </w:r>
      <w:r>
        <w:t xml:space="preserve">en el siguiente deploy.</w:t>
      </w:r>
    </w:p>
    <w:p>
      <w:pPr>
        <w:pStyle w:val="BodyText"/>
      </w:pPr>
      <w:r>
        <w:t xml:space="preserve">La solución es guardar los ejemplos</w:t>
      </w:r>
      <w:r>
        <w:t xml:space="preserve"> </w:t>
      </w:r>
      <w:r>
        <w:rPr>
          <w:bCs/>
          <w:b/>
        </w:rPr>
        <w:t xml:space="preserve">y sus embeddings</w:t>
      </w:r>
      <w:r>
        <w:t xml:space="preserve"> </w:t>
      </w:r>
      <w:r>
        <w:t xml:space="preserve">en una base de datos</w:t>
      </w:r>
      <w:r>
        <w:t xml:space="preserve"> </w:t>
      </w:r>
      <w:r>
        <w:t xml:space="preserve">Postgres externa. Así el aprendizaje sobrevive reinicios, redeploys y caídas.</w:t>
      </w:r>
    </w:p>
    <w:p>
      <w:pPr>
        <w:pStyle w:val="BlockText"/>
      </w:pPr>
      <w:r>
        <w:t xml:space="preserve">✅ Ya está implementado en el código. Solo necesitas</w:t>
      </w:r>
      <w:r>
        <w:t xml:space="preserve"> </w:t>
      </w:r>
      <w:r>
        <w:rPr>
          <w:bCs/>
          <w:b/>
        </w:rPr>
        <w:t xml:space="preserve">crear la BD</w:t>
      </w:r>
      <w:r>
        <w:t xml:space="preserve"> </w:t>
      </w:r>
      <w:r>
        <w:t xml:space="preserve">y pegar</w:t>
      </w:r>
      <w:r>
        <w:t xml:space="preserve"> </w:t>
      </w:r>
      <w:r>
        <w:t xml:space="preserve">la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en Render. Si no la configuras, el sistema sigue funcionando</w:t>
      </w:r>
      <w:r>
        <w:t xml:space="preserve"> </w:t>
      </w:r>
      <w:r>
        <w:t xml:space="preserve">en modo JSON local (como antes), sin romperse.</w:t>
      </w:r>
    </w:p>
    <w:p>
      <w:r>
        <w:pict>
          <v:rect style="width:0;height:1.5pt" o:hralign="center" o:hrstd="t" o:hr="t"/>
        </w:pict>
      </w:r>
    </w:p>
    <w:bookmarkEnd w:id="20"/>
    <w:bookmarkStart w:id="21" w:name="cómo-funciona-resumen-técnico"/>
    <w:p>
      <w:pPr>
        <w:pStyle w:val="Heading2"/>
      </w:pPr>
      <w:r>
        <w:t xml:space="preserve">Cómo funciona (resumen técnico)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DATABASE_URL</w:t>
      </w:r>
      <w:r>
        <w:rPr>
          <w:bCs/>
          <w:b/>
        </w:rPr>
        <w:t xml:space="preserve"> </w:t>
      </w:r>
      <w:r>
        <w:rPr>
          <w:bCs/>
          <w:b/>
        </w:rPr>
        <w:t xml:space="preserve">configurada</w:t>
      </w:r>
      <w:r>
        <w:t xml:space="preserve"> </w:t>
      </w:r>
      <w:r>
        <w:t xml:space="preserve">→ modo</w:t>
      </w:r>
      <w:r>
        <w:t xml:space="preserve"> </w:t>
      </w:r>
      <w:r>
        <w:rPr>
          <w:bCs/>
          <w:b/>
        </w:rPr>
        <w:t xml:space="preserve">Postgres</w:t>
      </w:r>
      <w:r>
        <w:t xml:space="preserve"> </w:t>
      </w:r>
      <w:r>
        <w:t xml:space="preserve">(permanente):</w:t>
      </w:r>
    </w:p>
    <w:p>
      <w:pPr>
        <w:numPr>
          <w:ilvl w:val="1"/>
          <w:numId w:val="1002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rag_examples</w:t>
      </w:r>
      <w:r>
        <w:t xml:space="preserve"> </w:t>
      </w:r>
      <w:r>
        <w:t xml:space="preserve">con los ejemplos + embeddings (columna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JSONB).</w:t>
      </w:r>
    </w:p>
    <w:p>
      <w:pPr>
        <w:numPr>
          <w:ilvl w:val="1"/>
          <w:numId w:val="1002"/>
        </w:numPr>
        <w:pStyle w:val="Compact"/>
      </w:pPr>
      <w:r>
        <w:t xml:space="preserve">En el</w:t>
      </w:r>
      <w:r>
        <w:t xml:space="preserve"> </w:t>
      </w:r>
      <w:r>
        <w:rPr>
          <w:bCs/>
          <w:b/>
        </w:rPr>
        <w:t xml:space="preserve">primer arranque</w:t>
      </w:r>
      <w:r>
        <w:t xml:space="preserve"> </w:t>
      </w:r>
      <w:r>
        <w:t xml:space="preserve">con BD vacía, se siembra automáticamente desde</w:t>
      </w:r>
      <w:r>
        <w:t xml:space="preserve"> </w:t>
      </w:r>
      <w:r>
        <w:rPr>
          <w:rStyle w:val="VerbatimChar"/>
        </w:rPr>
        <w:t xml:space="preserve">knowledge_base.json</w:t>
      </w:r>
      <w:r>
        <w:t xml:space="preserve"> </w:t>
      </w:r>
      <w:r>
        <w:t xml:space="preserve">(los 17 ejemplos curados).</w:t>
      </w:r>
    </w:p>
    <w:p>
      <w:pPr>
        <w:numPr>
          <w:ilvl w:val="1"/>
          <w:numId w:val="1002"/>
        </w:numPr>
        <w:pStyle w:val="Compact"/>
      </w:pPr>
      <w:r>
        <w:t xml:space="preserve">Los embeddings se calculan</w:t>
      </w:r>
      <w:r>
        <w:t xml:space="preserve"> </w:t>
      </w:r>
      <w:r>
        <w:rPr>
          <w:bCs/>
          <w:b/>
        </w:rPr>
        <w:t xml:space="preserve">una sola vez</w:t>
      </w:r>
      <w:r>
        <w:t xml:space="preserve"> </w:t>
      </w:r>
      <w:r>
        <w:t xml:space="preserve">y se guardan. Tras un reinicio,</w:t>
      </w:r>
      <w:r>
        <w:t xml:space="preserve"> </w:t>
      </w:r>
      <w:r>
        <w:t xml:space="preserve">NO se vuelven a calcular (ahorra costo de OpenAI y tiempo de arranque).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POST /rag/learn</w:t>
      </w:r>
      <w:r>
        <w:t xml:space="preserve"> </w:t>
      </w:r>
      <w:r>
        <w:t xml:space="preserve">y el auto-aprendizaje semanal escriben directo en la BD.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DATABASE_URL</w:t>
      </w:r>
      <w:r>
        <w:t xml:space="preserve"> </w:t>
      </w:r>
      <w:r>
        <w:t xml:space="preserve">→ modo</w:t>
      </w:r>
      <w:r>
        <w:t xml:space="preserve"> </w:t>
      </w:r>
      <w:r>
        <w:rPr>
          <w:bCs/>
          <w:b/>
        </w:rPr>
        <w:t xml:space="preserve">JSON local</w:t>
      </w:r>
      <w:r>
        <w:t xml:space="preserve"> </w:t>
      </w:r>
      <w:r>
        <w:t xml:space="preserve">(igual que antes):</w:t>
      </w:r>
    </w:p>
    <w:p>
      <w:pPr>
        <w:numPr>
          <w:ilvl w:val="1"/>
          <w:numId w:val="1003"/>
        </w:numPr>
        <w:pStyle w:val="Compact"/>
      </w:pPr>
      <w:r>
        <w:t xml:space="preserve">Útil para desarrollo local y los tests. No es permanente en Render.</w:t>
      </w:r>
    </w:p>
    <w:p>
      <w:r>
        <w:pict>
          <v:rect style="width:0;height:1.5pt" o:hralign="center" o:hrstd="t" o:hr="t"/>
        </w:pict>
      </w:r>
    </w:p>
    <w:bookmarkEnd w:id="21"/>
    <w:bookmarkStart w:id="24" w:name="X0e136c6653890d25a1d1a44422981ec8676fdfd"/>
    <w:p>
      <w:pPr>
        <w:pStyle w:val="Heading2"/>
      </w:pPr>
      <w:r>
        <w:t xml:space="preserve">Opción recomendada: Neon (Postgres gratis y permanente)</w:t>
      </w:r>
    </w:p>
    <w:p>
      <w:pPr>
        <w:pStyle w:val="FirstParagraph"/>
      </w:pPr>
      <w:hyperlink r:id="rId22">
        <w:r>
          <w:rPr>
            <w:rStyle w:val="Hyperlink"/>
          </w:rPr>
          <w:t xml:space="preserve">Neon</w:t>
        </w:r>
      </w:hyperlink>
      <w:r>
        <w:t xml:space="preserve"> </w:t>
      </w:r>
      <w:r>
        <w:t xml:space="preserve">ofrece un Postgres serverless con un free tier</w:t>
      </w:r>
      <w:r>
        <w:t xml:space="preserve"> </w:t>
      </w:r>
      <w:r>
        <w:t xml:space="preserve">generoso y</w:t>
      </w:r>
      <w:r>
        <w:t xml:space="preserve"> </w:t>
      </w:r>
      <w:r>
        <w:rPr>
          <w:bCs/>
          <w:b/>
        </w:rPr>
        <w:t xml:space="preserve">permanente</w:t>
      </w:r>
      <w:r>
        <w:t xml:space="preserve"> </w:t>
      </w:r>
      <w:r>
        <w:t xml:space="preserve">(no expira como el de Render).</w:t>
      </w:r>
    </w:p>
    <w:bookmarkStart w:id="23" w:name="pasos"/>
    <w:p>
      <w:pPr>
        <w:pStyle w:val="Heading3"/>
      </w:pPr>
      <w:r>
        <w:t xml:space="preserve">Pasos</w:t>
      </w:r>
    </w:p>
    <w:p>
      <w:pPr>
        <w:numPr>
          <w:ilvl w:val="0"/>
          <w:numId w:val="1004"/>
        </w:numPr>
      </w:pPr>
      <w:r>
        <w:t xml:space="preserve">Ir a https://neon.tech y crear una cuenta gratis (puedes usar GitHub/Google).</w:t>
      </w:r>
    </w:p>
    <w:p>
      <w:pPr>
        <w:numPr>
          <w:ilvl w:val="0"/>
          <w:numId w:val="1004"/>
        </w:numPr>
      </w:pPr>
      <w:r>
        <w:t xml:space="preserve">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a project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Nombre:</w:t>
      </w:r>
      <w:r>
        <w:t xml:space="preserve"> </w:t>
      </w:r>
      <w:r>
        <w:rPr>
          <w:rStyle w:val="VerbatimChar"/>
        </w:rPr>
        <w:t xml:space="preserve">kaven-rag</w:t>
      </w:r>
      <w:r>
        <w:t xml:space="preserve"> </w:t>
      </w:r>
      <w:r>
        <w:t xml:space="preserve">(o el que quieras).</w:t>
      </w:r>
    </w:p>
    <w:p>
      <w:pPr>
        <w:numPr>
          <w:ilvl w:val="1"/>
          <w:numId w:val="1005"/>
        </w:numPr>
        <w:pStyle w:val="Compact"/>
      </w:pPr>
      <w:r>
        <w:t xml:space="preserve">Región: la más cercana (ej.</w:t>
      </w:r>
      <w:r>
        <w:t xml:space="preserve"> </w:t>
      </w:r>
      <w:r>
        <w:rPr>
          <w:iCs/>
          <w:i/>
        </w:rPr>
        <w:t xml:space="preserve">US West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US East</w:t>
      </w:r>
      <w:r>
        <w:t xml:space="preserve">).</w:t>
      </w:r>
    </w:p>
    <w:p>
      <w:pPr>
        <w:numPr>
          <w:ilvl w:val="0"/>
          <w:numId w:val="1004"/>
        </w:numPr>
      </w:pPr>
      <w:r>
        <w:t xml:space="preserve">Al crear el proyecto, Neon te muestra la</w:t>
      </w:r>
      <w:r>
        <w:t xml:space="preserve"> </w:t>
      </w:r>
      <w:r>
        <w:rPr>
          <w:bCs/>
          <w:b/>
        </w:rPr>
        <w:t xml:space="preserve">Connection string</w:t>
      </w:r>
      <w:r>
        <w:t xml:space="preserve">. Cópiala.</w:t>
      </w:r>
      <w:r>
        <w:t xml:space="preserve"> </w:t>
      </w:r>
      <w:r>
        <w:t xml:space="preserve">Se ve así: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postgresql://usuario:password@ep-xxxx-yyyy.us-east-2.aws.neon.tech/neondb?sslmode=require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Guárdala</w:t>
      </w:r>
      <w:r>
        <w:t xml:space="preserve"> </w:t>
      </w:r>
      <w:r>
        <w:t xml:space="preserve">— esa es tu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</w:t>
      </w:r>
    </w:p>
    <w:p>
      <w:pPr>
        <w:pStyle w:val="BlockText"/>
      </w:pPr>
      <w:r>
        <w:t xml:space="preserve">Neon ya incluye</w:t>
      </w:r>
      <w:r>
        <w:t xml:space="preserve"> </w:t>
      </w:r>
      <w:r>
        <w:rPr>
          <w:rStyle w:val="VerbatimChar"/>
        </w:rPr>
        <w:t xml:space="preserve">?sslmode=require</w:t>
      </w:r>
      <w:r>
        <w:t xml:space="preserve">. Nuestro código usa SSL automáticamente</w:t>
      </w:r>
      <w:r>
        <w:t xml:space="preserve"> </w:t>
      </w:r>
      <w:r>
        <w:t xml:space="preserve">con servidores gestionados, así que funciona tal cual.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ectar-la-bd-a-render"/>
    <w:p>
      <w:pPr>
        <w:pStyle w:val="Heading2"/>
      </w:pPr>
      <w:r>
        <w:t xml:space="preserve">Conectar la BD a Render</w:t>
      </w:r>
    </w:p>
    <w:p>
      <w:pPr>
        <w:numPr>
          <w:ilvl w:val="0"/>
          <w:numId w:val="1006"/>
        </w:numPr>
      </w:pPr>
      <w:r>
        <w:t xml:space="preserve">Entrar a https://dashboard.render.com</w:t>
      </w:r>
    </w:p>
    <w:p>
      <w:pPr>
        <w:numPr>
          <w:ilvl w:val="0"/>
          <w:numId w:val="1006"/>
        </w:numPr>
      </w:pPr>
      <w:r>
        <w:t xml:space="preserve">Abrir el servicio</w:t>
      </w:r>
      <w:r>
        <w:t xml:space="preserve"> </w:t>
      </w:r>
      <w:r>
        <w:rPr>
          <w:bCs/>
          <w:b/>
        </w:rPr>
        <w:t xml:space="preserve">kaven-bot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Ir a la pestaña</w:t>
      </w:r>
      <w:r>
        <w:t xml:space="preserve"> </w:t>
      </w:r>
      <w:r>
        <w:rPr>
          <w:bCs/>
          <w:b/>
        </w:rPr>
        <w:t xml:space="preserve">Environment</w:t>
      </w:r>
      <w:r>
        <w:t xml:space="preserve"> </w:t>
      </w:r>
      <w:r>
        <w:t xml:space="preserve">(Variables de entorno).</w:t>
      </w:r>
    </w:p>
    <w:p>
      <w:pPr>
        <w:numPr>
          <w:ilvl w:val="0"/>
          <w:numId w:val="1006"/>
        </w:numPr>
      </w:pPr>
      <w:r>
        <w:t xml:space="preserve">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Environment Variable</w:t>
      </w:r>
      <w:r>
        <w:rPr>
          <w:bCs/>
          <w:b/>
        </w:rPr>
        <w:t xml:space="preserve">”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Key:</w:t>
      </w:r>
      <w:r>
        <w:t xml:space="preserve"> </w:t>
      </w:r>
      <w:r>
        <w:rPr>
          <w:rStyle w:val="VerbatimChar"/>
        </w:rPr>
        <w:t xml:space="preserve">DATABASE_URL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Value:</w:t>
      </w:r>
      <w:r>
        <w:t xml:space="preserve"> </w:t>
      </w:r>
      <w:r>
        <w:rPr>
          <w:iCs/>
          <w:i/>
        </w:rPr>
        <w:t xml:space="preserve">(la connection string de Neon)</w:t>
      </w:r>
    </w:p>
    <w:p>
      <w:pPr>
        <w:numPr>
          <w:ilvl w:val="0"/>
          <w:numId w:val="1006"/>
        </w:numPr>
      </w:pPr>
      <w:r>
        <w:t xml:space="preserve">Clic en</w:t>
      </w:r>
      <w:r>
        <w:t xml:space="preserve"> </w:t>
      </w:r>
      <w:r>
        <w:rPr>
          <w:bCs/>
          <w:b/>
        </w:rPr>
        <w:t xml:space="preserve">Save Changes</w:t>
      </w:r>
      <w:r>
        <w:t xml:space="preserve">. Render redesplegará automáticamente.</w:t>
      </w:r>
    </w:p>
    <w:p>
      <w:pPr>
        <w:numPr>
          <w:ilvl w:val="0"/>
          <w:numId w:val="1006"/>
        </w:numPr>
      </w:pPr>
      <w:r>
        <w:t xml:space="preserve">En los</w:t>
      </w:r>
      <w:r>
        <w:t xml:space="preserve"> </w:t>
      </w:r>
      <w:r>
        <w:rPr>
          <w:bCs/>
          <w:b/>
        </w:rPr>
        <w:t xml:space="preserve">Logs</w:t>
      </w:r>
      <w:r>
        <w:t xml:space="preserve"> </w:t>
      </w:r>
      <w:r>
        <w:t xml:space="preserve">de Render deberías ver: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✅ RAG DB: Postgres conectado (persistencia permanente activa)</w:t>
      </w:r>
      <w:r>
        <w:br/>
      </w:r>
      <w:r>
        <w:rPr>
          <w:rStyle w:val="VerbatimChar"/>
        </w:rPr>
        <w:t xml:space="preserve">🌱 RAG DB: sembrados 17 ejemplos desde knowledge_base.json</w:t>
      </w:r>
      <w:r>
        <w:br/>
      </w:r>
      <w:r>
        <w:rPr>
          <w:rStyle w:val="VerbatimChar"/>
        </w:rPr>
        <w:t xml:space="preserve">✅ RAG listo: 17 ejemplos indexados (persistencia: pg)</w:t>
      </w:r>
    </w:p>
    <w:p>
      <w:pPr>
        <w:pStyle w:val="FirstParagraph"/>
      </w:pPr>
      <w:r>
        <w:t xml:space="preserve">¡Listo! A partir de aquí, todo lo que el bot aprenda queda guardado para siempre.</w:t>
      </w:r>
    </w:p>
    <w:p>
      <w:r>
        <w:pict>
          <v:rect style="width:0;height:1.5pt" o:hralign="center" o:hrstd="t" o:hr="t"/>
        </w:pict>
      </w:r>
    </w:p>
    <w:bookmarkEnd w:id="25"/>
    <w:bookmarkStart w:id="26" w:name="alternativas-a-neon"/>
    <w:p>
      <w:pPr>
        <w:pStyle w:val="Heading2"/>
      </w:pPr>
      <w:r>
        <w:t xml:space="preserve">Alternativas a Neon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24"/>
        <w:gridCol w:w="2124"/>
        <w:gridCol w:w="2318"/>
        <w:gridCol w:w="13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Neon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Recomendado. Serverless, se</w:t>
            </w:r>
            <w:r>
              <w:t xml:space="preserve"> </w:t>
            </w:r>
            <w:r>
              <w:t xml:space="preserve">“</w:t>
            </w:r>
            <w:r>
              <w:t xml:space="preserve">duerme</w:t>
            </w:r>
            <w:r>
              <w:t xml:space="preserve">”</w:t>
            </w:r>
            <w:r>
              <w:t xml:space="preserve"> </w:t>
            </w:r>
            <w:r>
              <w:t xml:space="preserve">pero no borra datos.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*Pausa proyectos inactivos tras 1 semana; se reactivan.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Render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 a los 90 días en free tier. No recomendado para esto.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verificar-migrar-manualmente-opcional"/>
    <w:p>
      <w:pPr>
        <w:pStyle w:val="Heading2"/>
      </w:pPr>
      <w:r>
        <w:t xml:space="preserve">Verificar / migrar manualmente (opcional)</w:t>
      </w:r>
    </w:p>
    <w:p>
      <w:pPr>
        <w:pStyle w:val="FirstParagraph"/>
      </w:pPr>
      <w:r>
        <w:t xml:space="preserve">El servidor siembra la BD solo en su primer arranque. Si quieres hacerlo a mano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re-sincronizar</w:t>
      </w:r>
      <w:r>
        <w:t xml:space="preserve"> </w:t>
      </w:r>
      <w:r>
        <w:t xml:space="preserve">tras editar</w:t>
      </w:r>
      <w:r>
        <w:t xml:space="preserve"> </w:t>
      </w:r>
      <w:r>
        <w:rPr>
          <w:rStyle w:val="VerbatimChar"/>
        </w:rPr>
        <w:t xml:space="preserve">knowledge_base.json</w:t>
      </w:r>
      <w:r>
        <w:t xml:space="preserve"> </w:t>
      </w:r>
      <w:r>
        <w:t xml:space="preserve">en el repo: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/ruta/al/repo/kaven-bot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"postgresql://...neon..."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"sk-..."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rag/migrate_to_db.js</w:t>
      </w:r>
    </w:p>
    <w:p>
      <w:pPr>
        <w:pStyle w:val="FirstParagraph"/>
      </w:pPr>
      <w:r>
        <w:t xml:space="preserve">Para inspeccionar lo que hay en la BD: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"postgresql://...neon..."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id, lang, sport, source, created_at FROM rag_examples ORDER BY created_at DESC LIMIT 20;"</w:t>
      </w:r>
    </w:p>
    <w:p>
      <w:pPr>
        <w:pStyle w:val="FirstParagraph"/>
      </w:pPr>
      <w:r>
        <w:t xml:space="preserve">Para ver el total: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"postgresql://...neon..."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rag_examples;"</w:t>
      </w:r>
    </w:p>
    <w:p>
      <w:r>
        <w:pict>
          <v:rect style="width:0;height:1.5pt" o:hralign="center" o:hrstd="t" o:hr="t"/>
        </w:pict>
      </w:r>
    </w:p>
    <w:bookmarkEnd w:id="27"/>
    <w:bookmarkStart w:id="28" w:name="esquema-de-la-tabla"/>
    <w:p>
      <w:pPr>
        <w:pStyle w:val="Heading2"/>
      </w:pPr>
      <w:r>
        <w:t xml:space="preserve">Esquema de la tabla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rag_examples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ej. kb-001 o kb-&lt;timestamp&gt;</w:t>
      </w:r>
      <w:r>
        <w:br/>
      </w:r>
      <w:r>
        <w:rPr>
          <w:rStyle w:val="NormalTok"/>
        </w:rPr>
        <w:t xml:space="preserve">  lang          TEXT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'es' | 'en'</w:t>
      </w:r>
      <w:r>
        <w:br/>
      </w:r>
      <w:r>
        <w:rPr>
          <w:rStyle w:val="NormalTok"/>
        </w:rPr>
        <w:t xml:space="preserve">  sport         TEXT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ciclismo, futbol, baseball, general...</w:t>
      </w:r>
      <w:r>
        <w:br/>
      </w:r>
      <w:r>
        <w:rPr>
          <w:rStyle w:val="NormalTok"/>
        </w:rPr>
        <w:t xml:space="preserve">  tags  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["catalogo","precio",...]</w:t>
      </w:r>
      <w:r>
        <w:br/>
      </w:r>
      <w:r>
        <w:rPr>
          <w:rStyle w:val="NormalTok"/>
        </w:rPr>
        <w:t xml:space="preserve">  outcome       TEXT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'positivo'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-- positivo | lead</w:t>
      </w:r>
      <w:r>
        <w:br/>
      </w:r>
      <w:r>
        <w:rPr>
          <w:rStyle w:val="NormalTok"/>
        </w:rPr>
        <w:t xml:space="preserve">  user_msg      TEXT,                     </w:t>
      </w:r>
      <w:r>
        <w:rPr>
          <w:rStyle w:val="CommentTok"/>
        </w:rPr>
        <w:t xml:space="preserve">-- lo que escribió el cliente</w:t>
      </w:r>
      <w:r>
        <w:br/>
      </w:r>
      <w:r>
        <w:rPr>
          <w:rStyle w:val="NormalTok"/>
        </w:rPr>
        <w:t xml:space="preserve">  assistant_msg TEXT,                     </w:t>
      </w:r>
      <w:r>
        <w:rPr>
          <w:rStyle w:val="CommentTok"/>
        </w:rPr>
        <w:t xml:space="preserve">-- la mejor respuesta</w:t>
      </w:r>
      <w:r>
        <w:br/>
      </w:r>
      <w:r>
        <w:rPr>
          <w:rStyle w:val="NormalTok"/>
        </w:rPr>
        <w:t xml:space="preserve">  note          TEXT,                     </w:t>
      </w:r>
      <w:r>
        <w:rPr>
          <w:rStyle w:val="CommentTok"/>
        </w:rPr>
        <w:t xml:space="preserve">-- por qué funciona / contexto</w:t>
      </w:r>
      <w:r>
        <w:br/>
      </w:r>
      <w:r>
        <w:rPr>
          <w:rStyle w:val="NormalTok"/>
        </w:rPr>
        <w:t xml:space="preserve">  embedding     JSONB,                    </w:t>
      </w:r>
      <w:r>
        <w:rPr>
          <w:rStyle w:val="CommentTok"/>
        </w:rPr>
        <w:t xml:space="preserve">-- vector del embedding (1536 dims)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TEXT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seed | manual | auto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La columna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te permite distinguir el origen de cada ejemplo: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→ vino de los 17 ejemplos curados iniciales.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→ lo agregaste tú (vía</w:t>
      </w:r>
      <w:r>
        <w:t xml:space="preserve"> </w:t>
      </w:r>
      <w:r>
        <w:rPr>
          <w:rStyle w:val="VerbatimChar"/>
        </w:rPr>
        <w:t xml:space="preserve">/rag/learn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load_meta_examples.py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→ lo aprendió solo la tarea semanal desde conversaciones reales.</w:t>
      </w:r>
    </w:p>
    <w:p>
      <w:r>
        <w:pict>
          <v:rect style="width:0;height:1.5pt" o:hralign="center" o:hrstd="t" o:hr="t"/>
        </w:pict>
      </w:r>
    </w:p>
    <w:bookmarkEnd w:id="28"/>
    <w:bookmarkStart w:id="29" w:name="resumen"/>
    <w:p>
      <w:pPr>
        <w:pStyle w:val="Heading2"/>
      </w:pPr>
      <w:r>
        <w:t xml:space="preserve">Resumen</w:t>
      </w:r>
    </w:p>
    <w:p>
      <w:pPr>
        <w:numPr>
          <w:ilvl w:val="0"/>
          <w:numId w:val="1008"/>
        </w:numPr>
        <w:pStyle w:val="Compact"/>
      </w:pPr>
      <w:r>
        <w:t xml:space="preserve">Crear Postgres gratis en</w:t>
      </w:r>
      <w:r>
        <w:t xml:space="preserve"> </w:t>
      </w:r>
      <w:r>
        <w:rPr>
          <w:bCs/>
          <w:b/>
        </w:rPr>
        <w:t xml:space="preserve">Neon</w:t>
      </w:r>
      <w:r>
        <w:t xml:space="preserve"> </w:t>
      </w:r>
      <w:r>
        <w:t xml:space="preserve">→ copiar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Pegarla en</w:t>
      </w:r>
      <w:r>
        <w:t xml:space="preserve"> </w:t>
      </w:r>
      <w:r>
        <w:rPr>
          <w:bCs/>
          <w:b/>
        </w:rPr>
        <w:t xml:space="preserve">Render → Environment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Render redesplega y siembra solo.</w:t>
      </w:r>
    </w:p>
    <w:p>
      <w:pPr>
        <w:numPr>
          <w:ilvl w:val="0"/>
          <w:numId w:val="1008"/>
        </w:numPr>
        <w:pStyle w:val="Compact"/>
      </w:pPr>
      <w:r>
        <w:t xml:space="preserve">✅ El auto-aprendizaje ahora es</w:t>
      </w:r>
      <w:r>
        <w:t xml:space="preserve"> </w:t>
      </w:r>
      <w:r>
        <w:rPr>
          <w:bCs/>
          <w:b/>
        </w:rPr>
        <w:t xml:space="preserve">100% permanente</w:t>
      </w:r>
      <w:r>
        <w:t xml:space="preserve">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neon.te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neon.te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2026-06-28T19:09:57Z</dcterms:created>
  <dcterms:modified xsi:type="dcterms:W3CDTF">2026-06-28T19:09:57Z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