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A9E1" w14:textId="7F54BA4B" w:rsidR="00FD15E1" w:rsidRDefault="002F79C4" w:rsidP="002F79C4">
      <w:pPr>
        <w:jc w:val="center"/>
      </w:pPr>
      <w:r>
        <w:rPr>
          <w:noProof/>
        </w:rPr>
        <w:drawing>
          <wp:inline distT="0" distB="0" distL="0" distR="0" wp14:anchorId="30DDA718" wp14:editId="07974419">
            <wp:extent cx="5760720" cy="1511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CE79" w14:textId="77777777" w:rsidR="00302C97" w:rsidRDefault="00302C97" w:rsidP="002B3EB3">
      <w:pPr>
        <w:autoSpaceDE w:val="0"/>
        <w:autoSpaceDN w:val="0"/>
        <w:adjustRightInd w:val="0"/>
        <w:spacing w:after="381" w:line="240" w:lineRule="auto"/>
        <w:ind w:left="1160" w:right="390"/>
        <w:rPr>
          <w:rFonts w:ascii="Marianne" w:eastAsia="Times New Roman" w:hAnsi="Marianne" w:cs="Times New Roman"/>
          <w:b/>
          <w:bCs/>
          <w:i/>
          <w:color w:val="000000"/>
          <w:sz w:val="28"/>
          <w:szCs w:val="28"/>
        </w:rPr>
      </w:pPr>
    </w:p>
    <w:p w14:paraId="53A233D9" w14:textId="4A6245EF" w:rsidR="002B3EB3" w:rsidRDefault="002B3EB3" w:rsidP="002B3EB3">
      <w:pPr>
        <w:autoSpaceDE w:val="0"/>
        <w:autoSpaceDN w:val="0"/>
        <w:adjustRightInd w:val="0"/>
        <w:spacing w:after="381" w:line="240" w:lineRule="auto"/>
        <w:ind w:left="1160" w:right="390"/>
        <w:rPr>
          <w:rFonts w:ascii="Marianne" w:eastAsia="Times New Roman" w:hAnsi="Marianne" w:cs="Times New Roman"/>
          <w:b/>
          <w:bCs/>
          <w:i/>
          <w:color w:val="000000"/>
          <w:sz w:val="28"/>
          <w:szCs w:val="28"/>
        </w:rPr>
      </w:pPr>
      <w:r w:rsidRPr="002B3EB3">
        <w:rPr>
          <w:rFonts w:ascii="Marianne" w:eastAsia="Times New Roman" w:hAnsi="Marianne" w:cs="Times New Roman"/>
          <w:b/>
          <w:bCs/>
          <w:i/>
          <w:color w:val="000000"/>
          <w:sz w:val="28"/>
          <w:szCs w:val="28"/>
        </w:rPr>
        <w:t>Le sens des indicatifs :</w:t>
      </w:r>
    </w:p>
    <w:p w14:paraId="4D9B3014" w14:textId="70C1CD1A" w:rsidR="002B3EB3" w:rsidRPr="002B3EB3" w:rsidRDefault="002B3EB3" w:rsidP="002B3EB3">
      <w:pPr>
        <w:autoSpaceDE w:val="0"/>
        <w:autoSpaceDN w:val="0"/>
        <w:adjustRightInd w:val="0"/>
        <w:spacing w:after="381" w:line="240" w:lineRule="auto"/>
        <w:ind w:left="1160" w:right="390"/>
        <w:rPr>
          <w:rFonts w:ascii="Marianne" w:eastAsia="Times New Roman" w:hAnsi="Marianne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E65176" wp14:editId="2F3A5265">
            <wp:extent cx="6489845" cy="1330325"/>
            <wp:effectExtent l="0" t="0" r="6350" b="3175"/>
            <wp:docPr id="1620835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3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040" cy="13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9A9D" w14:textId="6A3E3497" w:rsidR="002B3EB3" w:rsidRPr="002B3EB3" w:rsidRDefault="002B3EB3" w:rsidP="002B3EB3">
      <w:pPr>
        <w:autoSpaceDE w:val="0"/>
        <w:autoSpaceDN w:val="0"/>
        <w:adjustRightInd w:val="0"/>
        <w:spacing w:after="352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 </w:t>
      </w:r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« 3. » Indicatif de la Station : c'est celui du détenteur de la licence </w:t>
      </w:r>
      <w:proofErr w:type="spellStart"/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 (mot de passe),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détenteur également de la licence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s-ES"/>
        </w:rPr>
        <w:t xml:space="preserve">VARA.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Il est prévu que cet indicatif soit automatique</w:t>
      </w:r>
    </w:p>
    <w:p w14:paraId="161A3DD2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« </w:t>
      </w:r>
      <w:proofErr w:type="gramStart"/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>4 .</w:t>
      </w:r>
      <w:proofErr w:type="gramEnd"/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» Indicatif de l'Opérateur : c'est celui qui opère la station. Sur une opération de longue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durée pendant laquelle plusieurs opérateurs se succéderont, chacun mettra son indicatif. Ceci dans un objectif de traçabilité.</w:t>
      </w:r>
    </w:p>
    <w:p w14:paraId="07C27164" w14:textId="77777777" w:rsidR="002B3EB3" w:rsidRPr="002B3EB3" w:rsidRDefault="002B3EB3" w:rsidP="002B3EB3">
      <w:pPr>
        <w:autoSpaceDE w:val="0"/>
        <w:autoSpaceDN w:val="0"/>
        <w:adjustRightInd w:val="0"/>
        <w:spacing w:after="340" w:line="240" w:lineRule="auto"/>
        <w:ind w:left="1160" w:firstLine="10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Il y a des situations dans lesquelles les indicatifs Station et Opérateur seront les mêmes</w:t>
      </w:r>
    </w:p>
    <w:p w14:paraId="4984C379" w14:textId="77777777" w:rsid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</w:rPr>
      </w:pPr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« 6. » Indicatif (s) du ou des Destinataires : c'est celui du ou des destinataires </w:t>
      </w:r>
      <w:proofErr w:type="gramStart"/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>( cas</w:t>
      </w:r>
      <w:proofErr w:type="gramEnd"/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 des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arrêtés préfectoraux) du message donc de l'indicatif du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concerné - dans la liste d'un exercice , ce sera celui des présents ou des organismes représentés (COD -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s-ES"/>
        </w:rPr>
        <w:t xml:space="preserve">COZ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- COGIC)</w:t>
      </w:r>
    </w:p>
    <w:p w14:paraId="70BC8905" w14:textId="6C24E1DE" w:rsidR="00302C97" w:rsidRDefault="00302C97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DA1112"/>
          <w:sz w:val="24"/>
          <w:szCs w:val="18"/>
        </w:rPr>
      </w:pPr>
      <w:r>
        <w:rPr>
          <w:rFonts w:ascii="Marianne" w:eastAsia="Times New Roman" w:hAnsi="Marianne" w:cs="Times New Roman"/>
          <w:color w:val="DA1112"/>
          <w:sz w:val="24"/>
          <w:szCs w:val="18"/>
        </w:rPr>
        <w:t xml:space="preserve">(Les Coz transmettent </w:t>
      </w:r>
      <w:proofErr w:type="spellStart"/>
      <w:r>
        <w:rPr>
          <w:rFonts w:ascii="Marianne" w:eastAsia="Times New Roman" w:hAnsi="Marianne" w:cs="Times New Roman"/>
          <w:color w:val="DA1112"/>
          <w:sz w:val="24"/>
          <w:szCs w:val="18"/>
        </w:rPr>
        <w:t>systèmatiquement</w:t>
      </w:r>
      <w:proofErr w:type="spellEnd"/>
      <w:r>
        <w:rPr>
          <w:rFonts w:ascii="Marianne" w:eastAsia="Times New Roman" w:hAnsi="Marianne" w:cs="Times New Roman"/>
          <w:color w:val="DA1112"/>
          <w:sz w:val="24"/>
          <w:szCs w:val="18"/>
        </w:rPr>
        <w:t xml:space="preserve"> au COGIC un double de leurs envois)</w:t>
      </w:r>
    </w:p>
    <w:p w14:paraId="5931B072" w14:textId="77777777" w:rsidR="00302C97" w:rsidRPr="002B3EB3" w:rsidRDefault="00302C97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</w:p>
    <w:p w14:paraId="054BD100" w14:textId="734EA3FE" w:rsidR="002B3EB3" w:rsidRDefault="002B3EB3" w:rsidP="002B3EB3">
      <w:pPr>
        <w:autoSpaceDE w:val="0"/>
        <w:autoSpaceDN w:val="0"/>
        <w:adjustRightInd w:val="0"/>
        <w:spacing w:after="0" w:line="240" w:lineRule="auto"/>
        <w:ind w:left="1160" w:firstLine="100"/>
        <w:rPr>
          <w:rFonts w:ascii="Marianne" w:eastAsia="Times New Roman" w:hAnsi="Marianne" w:cs="Times New Roman"/>
          <w:color w:val="000000"/>
          <w:sz w:val="24"/>
          <w:szCs w:val="18"/>
        </w:rPr>
      </w:pPr>
      <w:proofErr w:type="gramStart"/>
      <w:r w:rsidRPr="002B3EB3">
        <w:rPr>
          <w:rFonts w:ascii="Marianne" w:eastAsia="Times New Roman" w:hAnsi="Marianne" w:cs="Times New Roman"/>
          <w:i/>
          <w:color w:val="000000"/>
          <w:sz w:val="24"/>
          <w:szCs w:val="18"/>
        </w:rPr>
        <w:t>exemple</w:t>
      </w:r>
      <w:proofErr w:type="gramEnd"/>
      <w:r w:rsidR="00302C97">
        <w:rPr>
          <w:rFonts w:ascii="Calibri" w:eastAsia="Times New Roman" w:hAnsi="Calibri" w:cs="Calibri"/>
          <w:i/>
          <w:color w:val="000000"/>
          <w:sz w:val="24"/>
          <w:szCs w:val="18"/>
        </w:rPr>
        <w:t> </w:t>
      </w:r>
      <w:r w:rsidR="00302C97">
        <w:rPr>
          <w:rFonts w:ascii="Marianne" w:eastAsia="Times New Roman" w:hAnsi="Marianne" w:cs="Times New Roman"/>
          <w:i/>
          <w:color w:val="000000"/>
          <w:sz w:val="24"/>
          <w:szCs w:val="18"/>
        </w:rPr>
        <w:t xml:space="preserve">: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si j'utilise mon fichier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ce sera F8BNN, par contre si j'utilise le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du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COZ-Est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ce sera F8KHX ( F8KHX ne recevra jamais les messages adressés à F8BNN et réciproquement.)</w:t>
      </w:r>
    </w:p>
    <w:p w14:paraId="42524566" w14:textId="271414F5" w:rsidR="00302C97" w:rsidRDefault="00302C97" w:rsidP="002B3EB3">
      <w:pPr>
        <w:autoSpaceDE w:val="0"/>
        <w:autoSpaceDN w:val="0"/>
        <w:adjustRightInd w:val="0"/>
        <w:spacing w:after="0" w:line="240" w:lineRule="auto"/>
        <w:ind w:left="1160" w:firstLine="100"/>
        <w:rPr>
          <w:rFonts w:ascii="Marianne" w:eastAsia="Times New Roman" w:hAnsi="Marianne" w:cs="Times New Roman"/>
          <w:color w:val="000000"/>
          <w:sz w:val="24"/>
          <w:szCs w:val="18"/>
        </w:rPr>
      </w:pPr>
      <w:r>
        <w:rPr>
          <w:rFonts w:ascii="Marianne" w:eastAsia="Times New Roman" w:hAnsi="Marianne" w:cs="Times New Roman"/>
          <w:i/>
          <w:color w:val="000000"/>
          <w:sz w:val="24"/>
          <w:szCs w:val="18"/>
        </w:rPr>
        <w:t xml:space="preserve"> On est en mode connecté d’où la nécessité d’une très grande précision dans les indicatifs.</w:t>
      </w:r>
    </w:p>
    <w:p w14:paraId="6C977B77" w14:textId="77777777" w:rsidR="00302C97" w:rsidRPr="002B3EB3" w:rsidRDefault="00302C97" w:rsidP="002B3EB3">
      <w:pPr>
        <w:autoSpaceDE w:val="0"/>
        <w:autoSpaceDN w:val="0"/>
        <w:adjustRightInd w:val="0"/>
        <w:spacing w:after="0" w:line="240" w:lineRule="auto"/>
        <w:ind w:left="1160" w:firstLine="10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</w:p>
    <w:p w14:paraId="489DB0E3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i/>
          <w:color w:val="000000"/>
          <w:szCs w:val="18"/>
          <w:lang w:val="en-US"/>
        </w:rPr>
      </w:pPr>
      <w:r w:rsidRPr="002B3EB3">
        <w:rPr>
          <w:rFonts w:ascii="Marianne" w:eastAsia="Times New Roman" w:hAnsi="Marianne" w:cs="Times New Roman"/>
          <w:i/>
          <w:color w:val="DA1112"/>
          <w:szCs w:val="18"/>
        </w:rPr>
        <w:t xml:space="preserve">En cas Réels, pour le COGIC et les </w:t>
      </w:r>
      <w:r w:rsidRPr="002B3EB3">
        <w:rPr>
          <w:rFonts w:ascii="Marianne" w:eastAsia="Times New Roman" w:hAnsi="Marianne" w:cs="Times New Roman"/>
          <w:i/>
          <w:color w:val="DA1112"/>
          <w:szCs w:val="18"/>
          <w:lang w:val="es-ES"/>
        </w:rPr>
        <w:t xml:space="preserve">COZ </w:t>
      </w:r>
      <w:r w:rsidRPr="002B3EB3">
        <w:rPr>
          <w:rFonts w:ascii="Marianne" w:eastAsia="Times New Roman" w:hAnsi="Marianne" w:cs="Times New Roman"/>
          <w:i/>
          <w:color w:val="DA1112"/>
          <w:szCs w:val="18"/>
        </w:rPr>
        <w:t>ce sera obligatoirement leur indicatif.</w:t>
      </w:r>
    </w:p>
    <w:p w14:paraId="6497BDAB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i/>
          <w:color w:val="000000"/>
          <w:szCs w:val="18"/>
          <w:lang w:val="en-US"/>
        </w:rPr>
      </w:pPr>
      <w:r w:rsidRPr="002B3EB3">
        <w:rPr>
          <w:rFonts w:ascii="Marianne" w:eastAsia="Times New Roman" w:hAnsi="Marianne" w:cs="Times New Roman"/>
          <w:i/>
          <w:color w:val="DA1112"/>
          <w:szCs w:val="18"/>
        </w:rPr>
        <w:t xml:space="preserve">Pour les COD, si vous opérez avec l'ordinateur du COD ayant </w:t>
      </w:r>
      <w:proofErr w:type="gramStart"/>
      <w:r w:rsidRPr="002B3EB3">
        <w:rPr>
          <w:rFonts w:ascii="Marianne" w:eastAsia="Times New Roman" w:hAnsi="Marianne" w:cs="Times New Roman"/>
          <w:i/>
          <w:color w:val="DA1112"/>
          <w:szCs w:val="18"/>
        </w:rPr>
        <w:t xml:space="preserve">une licence </w:t>
      </w:r>
      <w:r w:rsidRPr="002B3EB3">
        <w:rPr>
          <w:rFonts w:ascii="Marianne" w:eastAsia="Times New Roman" w:hAnsi="Marianne" w:cs="Times New Roman"/>
          <w:i/>
          <w:color w:val="DA1112"/>
          <w:szCs w:val="18"/>
          <w:lang w:val="es-ES"/>
        </w:rPr>
        <w:t>VARA</w:t>
      </w:r>
      <w:proofErr w:type="gramEnd"/>
      <w:r w:rsidRPr="002B3EB3">
        <w:rPr>
          <w:rFonts w:ascii="Marianne" w:eastAsia="Times New Roman" w:hAnsi="Marianne" w:cs="Times New Roman"/>
          <w:i/>
          <w:color w:val="DA1112"/>
          <w:szCs w:val="18"/>
          <w:lang w:val="es-ES"/>
        </w:rPr>
        <w:t xml:space="preserve"> </w:t>
      </w:r>
      <w:r w:rsidRPr="002B3EB3">
        <w:rPr>
          <w:rFonts w:ascii="Marianne" w:eastAsia="Times New Roman" w:hAnsi="Marianne" w:cs="Times New Roman"/>
          <w:i/>
          <w:color w:val="DA1112"/>
          <w:szCs w:val="18"/>
        </w:rPr>
        <w:t xml:space="preserve">et le mot de passe </w:t>
      </w:r>
      <w:proofErr w:type="spellStart"/>
      <w:r w:rsidRPr="002B3EB3">
        <w:rPr>
          <w:rFonts w:ascii="Marianne" w:eastAsia="Times New Roman" w:hAnsi="Marianne" w:cs="Times New Roman"/>
          <w:i/>
          <w:color w:val="DA1112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i/>
          <w:color w:val="DA1112"/>
          <w:szCs w:val="18"/>
        </w:rPr>
        <w:t xml:space="preserve"> ce sera obligatoirement son indicatif.</w:t>
      </w:r>
    </w:p>
    <w:p w14:paraId="2C5434B8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i/>
          <w:color w:val="000000"/>
          <w:szCs w:val="18"/>
          <w:lang w:val="en-US"/>
        </w:rPr>
      </w:pPr>
      <w:r w:rsidRPr="002B3EB3">
        <w:rPr>
          <w:rFonts w:ascii="Marianne" w:eastAsia="Times New Roman" w:hAnsi="Marianne" w:cs="Times New Roman"/>
          <w:i/>
          <w:color w:val="DA1112"/>
          <w:szCs w:val="18"/>
        </w:rPr>
        <w:t xml:space="preserve">Si vous opérez avec votre pc personnel, ce sera votre indicatif y compris si un autre utilise votre matériel. Il est donc important que dès le départ que vous signalez à votre </w:t>
      </w:r>
      <w:r w:rsidRPr="002B3EB3">
        <w:rPr>
          <w:rFonts w:ascii="Marianne" w:eastAsia="Times New Roman" w:hAnsi="Marianne" w:cs="Times New Roman"/>
          <w:i/>
          <w:color w:val="DA1112"/>
          <w:szCs w:val="18"/>
          <w:lang w:val="es-ES"/>
        </w:rPr>
        <w:t xml:space="preserve">COZ </w:t>
      </w:r>
      <w:r w:rsidRPr="002B3EB3">
        <w:rPr>
          <w:rFonts w:ascii="Marianne" w:eastAsia="Times New Roman" w:hAnsi="Marianne" w:cs="Times New Roman"/>
          <w:i/>
          <w:color w:val="DA1112"/>
          <w:szCs w:val="18"/>
        </w:rPr>
        <w:t>que c'est sous votre indicatif que les contacts se feront</w:t>
      </w:r>
    </w:p>
    <w:p w14:paraId="35774A64" w14:textId="77777777" w:rsidR="002B3EB3" w:rsidRPr="002B3EB3" w:rsidRDefault="002B3EB3" w:rsidP="002B3EB3">
      <w:pPr>
        <w:autoSpaceDE w:val="0"/>
        <w:autoSpaceDN w:val="0"/>
        <w:adjustRightInd w:val="0"/>
        <w:spacing w:after="34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Cet ou ces indicatifs s'incrémenteront automatiquement dans ligne «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  <w:t xml:space="preserve">TO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» du message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Winlink</w:t>
      </w:r>
      <w:proofErr w:type="spellEnd"/>
    </w:p>
    <w:p w14:paraId="3C6DA61C" w14:textId="0A6875AD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82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lastRenderedPageBreak/>
        <w:t xml:space="preserve">Exemple Liaison entre le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de-DE"/>
        </w:rPr>
        <w:t xml:space="preserve">COZ-Est </w:t>
      </w:r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F8KHX et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COD71 </w:t>
      </w:r>
      <w:r w:rsidRPr="002B3EB3">
        <w:rPr>
          <w:rFonts w:ascii="Marianne" w:eastAsia="Times New Roman" w:hAnsi="Marianne" w:cs="Times New Roman"/>
          <w:color w:val="DA1112"/>
          <w:sz w:val="24"/>
          <w:szCs w:val="18"/>
        </w:rPr>
        <w:t xml:space="preserve">F4KND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les choses sont simples les indicatifs sont connus</w:t>
      </w:r>
      <w:r w:rsidR="00302C97">
        <w:rPr>
          <w:rFonts w:ascii="Marianne" w:eastAsia="Times New Roman" w:hAnsi="Marianne" w:cs="Times New Roman"/>
          <w:color w:val="000000"/>
          <w:sz w:val="24"/>
          <w:szCs w:val="18"/>
        </w:rPr>
        <w:t>.</w:t>
      </w:r>
    </w:p>
    <w:p w14:paraId="558A5A76" w14:textId="7034EB01" w:rsidR="002B3EB3" w:rsidRPr="002B3EB3" w:rsidRDefault="002B3EB3" w:rsidP="002B3EB3">
      <w:pPr>
        <w:autoSpaceDE w:val="0"/>
        <w:autoSpaceDN w:val="0"/>
        <w:adjustRightInd w:val="0"/>
        <w:spacing w:after="390" w:line="240" w:lineRule="auto"/>
        <w:ind w:left="82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Par contre toujours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COZ-Est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et une Adrasec qui n'a pas d'indicatif donc pas de licence. C'est un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Ras</w:t>
      </w:r>
      <w:r w:rsidR="00302C97">
        <w:rPr>
          <w:rFonts w:ascii="Marianne" w:eastAsia="Times New Roman" w:hAnsi="Marianne" w:cs="Times New Roman"/>
          <w:color w:val="000000"/>
          <w:sz w:val="24"/>
          <w:szCs w:val="18"/>
        </w:rPr>
        <w:t>ec</w:t>
      </w:r>
      <w:proofErr w:type="spellEnd"/>
      <w:r w:rsidR="00302C97">
        <w:rPr>
          <w:rFonts w:ascii="Marianne" w:eastAsia="Times New Roman" w:hAnsi="Marianne" w:cs="Times New Roman"/>
          <w:color w:val="000000"/>
          <w:sz w:val="24"/>
          <w:szCs w:val="18"/>
        </w:rPr>
        <w:t xml:space="preserve">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disponible qui vient opérer. Si on ne connaît </w:t>
      </w:r>
      <w:r w:rsidR="00302C97">
        <w:rPr>
          <w:rFonts w:ascii="Marianne" w:eastAsia="Times New Roman" w:hAnsi="Marianne" w:cs="Times New Roman"/>
          <w:color w:val="000000"/>
          <w:sz w:val="24"/>
          <w:szCs w:val="18"/>
        </w:rPr>
        <w:t xml:space="preserve">pas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son indicatif, comment peut-on se connecter avec </w:t>
      </w:r>
      <w:proofErr w:type="spellStart"/>
      <w:proofErr w:type="gram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?</w:t>
      </w:r>
      <w:proofErr w:type="gramEnd"/>
    </w:p>
    <w:p w14:paraId="70CCEB92" w14:textId="77777777" w:rsidR="002B3EB3" w:rsidRPr="002B3EB3" w:rsidRDefault="002B3EB3" w:rsidP="002B3EB3">
      <w:pPr>
        <w:autoSpaceDE w:val="0"/>
        <w:autoSpaceDN w:val="0"/>
        <w:adjustRightInd w:val="0"/>
        <w:spacing w:after="442" w:line="240" w:lineRule="auto"/>
        <w:rPr>
          <w:rFonts w:ascii="Marianne" w:eastAsia="Times New Roman" w:hAnsi="Marianne" w:cs="Times New Roman"/>
          <w:i/>
          <w:color w:val="000000"/>
          <w:sz w:val="28"/>
          <w:szCs w:val="28"/>
          <w:lang w:val="en-US"/>
        </w:rPr>
      </w:pPr>
      <w:r w:rsidRPr="002B3EB3">
        <w:rPr>
          <w:rFonts w:ascii="Marianne" w:eastAsia="Times New Roman" w:hAnsi="Marianne" w:cs="Times New Roman"/>
          <w:i/>
          <w:color w:val="000000"/>
          <w:sz w:val="28"/>
          <w:szCs w:val="28"/>
        </w:rPr>
        <w:t>Dénomination des Autorités</w:t>
      </w:r>
    </w:p>
    <w:p w14:paraId="007636E1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Pour ce qui concerne les Autorités, là aussi il faut être précis </w:t>
      </w:r>
      <w:proofErr w:type="gram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( ce</w:t>
      </w:r>
      <w:proofErr w:type="gram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n'est pas un indicatif)</w:t>
      </w:r>
    </w:p>
    <w:p w14:paraId="52240C83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C'est le COD ou le SDIS - Le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s-ES"/>
        </w:rPr>
        <w:t xml:space="preserve">COZ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ou le COGIC c'est à dire l'endroit où vous vous trouvez.</w:t>
      </w:r>
    </w:p>
    <w:p w14:paraId="4C00CEF6" w14:textId="77777777" w:rsidR="002B3EB3" w:rsidRPr="002B3EB3" w:rsidRDefault="002B3EB3" w:rsidP="002B3EB3">
      <w:pPr>
        <w:autoSpaceDE w:val="0"/>
        <w:autoSpaceDN w:val="0"/>
        <w:adjustRightInd w:val="0"/>
        <w:spacing w:after="34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A la suite de l'Organisme, il est possible de rajouter « \ titre de la personne responsable »</w:t>
      </w:r>
    </w:p>
    <w:p w14:paraId="5610A2B6" w14:textId="77777777" w:rsidR="002B3EB3" w:rsidRPr="002B3EB3" w:rsidRDefault="002B3EB3" w:rsidP="002B3EB3">
      <w:pPr>
        <w:autoSpaceDE w:val="0"/>
        <w:autoSpaceDN w:val="0"/>
        <w:adjustRightInd w:val="0"/>
        <w:spacing w:after="340" w:line="240" w:lineRule="auto"/>
        <w:ind w:left="82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Pour les exercices vous pouvez simuler le COD de votre département s'adressant au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s-ES"/>
        </w:rPr>
        <w:t xml:space="preserve">COZ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de votre zone, en gardant votre indicatif.</w:t>
      </w:r>
    </w:p>
    <w:p w14:paraId="573EF6CF" w14:textId="77777777" w:rsidR="002B3EB3" w:rsidRDefault="002B3EB3" w:rsidP="002B3EB3">
      <w:pPr>
        <w:autoSpaceDE w:val="0"/>
        <w:autoSpaceDN w:val="0"/>
        <w:adjustRightInd w:val="0"/>
        <w:spacing w:after="0" w:line="240" w:lineRule="auto"/>
        <w:ind w:left="820"/>
        <w:rPr>
          <w:rFonts w:ascii="Marianne" w:eastAsia="Times New Roman" w:hAnsi="Marianne" w:cs="Times New Roman"/>
          <w:color w:val="000000"/>
          <w:sz w:val="24"/>
          <w:szCs w:val="18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Pour ceux d'entre vous qui êtes opérateurs dans un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s-ES"/>
        </w:rPr>
        <w:t xml:space="preserve">COZ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ou au COGIC vous pouvez simuler une présence dans ces organismes en utilisant leur indicatif et licence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(mot de passe) et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s-ES"/>
        </w:rPr>
        <w:t xml:space="preserve">VARA.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Dites-le-moi alors lors de votre inscription pour savoir à qui adresser les messages.</w:t>
      </w:r>
    </w:p>
    <w:p w14:paraId="61AD2807" w14:textId="77777777" w:rsidR="00302C97" w:rsidRPr="002B3EB3" w:rsidRDefault="00302C97" w:rsidP="002B3EB3">
      <w:pPr>
        <w:autoSpaceDE w:val="0"/>
        <w:autoSpaceDN w:val="0"/>
        <w:adjustRightInd w:val="0"/>
        <w:spacing w:after="0" w:line="240" w:lineRule="auto"/>
        <w:ind w:left="82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</w:p>
    <w:p w14:paraId="258F431C" w14:textId="77777777" w:rsidR="002B3EB3" w:rsidRPr="00302C97" w:rsidRDefault="002B3EB3" w:rsidP="002B3EB3">
      <w:pPr>
        <w:autoSpaceDE w:val="0"/>
        <w:autoSpaceDN w:val="0"/>
        <w:adjustRightInd w:val="0"/>
        <w:spacing w:after="393" w:line="240" w:lineRule="auto"/>
        <w:ind w:left="400"/>
        <w:rPr>
          <w:rFonts w:ascii="Marianne" w:eastAsia="Times New Roman" w:hAnsi="Marianne" w:cs="Times New Roman"/>
          <w:b/>
          <w:bCs/>
          <w:i/>
          <w:color w:val="000000"/>
          <w:sz w:val="28"/>
          <w:szCs w:val="28"/>
          <w:lang w:val="en-US"/>
        </w:rPr>
      </w:pPr>
      <w:r w:rsidRPr="00302C97">
        <w:rPr>
          <w:rFonts w:ascii="Marianne" w:eastAsia="Times New Roman" w:hAnsi="Marianne" w:cs="Times New Roman"/>
          <w:b/>
          <w:bCs/>
          <w:i/>
          <w:color w:val="000000"/>
          <w:sz w:val="28"/>
          <w:szCs w:val="28"/>
        </w:rPr>
        <w:t>La Numérotation des Messages</w:t>
      </w:r>
    </w:p>
    <w:p w14:paraId="040E4FD5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2 zones :</w:t>
      </w:r>
    </w:p>
    <w:p w14:paraId="34195CDF" w14:textId="77777777" w:rsidR="002B3EB3" w:rsidRPr="002B3EB3" w:rsidRDefault="002B3EB3" w:rsidP="002B3EB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60" w:hanging="3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proofErr w:type="gram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la</w:t>
      </w:r>
      <w:proofErr w:type="gram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première, le lieu à partir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du quel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se fait l'opération , 4 possibilités définies COGIC -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s-ES"/>
        </w:rPr>
        <w:t xml:space="preserve">COZ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(différencié suivant les zones) - les COD.</w:t>
      </w:r>
    </w:p>
    <w:p w14:paraId="4C0C9D38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Si ce n'est aucun de ces lieux ces sera Autre.</w:t>
      </w:r>
    </w:p>
    <w:p w14:paraId="1AF84EC1" w14:textId="77777777" w:rsidR="002B3EB3" w:rsidRPr="002B3EB3" w:rsidRDefault="002B3EB3" w:rsidP="002B3EB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60" w:hanging="3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La seconde : Numéro du message.</w:t>
      </w:r>
    </w:p>
    <w:p w14:paraId="42F1FAAF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Ce numéro s'incrémente automatiquement à chaque ouverture par </w:t>
      </w: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.</w:t>
      </w:r>
    </w:p>
    <w:p w14:paraId="582AEABB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Pour le COGIC et les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s-ES"/>
        </w:rPr>
        <w:t xml:space="preserve">COZ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uniquement 001 - 002 </w:t>
      </w:r>
      <w:proofErr w:type="gram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etc..</w:t>
      </w:r>
      <w:proofErr w:type="gramEnd"/>
    </w:p>
    <w:p w14:paraId="017BFC00" w14:textId="1A213B2E" w:rsidR="002B3EB3" w:rsidRPr="002B3EB3" w:rsidRDefault="002B3EB3" w:rsidP="002B3EB3">
      <w:pPr>
        <w:autoSpaceDE w:val="0"/>
        <w:autoSpaceDN w:val="0"/>
        <w:adjustRightInd w:val="0"/>
        <w:spacing w:after="39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Pour les COD et autre : Numéro de l'Adras</w:t>
      </w:r>
      <w:r w:rsidR="00302C97">
        <w:rPr>
          <w:rFonts w:ascii="Marianne" w:eastAsia="Times New Roman" w:hAnsi="Marianne" w:cs="Times New Roman"/>
          <w:color w:val="000000"/>
          <w:sz w:val="24"/>
          <w:szCs w:val="18"/>
        </w:rPr>
        <w:t>ec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57 ou 974 suivi de 001 002 etc...</w:t>
      </w:r>
    </w:p>
    <w:p w14:paraId="0C7F4D57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Pour mettre en place le premier numéro aller dans</w:t>
      </w:r>
    </w:p>
    <w:p w14:paraId="0AC6C512" w14:textId="77777777" w:rsidR="002B3EB3" w:rsidRPr="002B3EB3" w:rsidRDefault="002B3EB3" w:rsidP="002B3EB3">
      <w:pPr>
        <w:autoSpaceDE w:val="0"/>
        <w:autoSpaceDN w:val="0"/>
        <w:adjustRightInd w:val="0"/>
        <w:spacing w:after="26" w:line="240" w:lineRule="auto"/>
        <w:ind w:left="260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proofErr w:type="spell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Winlink</w:t>
      </w:r>
      <w:proofErr w:type="spellEnd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 - &gt; Message - &gt;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  <w:t xml:space="preserve">Templates Settings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- &gt;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  <w:t>Sequence Number</w:t>
      </w:r>
    </w:p>
    <w:p w14:paraId="068306F1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Pour le COGIC et les COD mettre 001</w:t>
      </w:r>
    </w:p>
    <w:p w14:paraId="6BADFAA4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Pour COD et Autre mettre le N° Adrasec et 001 (exemple 57001 ou 974001)</w:t>
      </w:r>
    </w:p>
    <w:p w14:paraId="0C7558C9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116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Mettre 6 pour </w:t>
      </w:r>
      <w:r w:rsidRPr="002B3EB3"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  <w:t>Number of digits</w:t>
      </w:r>
    </w:p>
    <w:p w14:paraId="0CDBC1CF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ind w:left="400"/>
        <w:rPr>
          <w:rFonts w:ascii="Marianne" w:eastAsia="Times New Roman" w:hAnsi="Marianne" w:cs="Times New Roman"/>
          <w:color w:val="000000"/>
          <w:sz w:val="24"/>
          <w:szCs w:val="18"/>
          <w:lang w:val="en-US"/>
        </w:rPr>
      </w:pPr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 xml:space="preserve">Ces éléments sont importants pour la traçabilité des </w:t>
      </w:r>
      <w:proofErr w:type="gramStart"/>
      <w:r w:rsidRPr="002B3EB3">
        <w:rPr>
          <w:rFonts w:ascii="Marianne" w:eastAsia="Times New Roman" w:hAnsi="Marianne" w:cs="Times New Roman"/>
          <w:color w:val="000000"/>
          <w:sz w:val="24"/>
          <w:szCs w:val="18"/>
        </w:rPr>
        <w:t>messages .</w:t>
      </w:r>
      <w:proofErr w:type="gramEnd"/>
    </w:p>
    <w:p w14:paraId="65A6CACF" w14:textId="77777777" w:rsidR="002B3EB3" w:rsidRPr="002B3EB3" w:rsidRDefault="002B3EB3" w:rsidP="002B3EB3">
      <w:pPr>
        <w:autoSpaceDE w:val="0"/>
        <w:autoSpaceDN w:val="0"/>
        <w:adjustRightInd w:val="0"/>
        <w:spacing w:after="0" w:line="240" w:lineRule="auto"/>
        <w:rPr>
          <w:rFonts w:ascii="Marianne" w:eastAsia="Times New Roman" w:hAnsi="Marianne" w:cs="Times New Roman"/>
          <w:color w:val="000000"/>
          <w:sz w:val="2"/>
          <w:szCs w:val="18"/>
          <w:lang w:val="en-US"/>
        </w:rPr>
      </w:pPr>
    </w:p>
    <w:p w14:paraId="101E7ADD" w14:textId="77777777" w:rsidR="00717DD6" w:rsidRPr="002B3EB3" w:rsidRDefault="00717DD6" w:rsidP="002F79C4">
      <w:pPr>
        <w:jc w:val="center"/>
        <w:rPr>
          <w:rFonts w:ascii="Marianne" w:hAnsi="Marianne"/>
        </w:rPr>
      </w:pPr>
    </w:p>
    <w:sectPr w:rsidR="00717DD6" w:rsidRPr="002B3EB3" w:rsidSect="00302C97">
      <w:pgSz w:w="11906" w:h="16838" w:code="9"/>
      <w:pgMar w:top="567" w:right="567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C603CEE"/>
    <w:lvl w:ilvl="0">
      <w:numFmt w:val="bullet"/>
      <w:lvlText w:val="*"/>
      <w:lvlJc w:val="left"/>
    </w:lvl>
  </w:abstractNum>
  <w:abstractNum w:abstractNumId="1" w15:restartNumberingAfterBreak="0">
    <w:nsid w:val="0A6A3311"/>
    <w:multiLevelType w:val="hybridMultilevel"/>
    <w:tmpl w:val="545A97B8"/>
    <w:lvl w:ilvl="0" w:tplc="0D6421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164"/>
    <w:multiLevelType w:val="hybridMultilevel"/>
    <w:tmpl w:val="3418D1EC"/>
    <w:lvl w:ilvl="0" w:tplc="7BE2F3F8">
      <w:numFmt w:val="bullet"/>
      <w:lvlText w:val="-"/>
      <w:lvlJc w:val="left"/>
      <w:pPr>
        <w:ind w:left="1069" w:hanging="360"/>
      </w:pPr>
      <w:rPr>
        <w:rFonts w:ascii="Marianne" w:eastAsiaTheme="minorHAnsi" w:hAnsi="Marianne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BC370D"/>
    <w:multiLevelType w:val="hybridMultilevel"/>
    <w:tmpl w:val="2C0C1470"/>
    <w:lvl w:ilvl="0" w:tplc="E88252D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B024E2F"/>
    <w:multiLevelType w:val="hybridMultilevel"/>
    <w:tmpl w:val="86EA249E"/>
    <w:lvl w:ilvl="0" w:tplc="B02E5E6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C5B58E9"/>
    <w:multiLevelType w:val="hybridMultilevel"/>
    <w:tmpl w:val="9CA4BD22"/>
    <w:lvl w:ilvl="0" w:tplc="2DAC8E9C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920351A"/>
    <w:multiLevelType w:val="hybridMultilevel"/>
    <w:tmpl w:val="45E496E0"/>
    <w:lvl w:ilvl="0" w:tplc="6B261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0FCB"/>
    <w:multiLevelType w:val="hybridMultilevel"/>
    <w:tmpl w:val="10C6B7A2"/>
    <w:lvl w:ilvl="0" w:tplc="FC3E78FE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644697484">
    <w:abstractNumId w:val="6"/>
  </w:num>
  <w:num w:numId="2" w16cid:durableId="1048458192">
    <w:abstractNumId w:val="3"/>
  </w:num>
  <w:num w:numId="3" w16cid:durableId="790711023">
    <w:abstractNumId w:val="7"/>
  </w:num>
  <w:num w:numId="4" w16cid:durableId="1467043091">
    <w:abstractNumId w:val="5"/>
  </w:num>
  <w:num w:numId="5" w16cid:durableId="275260243">
    <w:abstractNumId w:val="4"/>
  </w:num>
  <w:num w:numId="6" w16cid:durableId="557128535">
    <w:abstractNumId w:val="1"/>
  </w:num>
  <w:num w:numId="7" w16cid:durableId="1261642335">
    <w:abstractNumId w:val="2"/>
  </w:num>
  <w:num w:numId="8" w16cid:durableId="191053358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C4"/>
    <w:rsid w:val="00066531"/>
    <w:rsid w:val="000A5E15"/>
    <w:rsid w:val="000C3C83"/>
    <w:rsid w:val="000D4FAF"/>
    <w:rsid w:val="000E6242"/>
    <w:rsid w:val="00111E32"/>
    <w:rsid w:val="00185378"/>
    <w:rsid w:val="001D4D5A"/>
    <w:rsid w:val="001E6A85"/>
    <w:rsid w:val="00224512"/>
    <w:rsid w:val="002365AE"/>
    <w:rsid w:val="0026582C"/>
    <w:rsid w:val="00270848"/>
    <w:rsid w:val="00285BED"/>
    <w:rsid w:val="00294538"/>
    <w:rsid w:val="002B3EB3"/>
    <w:rsid w:val="002F79C4"/>
    <w:rsid w:val="00302C97"/>
    <w:rsid w:val="003217A8"/>
    <w:rsid w:val="00326911"/>
    <w:rsid w:val="003D3595"/>
    <w:rsid w:val="0042142B"/>
    <w:rsid w:val="00450D9A"/>
    <w:rsid w:val="00484C91"/>
    <w:rsid w:val="004C6DCC"/>
    <w:rsid w:val="00507104"/>
    <w:rsid w:val="005111FD"/>
    <w:rsid w:val="005242A4"/>
    <w:rsid w:val="005342D9"/>
    <w:rsid w:val="0055395F"/>
    <w:rsid w:val="00602B37"/>
    <w:rsid w:val="0062269C"/>
    <w:rsid w:val="00623C15"/>
    <w:rsid w:val="006C5937"/>
    <w:rsid w:val="006E77EA"/>
    <w:rsid w:val="00717DD6"/>
    <w:rsid w:val="00726894"/>
    <w:rsid w:val="007660B2"/>
    <w:rsid w:val="007E449E"/>
    <w:rsid w:val="00820E85"/>
    <w:rsid w:val="008705CA"/>
    <w:rsid w:val="008B0AF0"/>
    <w:rsid w:val="008F0BAD"/>
    <w:rsid w:val="009279C5"/>
    <w:rsid w:val="009654F7"/>
    <w:rsid w:val="009C2EFB"/>
    <w:rsid w:val="009F343F"/>
    <w:rsid w:val="00A03F1A"/>
    <w:rsid w:val="00A75DBC"/>
    <w:rsid w:val="00A95F17"/>
    <w:rsid w:val="00B008C1"/>
    <w:rsid w:val="00B123C8"/>
    <w:rsid w:val="00BA555A"/>
    <w:rsid w:val="00BD4432"/>
    <w:rsid w:val="00C710F1"/>
    <w:rsid w:val="00C86B9D"/>
    <w:rsid w:val="00CA15E3"/>
    <w:rsid w:val="00CA696B"/>
    <w:rsid w:val="00CE5CA5"/>
    <w:rsid w:val="00D97461"/>
    <w:rsid w:val="00D97704"/>
    <w:rsid w:val="00DA2B8E"/>
    <w:rsid w:val="00E4052B"/>
    <w:rsid w:val="00E95964"/>
    <w:rsid w:val="00EA52E8"/>
    <w:rsid w:val="00EB4AB1"/>
    <w:rsid w:val="00EF350A"/>
    <w:rsid w:val="00F0533B"/>
    <w:rsid w:val="00F10B80"/>
    <w:rsid w:val="00F72072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8D07"/>
  <w15:chartTrackingRefBased/>
  <w15:docId w15:val="{32556150-7BF4-48B8-BBAF-52ED09F0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MDACQUAY</dc:creator>
  <cp:keywords/>
  <dc:description/>
  <cp:lastModifiedBy>MDACQUAY </cp:lastModifiedBy>
  <cp:revision>2</cp:revision>
  <cp:lastPrinted>2025-01-29T10:13:00Z</cp:lastPrinted>
  <dcterms:created xsi:type="dcterms:W3CDTF">2025-03-07T12:56:00Z</dcterms:created>
  <dcterms:modified xsi:type="dcterms:W3CDTF">2025-03-07T12:56:00Z</dcterms:modified>
</cp:coreProperties>
</file>