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1A37" w14:textId="77777777" w:rsidR="00124370" w:rsidRPr="00124370" w:rsidRDefault="00124370" w:rsidP="00B4326E">
      <w:pPr>
        <w:tabs>
          <w:tab w:val="left" w:pos="360"/>
        </w:tabs>
        <w:spacing w:line="360" w:lineRule="auto"/>
        <w:ind w:left="360" w:hanging="360"/>
        <w:rPr>
          <w:b/>
        </w:rPr>
      </w:pPr>
      <w:r w:rsidRPr="00124370">
        <w:rPr>
          <w:b/>
        </w:rPr>
        <w:t>Protocol title:</w:t>
      </w:r>
    </w:p>
    <w:p w14:paraId="4A43A5FE" w14:textId="77777777" w:rsidR="00124370" w:rsidRDefault="00B4326E" w:rsidP="00B4326E">
      <w:pPr>
        <w:pStyle w:val="NoSpacing"/>
        <w:tabs>
          <w:tab w:val="left" w:pos="360"/>
        </w:tabs>
        <w:ind w:left="360" w:hanging="360"/>
      </w:pPr>
      <w:r>
        <w:t>Elders Playing Like Children</w:t>
      </w:r>
    </w:p>
    <w:p w14:paraId="2043DE69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</w:p>
    <w:p w14:paraId="66B83384" w14:textId="77777777" w:rsidR="00124370" w:rsidRPr="00124370" w:rsidRDefault="00124370" w:rsidP="00BE09E9">
      <w:pPr>
        <w:pStyle w:val="NoSpacing"/>
        <w:tabs>
          <w:tab w:val="left" w:pos="360"/>
        </w:tabs>
        <w:spacing w:line="240" w:lineRule="auto"/>
        <w:ind w:left="360" w:hanging="360"/>
        <w:rPr>
          <w:b/>
        </w:rPr>
      </w:pPr>
      <w:r w:rsidRPr="00124370">
        <w:rPr>
          <w:b/>
        </w:rPr>
        <w:t>Principal Investigator:</w:t>
      </w:r>
    </w:p>
    <w:p w14:paraId="439D32D5" w14:textId="77777777" w:rsidR="00124370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Alan Cook, MD, MS, FACS</w:t>
      </w:r>
    </w:p>
    <w:p w14:paraId="00B3F418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Associate Professor, Department of Epidemiology and Biostatistics</w:t>
      </w:r>
    </w:p>
    <w:p w14:paraId="12A7E09D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School of Community and Rural Health</w:t>
      </w:r>
    </w:p>
    <w:p w14:paraId="4D609ABD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University of Texas Health Science Center, Tyler</w:t>
      </w:r>
    </w:p>
    <w:p w14:paraId="0E1D1061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(903) 941-0229</w:t>
      </w:r>
    </w:p>
    <w:p w14:paraId="0C0A0E97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alan.cook@uthct.edu</w:t>
      </w:r>
    </w:p>
    <w:p w14:paraId="78DE76EB" w14:textId="77777777" w:rsidR="00B4326E" w:rsidRDefault="00B4326E" w:rsidP="00BE09E9">
      <w:pPr>
        <w:pStyle w:val="NoSpacing"/>
        <w:tabs>
          <w:tab w:val="left" w:pos="360"/>
        </w:tabs>
        <w:spacing w:line="240" w:lineRule="auto"/>
        <w:ind w:left="360" w:hanging="360"/>
      </w:pPr>
      <w:r>
        <w:t>adcookmd@gmail.com</w:t>
      </w:r>
    </w:p>
    <w:p w14:paraId="0984FAD4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</w:p>
    <w:p w14:paraId="4D974865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Version Date and Number</w:t>
      </w:r>
      <w:r>
        <w:t>:</w:t>
      </w:r>
    </w:p>
    <w:p w14:paraId="6DEB7ADD" w14:textId="2CBDFC16" w:rsidR="00124370" w:rsidRDefault="00B4326E" w:rsidP="009E6C62">
      <w:pPr>
        <w:pStyle w:val="NoSpacing"/>
        <w:tabs>
          <w:tab w:val="left" w:pos="360"/>
        </w:tabs>
        <w:ind w:left="360" w:hanging="360"/>
      </w:pPr>
      <w:r>
        <w:t>Version No. 1, January 27, 2020.</w:t>
      </w:r>
    </w:p>
    <w:p w14:paraId="7DD55A61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Introduction</w:t>
      </w:r>
      <w:r>
        <w:t>:</w:t>
      </w:r>
    </w:p>
    <w:p w14:paraId="0195225A" w14:textId="44F4EB2F" w:rsidR="00810A70" w:rsidRDefault="00381623" w:rsidP="00381623">
      <w:pPr>
        <w:pStyle w:val="NoSpacing"/>
        <w:tabs>
          <w:tab w:val="left" w:pos="360"/>
        </w:tabs>
      </w:pPr>
      <w:r>
        <w:tab/>
        <w:t>Between the 2000 US Census and the 2010 Census, the number of persons aged 45 to 64 years increased by 31.5% while those 65 and over increased by 15.1 percent.</w:t>
      </w:r>
      <w:r>
        <w:fldChar w:fldCharType="begin"/>
      </w:r>
      <w:r>
        <w:instrText xml:space="preserve"> ADDIN EN.CITE &lt;EndNote&gt;&lt;Cite&gt;&lt;Author&gt;Howden&lt;/Author&gt;&lt;Year&gt;2011&lt;/Year&gt;&lt;RecNum&gt;6877&lt;/RecNum&gt;&lt;DisplayText&gt;&lt;style face="superscript"&gt;1&lt;/style&gt;&lt;/DisplayText&gt;&lt;record&gt;&lt;rec-number&gt;6877&lt;/rec-number&gt;&lt;foreign-keys&gt;&lt;key app="EN" db-id="9s5e9pzetvfd2hevt56xwvrj0apptest20af" timestamp="1580151336"&gt;6877&lt;/key&gt;&lt;/foreign-keys&gt;&lt;ref-type name="Report"&gt;27&lt;/ref-type&gt;&lt;contributors&gt;&lt;authors&gt;&lt;author&gt;Howden, LM&lt;/author&gt;&lt;author&gt;Meyer, JA&lt;/author&gt;&lt;/authors&gt;&lt;/contributors&gt;&lt;titles&gt;&lt;title&gt;Age and sex composition, 2010&lt;/title&gt;&lt;/titles&gt;&lt;dates&gt;&lt;year&gt;2011&lt;/year&gt;&lt;/dates&gt;&lt;pub-location&gt;Washington, D.C.&lt;/pub-location&gt;&lt;publisher&gt;U.S. Department of Commerce, Economics and Statistics Administration, U.S. Census Bureau&lt;/publisher&gt;&lt;urls&gt;&lt;/urls&gt;&lt;/record&gt;&lt;/Cite&gt;&lt;/EndNote&gt;</w:instrText>
      </w:r>
      <w:r>
        <w:fldChar w:fldCharType="separate"/>
      </w:r>
      <w:r w:rsidRPr="00381623">
        <w:rPr>
          <w:noProof/>
          <w:vertAlign w:val="superscript"/>
        </w:rPr>
        <w:t>1</w:t>
      </w:r>
      <w:r>
        <w:fldChar w:fldCharType="end"/>
      </w:r>
      <w:r>
        <w:t xml:space="preserve"> These were the groups who grew the most in that decade. </w:t>
      </w:r>
      <w:r w:rsidR="008F52B7">
        <w:t xml:space="preserve">The percentage of the US population age 65 and older is projected to grow from 33.5% to 42.1% over the next 20 years. </w:t>
      </w:r>
      <w:r w:rsidR="00B6408C">
        <w:t xml:space="preserve">Improved medical management of chronic diseases is allowing this portion of the population to </w:t>
      </w:r>
      <w:r w:rsidR="00BD530F">
        <w:t>participate in high risk activities like motorcycling, boating and riding all-terrain vehicles.</w:t>
      </w:r>
      <w:r w:rsidR="00BD530F">
        <w:fldChar w:fldCharType="begin"/>
      </w:r>
      <w:r w:rsidR="00BD530F">
        <w:instrText xml:space="preserve"> ADDIN EN.CITE &lt;EndNote&gt;&lt;Cite&gt;&lt;Author&gt;Gerson&lt;/Author&gt;&lt;Year&gt;2004&lt;/Year&gt;&lt;RecNum&gt;6880&lt;/RecNum&gt;&lt;DisplayText&gt;&lt;style face="superscript"&gt;2&lt;/style&gt;&lt;/DisplayText&gt;&lt;record&gt;&lt;rec-number&gt;6880&lt;/rec-number&gt;&lt;foreign-keys&gt;&lt;key app="EN" db-id="9s5e9pzetvfd2hevt56xwvrj0apptest20af" timestamp="1580495388"&gt;6880&lt;/key&gt;&lt;/foreign-keys&gt;&lt;ref-type name="Journal Article"&gt;17&lt;/ref-type&gt;&lt;contributors&gt;&lt;authors&gt;&lt;author&gt;Gerson, LW&lt;/author&gt;&lt;author&gt;Stevens, JA&lt;/author&gt;&lt;/authors&gt;&lt;/contributors&gt;&lt;titles&gt;&lt;title&gt;Recreational injuries among older Americans, 2001&lt;/title&gt;&lt;secondary-title&gt;Injury Prevention&lt;/secondary-title&gt;&lt;/titles&gt;&lt;periodical&gt;&lt;full-title&gt;Injury prevention&lt;/full-title&gt;&lt;/periodical&gt;&lt;pages&gt;134-138&lt;/pages&gt;&lt;volume&gt;10&lt;/volume&gt;&lt;number&gt;3&lt;/number&gt;&lt;dates&gt;&lt;year&gt;2004&lt;/year&gt;&lt;/dates&gt;&lt;isbn&gt;1353-8047&lt;/isbn&gt;&lt;urls&gt;&lt;/urls&gt;&lt;/record&gt;&lt;/Cite&gt;&lt;/EndNote&gt;</w:instrText>
      </w:r>
      <w:r w:rsidR="00BD530F">
        <w:fldChar w:fldCharType="separate"/>
      </w:r>
      <w:r w:rsidR="00BD530F" w:rsidRPr="00BD530F">
        <w:rPr>
          <w:noProof/>
          <w:vertAlign w:val="superscript"/>
        </w:rPr>
        <w:t>2</w:t>
      </w:r>
      <w:r w:rsidR="00BD530F">
        <w:fldChar w:fldCharType="end"/>
      </w:r>
      <w:r w:rsidR="00B6408C">
        <w:t xml:space="preserve"> </w:t>
      </w:r>
      <w:r w:rsidR="00117004">
        <w:t xml:space="preserve">As the US population ages, so does the population undergoing treatment for injuries. </w:t>
      </w:r>
      <w:r w:rsidR="00831BFA">
        <w:t xml:space="preserve">Unintentional injury is the seventh leading cause of death of Americans 65 years-old and older. </w:t>
      </w:r>
      <w:r w:rsidR="00767162">
        <w:fldChar w:fldCharType="begin"/>
      </w:r>
      <w:r w:rsidR="00BD530F">
        <w:instrText xml:space="preserve"> ADDIN EN.CITE &lt;EndNote&gt;&lt;Cite&gt;&lt;Author&gt;Centers for Disease Control and Prevention&lt;/Author&gt;&lt;Year&gt;2017&lt;/Year&gt;&lt;RecNum&gt;6505&lt;/RecNum&gt;&lt;DisplayText&gt;&lt;style face="superscript"&gt;3&lt;/style&gt;&lt;/DisplayText&gt;&lt;record&gt;&lt;rec-number&gt;6505&lt;/rec-number&gt;&lt;foreign-keys&gt;&lt;key app="EN" db-id="9s5e9pzetvfd2hevt56xwvrj0apptest20af" timestamp="1548300376"&gt;6505&lt;/key&gt;&lt;/foreign-keys&gt;&lt;ref-type name="Generic"&gt;13&lt;/ref-type&gt;&lt;contributors&gt;&lt;authors&gt;&lt;author&gt;Centers for Disease Control and Prevention,&lt;/author&gt;&lt;/authors&gt;&lt;/contributors&gt;&lt;titles&gt;&lt;title&gt;10 Leading Causes of Death by Age Group, United States - 2016&lt;/title&gt;&lt;/titles&gt;&lt;dates&gt;&lt;year&gt;2017&lt;/year&gt;&lt;/dates&gt;&lt;pub-location&gt;Atlanta, GA&lt;/pub-location&gt;&lt;publisher&gt;Centers for Disease Control and Prevention, National Center for Injury Prevention and Control&lt;/publisher&gt;&lt;urls&gt;&lt;related-urls&gt;&lt;url&gt;https://www.cdc.gov/injury/images/lc-charts/leading_causes_of_death_age_group_2016_1056w814h.gif&lt;/url&gt;&lt;/related-urls&gt;&lt;/urls&gt;&lt;/record&gt;&lt;/Cite&gt;&lt;/EndNote&gt;</w:instrText>
      </w:r>
      <w:r w:rsidR="00767162">
        <w:fldChar w:fldCharType="separate"/>
      </w:r>
      <w:r w:rsidR="00BD530F" w:rsidRPr="00BD530F">
        <w:rPr>
          <w:noProof/>
          <w:vertAlign w:val="superscript"/>
        </w:rPr>
        <w:t>3</w:t>
      </w:r>
      <w:r w:rsidR="00767162">
        <w:fldChar w:fldCharType="end"/>
      </w:r>
      <w:r w:rsidR="00B6408C">
        <w:t xml:space="preserve"> </w:t>
      </w:r>
    </w:p>
    <w:p w14:paraId="0CE88BA9" w14:textId="5844D061" w:rsidR="00124370" w:rsidRDefault="00117004" w:rsidP="00381623">
      <w:pPr>
        <w:pStyle w:val="NoSpacing"/>
        <w:tabs>
          <w:tab w:val="left" w:pos="360"/>
        </w:tabs>
      </w:pPr>
      <w:r>
        <w:tab/>
        <w:t>The literature regarding elders sustaining injury while participating in high-risk recreational activities is accumulating</w:t>
      </w:r>
      <w:r w:rsidR="00A36EBB">
        <w:t xml:space="preserve"> but remains limited</w:t>
      </w:r>
      <w:r>
        <w:t>.</w:t>
      </w:r>
      <w:r w:rsidR="00B6408C">
        <w:t xml:space="preserve"> </w:t>
      </w:r>
      <w:r w:rsidR="00BD530F">
        <w:t xml:space="preserve">We seek to describe the population of elderly patients who are treated for injuries sustained while participating in high risk recreational activities. We will also compare several </w:t>
      </w:r>
      <w:r w:rsidR="002A6960">
        <w:t xml:space="preserve">injury severity-adjusted </w:t>
      </w:r>
      <w:r w:rsidR="00BD530F">
        <w:t>outcomes of elder patients</w:t>
      </w:r>
      <w:r w:rsidR="002A6960">
        <w:t xml:space="preserve"> to younger patients injured in similar mechanisms with similar injuries and similar likelihood of death due to injury. </w:t>
      </w:r>
    </w:p>
    <w:p w14:paraId="504290E2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8B0E24">
        <w:rPr>
          <w:b/>
          <w:highlight w:val="yellow"/>
        </w:rPr>
        <w:t>Hypothesis/Key Questions</w:t>
      </w:r>
      <w:r w:rsidRPr="008B0E24">
        <w:rPr>
          <w:highlight w:val="yellow"/>
        </w:rPr>
        <w:t>:</w:t>
      </w:r>
    </w:p>
    <w:p w14:paraId="24BD1AAD" w14:textId="3955AFE8" w:rsidR="00124370" w:rsidRDefault="002523FF" w:rsidP="00124370">
      <w:pPr>
        <w:pStyle w:val="NoSpacing"/>
        <w:tabs>
          <w:tab w:val="left" w:pos="360"/>
        </w:tabs>
        <w:ind w:left="360" w:hanging="360"/>
      </w:pPr>
      <w:r>
        <w:t xml:space="preserve">1. People </w:t>
      </w:r>
      <w:r w:rsidR="00A164E5">
        <w:t>are injured</w:t>
      </w:r>
      <w:r>
        <w:t xml:space="preserve"> in high</w:t>
      </w:r>
      <w:r w:rsidR="00A164E5">
        <w:t>-</w:t>
      </w:r>
      <w:r>
        <w:t xml:space="preserve">risk recreational activities well into their </w:t>
      </w:r>
      <w:r w:rsidR="00A164E5">
        <w:t>eighth decade of life and beyond (seventy years-old and older)</w:t>
      </w:r>
    </w:p>
    <w:p w14:paraId="0D7B06CB" w14:textId="4A4C34CB" w:rsidR="00A164E5" w:rsidRDefault="00A164E5" w:rsidP="00124370">
      <w:pPr>
        <w:pStyle w:val="NoSpacing"/>
        <w:tabs>
          <w:tab w:val="left" w:pos="360"/>
        </w:tabs>
        <w:ind w:left="360" w:hanging="360"/>
      </w:pPr>
      <w:r>
        <w:lastRenderedPageBreak/>
        <w:t xml:space="preserve">2. The </w:t>
      </w:r>
      <w:commentRangeStart w:id="0"/>
      <w:r>
        <w:t xml:space="preserve">median severity of injuries </w:t>
      </w:r>
      <w:commentRangeEnd w:id="0"/>
      <w:r w:rsidR="008B0E24">
        <w:rPr>
          <w:rStyle w:val="CommentReference"/>
          <w:rFonts w:eastAsia="Calibri"/>
        </w:rPr>
        <w:commentReference w:id="0"/>
      </w:r>
      <w:r>
        <w:t xml:space="preserve">among people who present to United States (US) emergency departments (EDs) for injuries sustained while participating in high-risk recreational activities </w:t>
      </w:r>
      <w:r w:rsidRPr="008B0E24">
        <w:rPr>
          <w:highlight w:val="yellow"/>
        </w:rPr>
        <w:t>will not differ by age groups</w:t>
      </w:r>
      <w:r>
        <w:t>.</w:t>
      </w:r>
    </w:p>
    <w:p w14:paraId="05B519E5" w14:textId="0F7C95A9" w:rsidR="00124370" w:rsidRDefault="0063470C" w:rsidP="009E6C62">
      <w:pPr>
        <w:pStyle w:val="NoSpacing"/>
        <w:tabs>
          <w:tab w:val="left" w:pos="360"/>
        </w:tabs>
        <w:ind w:left="360" w:hanging="360"/>
      </w:pPr>
      <w:r>
        <w:t>3. Hospital mortality will differ by age-group within mechanism of injury groups</w:t>
      </w:r>
    </w:p>
    <w:p w14:paraId="0FAF1EC4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Selection of Participants</w:t>
      </w:r>
      <w:r>
        <w:t>:</w:t>
      </w:r>
    </w:p>
    <w:p w14:paraId="2AFFC508" w14:textId="17F34823" w:rsidR="00272AD4" w:rsidRDefault="00272AD4" w:rsidP="00124370">
      <w:pPr>
        <w:pStyle w:val="NoSpacing"/>
        <w:tabs>
          <w:tab w:val="left" w:pos="360"/>
        </w:tabs>
        <w:ind w:left="360" w:hanging="360"/>
      </w:pPr>
      <w:r>
        <w:t xml:space="preserve">The data will originate from the </w:t>
      </w:r>
      <w:r w:rsidRPr="00272AD4">
        <w:t>N</w:t>
      </w:r>
      <w:r>
        <w:t>ationwide</w:t>
      </w:r>
      <w:r w:rsidRPr="00272AD4">
        <w:t xml:space="preserve"> E</w:t>
      </w:r>
      <w:r>
        <w:t>mergency</w:t>
      </w:r>
      <w:r w:rsidRPr="00272AD4">
        <w:t xml:space="preserve"> D</w:t>
      </w:r>
      <w:r>
        <w:t>epartment</w:t>
      </w:r>
      <w:r w:rsidRPr="00272AD4">
        <w:t xml:space="preserve"> S</w:t>
      </w:r>
      <w:r>
        <w:t>ample</w:t>
      </w:r>
      <w:r w:rsidR="004346E0">
        <w:t xml:space="preserve"> (NEDS)</w:t>
      </w:r>
      <w:r>
        <w:t xml:space="preserve">, a publicly available dataset available for purchase from the Agency for Healthcare Research and Quality (AHRQ) Healthcare Cost and Utilization Project (HCUP) for the </w:t>
      </w:r>
      <w:r w:rsidRPr="00E21233">
        <w:rPr>
          <w:highlight w:val="yellow"/>
        </w:rPr>
        <w:t>years 2010 through 2016</w:t>
      </w:r>
      <w:r>
        <w:t xml:space="preserve">. </w:t>
      </w:r>
      <w:hyperlink r:id="rId9" w:history="1">
        <w:r w:rsidR="00322EC1">
          <w:rPr>
            <w:rStyle w:val="Hyperlink"/>
          </w:rPr>
          <w:t>https://www.hcup-us.ahrq.gov/nedsoverview.jsp</w:t>
        </w:r>
      </w:hyperlink>
    </w:p>
    <w:p w14:paraId="348C13B4" w14:textId="39863AAE" w:rsidR="00124370" w:rsidRDefault="0063470C" w:rsidP="009E6C62">
      <w:pPr>
        <w:pStyle w:val="NoSpacing"/>
        <w:tabs>
          <w:tab w:val="left" w:pos="360"/>
        </w:tabs>
        <w:ind w:left="360" w:hanging="360"/>
      </w:pPr>
      <w:r w:rsidRPr="00E21233">
        <w:rPr>
          <w:highlight w:val="yellow"/>
        </w:rPr>
        <w:t xml:space="preserve">All patients aged </w:t>
      </w:r>
      <w:r w:rsidR="004F60D5" w:rsidRPr="00E21233">
        <w:rPr>
          <w:highlight w:val="yellow"/>
        </w:rPr>
        <w:t>50</w:t>
      </w:r>
      <w:r w:rsidRPr="00E21233">
        <w:rPr>
          <w:highlight w:val="yellow"/>
        </w:rPr>
        <w:t xml:space="preserve"> years and older wh</w:t>
      </w:r>
      <w:r w:rsidR="00272AD4" w:rsidRPr="00E21233">
        <w:rPr>
          <w:highlight w:val="yellow"/>
        </w:rPr>
        <w:t>o</w:t>
      </w:r>
      <w:r w:rsidRPr="00E21233">
        <w:rPr>
          <w:highlight w:val="yellow"/>
        </w:rPr>
        <w:t xml:space="preserve"> present to US EDs for </w:t>
      </w:r>
      <w:r w:rsidR="00272AD4" w:rsidRPr="00E21233">
        <w:rPr>
          <w:highlight w:val="yellow"/>
        </w:rPr>
        <w:t>treatment of injuries will be candidates for inclusion. Patients will be excluded if their injuries include burns, bites/stings, overexertion, poisoning, or misadventures of medical/surgical care.</w:t>
      </w:r>
    </w:p>
    <w:p w14:paraId="7CDCA1BA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Type of Study</w:t>
      </w:r>
      <w:r>
        <w:t>:</w:t>
      </w:r>
    </w:p>
    <w:p w14:paraId="43296618" w14:textId="6D85E738" w:rsidR="00124370" w:rsidRDefault="00124370" w:rsidP="009E6C62">
      <w:pPr>
        <w:pStyle w:val="NoSpacing"/>
        <w:tabs>
          <w:tab w:val="left" w:pos="360"/>
        </w:tabs>
        <w:ind w:left="360" w:hanging="360"/>
      </w:pPr>
      <w:r>
        <w:tab/>
        <w:t xml:space="preserve">Retrospective </w:t>
      </w:r>
      <w:r w:rsidR="00322EC1">
        <w:t>r</w:t>
      </w:r>
      <w:r>
        <w:t>eview</w:t>
      </w:r>
      <w:r w:rsidR="00322EC1">
        <w:t xml:space="preserve"> of publicly available patient data as described at </w:t>
      </w:r>
      <w:hyperlink r:id="rId10" w:history="1">
        <w:r w:rsidR="00322EC1">
          <w:rPr>
            <w:rStyle w:val="Hyperlink"/>
          </w:rPr>
          <w:t>https://www.hcup-us.ahrq.gov/nedsoverview.jsp</w:t>
        </w:r>
      </w:hyperlink>
    </w:p>
    <w:p w14:paraId="263E8B6D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Date Range of Data</w:t>
      </w:r>
      <w:r>
        <w:t>:</w:t>
      </w:r>
    </w:p>
    <w:p w14:paraId="2D640A4C" w14:textId="45045085" w:rsidR="00124370" w:rsidRDefault="00322EC1" w:rsidP="009E6C62">
      <w:pPr>
        <w:pStyle w:val="NoSpacing"/>
        <w:tabs>
          <w:tab w:val="left" w:pos="360"/>
        </w:tabs>
        <w:ind w:left="360" w:hanging="360"/>
      </w:pPr>
      <w:r>
        <w:t>2010 through 2016</w:t>
      </w:r>
    </w:p>
    <w:p w14:paraId="71EBE3CB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Study Methods</w:t>
      </w:r>
      <w:r>
        <w:t>:</w:t>
      </w:r>
    </w:p>
    <w:p w14:paraId="168B9282" w14:textId="18B34BDD" w:rsidR="002523FF" w:rsidRDefault="00322EC1" w:rsidP="00322EC1">
      <w:pPr>
        <w:pStyle w:val="NoSpacing"/>
        <w:tabs>
          <w:tab w:val="left" w:pos="360"/>
        </w:tabs>
        <w:ind w:left="360" w:hanging="360"/>
      </w:pPr>
      <w:r>
        <w:t>After applying the inclusion/exclusion criteria, we will f</w:t>
      </w:r>
      <w:r w:rsidR="002523FF">
        <w:t>irst</w:t>
      </w:r>
      <w:r>
        <w:t xml:space="preserve"> </w:t>
      </w:r>
      <w:r w:rsidR="002523FF">
        <w:t>empirically estimate the me</w:t>
      </w:r>
      <w:r>
        <w:t>di</w:t>
      </w:r>
      <w:r w:rsidR="002523FF">
        <w:t xml:space="preserve">an injury severity for each group of </w:t>
      </w:r>
      <w:r>
        <w:t>injury mechanisms as defined by the External Causes of Injury for the International Classification of Diseases Ninth and Tenth Revisions, Clinical Modifications (ICD-9-CM and ICD-10-CM, respectively).</w:t>
      </w:r>
    </w:p>
    <w:p w14:paraId="0380352F" w14:textId="420E6874" w:rsidR="002523FF" w:rsidRDefault="00322EC1" w:rsidP="00322EC1">
      <w:pPr>
        <w:pStyle w:val="NoSpacing"/>
        <w:tabs>
          <w:tab w:val="left" w:pos="360"/>
        </w:tabs>
        <w:ind w:left="360" w:hanging="360"/>
      </w:pPr>
      <w:r>
        <w:t xml:space="preserve">Then, we will </w:t>
      </w:r>
      <w:r w:rsidR="002523FF">
        <w:t xml:space="preserve">rank-order the </w:t>
      </w:r>
      <w:r w:rsidR="004F60D5">
        <w:t xml:space="preserve">ten most severe </w:t>
      </w:r>
      <w:r w:rsidR="002523FF">
        <w:t>mechanisms of injury by me</w:t>
      </w:r>
      <w:r>
        <w:t>di</w:t>
      </w:r>
      <w:r w:rsidR="002523FF">
        <w:t>an injury severity value</w:t>
      </w:r>
      <w:r w:rsidR="0002396C">
        <w:t xml:space="preserve">, the probability of death due exclusively to anatomic injuries, </w:t>
      </w:r>
      <w:r>
        <w:t xml:space="preserve">as computed using the </w:t>
      </w:r>
      <w:r w:rsidR="004346E0">
        <w:t>Trauma Mortality Prediction Model (TMPM) for the ICD-9-CM and ICD-10-CM lexicons, as appropriate.</w:t>
      </w:r>
      <w:r w:rsidR="006B1675">
        <w:fldChar w:fldCharType="begin">
          <w:fldData xml:space="preserve">PEVuZE5vdGU+PENpdGU+PEF1dGhvcj5Pc2xlcjwvQXV0aG9yPjxZZWFyPjIwMTk8L1llYXI+PFJl
Y051bT42NjE1PC9SZWNOdW0+PERpc3BsYXlUZXh0PjxzdHlsZSBmYWNlPSJzdXBlcnNjcmlwdCI+
NCw1PC9zdHlsZT48L0Rpc3BsYXlUZXh0PjxyZWNvcmQ+PHJlYy1udW1iZXI+NjYxNTwvcmVjLW51
bWJlcj48Zm9yZWlnbi1rZXlzPjxrZXkgYXBwPSJFTiIgZGItaWQ9IjlzNWU5cHpldHZmZDJoZXZ0
NTZ4d3ZyajBhcHB0ZXN0MjBhZiIgdGltZXN0YW1wPSIxNTU4MDQxOTgxIj42NjE1PC9rZXk+PC9m
b3JlaWduLWtleXM+PHJlZi10eXBlIG5hbWU9IkpvdXJuYWwgQXJ0aWNsZSI+MTc8L3JlZi10eXBl
Pjxjb250cmlidXRvcnM+PGF1dGhvcnM+PGF1dGhvcj5Pc2xlciwgVHVybmVyIE08L2F1dGhvcj48
YXV0aG9yPkdsYW5jZSwgTGF1cmVudCBHPC9hdXRob3I+PGF1dGhvcj5Db29rLCBBbGFuPC9hdXRo
b3I+PGF1dGhvcj5CdXphcywgSmVmZnJleSBTPC9hdXRob3I+PGF1dGhvcj5Ib3NtZXIsIERhdmlk
IFc8L2F1dGhvcj48L2F1dGhvcnM+PC9jb250cmlidXRvcnM+PHRpdGxlcz48dGl0bGU+QSB0cmF1
bWEgbW9ydGFsaXR5IHByZWRpY3Rpb24gbW9kZWwgYmFzZWQgb24gdGhlIElDRC0xMC1DTSBsZXhp
Y29uOiBUTVBNLUlDRDEwPC90aXRsZT48c2Vjb25kYXJ5LXRpdGxlPkpvdXJuYWwgb2YgVHJhdW1h
IGFuZCBBY3V0ZSBDYXJlIFN1cmdlcnk8L3NlY29uZGFyeS10aXRsZT48L3RpdGxlcz48cGVyaW9k
aWNhbD48ZnVsbC10aXRsZT5Kb3VybmFsIG9mIFRyYXVtYSBhbmQgQWN1dGUgQ2FyZSBTdXJnZXJ5
PC9mdWxsLXRpdGxlPjwvcGVyaW9kaWNhbD48cGFnZXM+ODkxLTg5NTwvcGFnZXM+PHZvbHVtZT44
Njwvdm9sdW1lPjxudW1iZXI+NTwvbnVtYmVyPjxkYXRlcz48eWVhcj4yMDE5PC95ZWFyPjwvZGF0
ZXM+PGlzYm4+MjE2My0wNzU1PC9pc2JuPjx1cmxzPjwvdXJscz48L3JlY29yZD48L0NpdGU+PENp
dGU+PEF1dGhvcj5HbGFuY2U8L0F1dGhvcj48WWVhcj4yMDA5PC9ZZWFyPjxSZWNOdW0+ODQ2PC9S
ZWNOdW0+PHJlY29yZD48cmVjLW51bWJlcj44NDY8L3JlYy1udW1iZXI+PGZvcmVpZ24ta2V5cz48
a2V5IGFwcD0iRU4iIGRiLWlkPSI5czVlOXB6ZXR2ZmQyaGV2dDU2eHd2cmowYXBwdGVzdDIwYWYi
IHRpbWVzdGFtcD0iMCI+ODQ2PC9rZXk+PC9mb3JlaWduLWtleXM+PHJlZi10eXBlIG5hbWU9Ikpv
dXJuYWwgQXJ0aWNsZSI+MTc8L3JlZi10eXBlPjxjb250cmlidXRvcnM+PGF1dGhvcnM+PGF1dGhv
cj5HbGFuY2UsIEwuIEcuPC9hdXRob3I+PGF1dGhvcj5Pc2xlciwgVC4gTS48L2F1dGhvcj48YXV0
aG9yPk11a2FtZWwsIEQuIEIuPC9hdXRob3I+PGF1dGhvcj5NZXJlZGl0aCwgVy48L2F1dGhvcj48
YXV0aG9yPldhZ25lciwgSi48L2F1dGhvcj48YXV0aG9yPkRpY2ssIEEuIFcuPC9hdXRob3I+PC9h
dXRob3JzPjwvY29udHJpYnV0b3JzPjxhdXRoLWFkZHJlc3M+RGVwYXJ0bWVudCBvZiBBbmVzdGhl
c2lvbG9neSwgVW5pdmVyc2l0eSBvZiBSb2NoZXN0ZXIgU2Nob29sIG9mIE1lZGljaW5lLCBSb2No
ZXN0ZXIsIE5ldyBZb3JrIDE0NjQyLCBVU0EuIExhdXJlbnRfR2xhbmNlQHVybWMucm9jaGVzdGVy
LmVkdTwvYXV0aC1hZGRyZXNzPjx0aXRsZXM+PHRpdGxlPlRNUE0tSUNEOTogYSB0cmF1bWEgbW9y
dGFsaXR5IHByZWRpY3Rpb24gbW9kZWwgYmFzZWQgb24gSUNELTktQ00gY29kZXM8L3RpdGxlPjxz
ZWNvbmRhcnktdGl0bGU+QW5uYWxzIG9mIFN1cmdlcnk8L3NlY29uZGFyeS10aXRsZT48L3RpdGxl
cz48cGVyaW9kaWNhbD48ZnVsbC10aXRsZT5Bbm5hbHMgb2Ygc3VyZ2VyeTwvZnVsbC10aXRsZT48
L3BlcmlvZGljYWw+PHBhZ2VzPjEwMzItOTwvcGFnZXM+PHZvbHVtZT4yNDk8L3ZvbHVtZT48bnVt
YmVyPjY8L251bWJlcj48ZWRpdGlvbj4yMDA5LzA1LzI5PC9lZGl0aW9uPjxrZXl3b3Jkcz48a2V5
d29yZD5BZHVsdDwva2V5d29yZD48a2V5d29yZD5EYXRhYmFzZXMsIEZhY3R1YWw8L2tleXdvcmQ+
PGtleXdvcmQ+RmVtYWxlPC9rZXl3b3JkPjxrZXl3b3JkPkh1bWFuczwva2V5d29yZD48a2V5d29y
ZD4qSW50ZXJuYXRpb25hbCBDbGFzc2lmaWNhdGlvbiBvZiBEaXNlYXNlczwva2V5d29yZD48a2V5
d29yZD5Mb2dpc3RpYyBNb2RlbHM8L2tleXdvcmQ+PGtleXdvcmQ+TWFsZTwva2V5d29yZD48a2V5
d29yZD5NaWRkbGUgQWdlZDwva2V5d29yZD48a2V5d29yZD5QcmVkaWN0aXZlIFZhbHVlIG9mIFRl
c3RzPC9rZXl3b3JkPjxrZXl3b3JkPlJlcHJvZHVjaWJpbGl0eSBvZiBSZXN1bHRzPC9rZXl3b3Jk
PjxrZXl3b3JkPlJldHJvc3BlY3RpdmUgU3R1ZGllczwva2V5d29yZD48a2V5d29yZD5SaXNrIEFk
anVzdG1lbnQ8L2tleXdvcmQ+PGtleXdvcmQ+KlRyYXVtYSBTZXZlcml0eSBJbmRpY2VzPC9rZXl3
b3JkPjxrZXl3b3JkPldvdW5kcyBhbmQgSW5qdXJpZXMvKm1vcnRhbGl0eTwva2V5d29yZD48L2tl
eXdvcmRzPjxkYXRlcz48eWVhcj4yMDA5PC95ZWFyPjxwdWItZGF0ZXM+PGRhdGU+SnVuPC9kYXRl
PjwvcHViLWRhdGVzPjwvZGF0ZXM+PGlzYm4+MTUyOC0xMTQwIChFbGVjdHJvbmljKTwvaXNibj48
YWNjZXNzaW9uLW51bT4xOTQ3NDY5NjwvYWNjZXNzaW9uLW51bT48dXJscz48cmVsYXRlZC11cmxz
Pjx1cmw+aHR0cDovL3d3dy5uY2JpLm5sbS5uaWguZ292L2VudHJlei9xdWVyeS5mY2dpP2NtZD1S
ZXRyaWV2ZSZhbXA7ZGI9UHViTWVkJmFtcDtkb3B0PUNpdGF0aW9uJmFtcDtsaXN0X3VpZHM9MTk0
NzQ2OTY8L3VybD48L3JlbGF0ZWQtdXJscz48L3VybHM+PGVsZWN0cm9uaWMtcmVzb3VyY2UtbnVt
PjEwLjEwOTcvU0xBLjBiMDEzZTMxODFhMzhmMjg8L2VsZWN0cm9uaWMtcmVzb3VyY2UtbnVtPjxs
YW5ndWFnZT5lbmc8L2xhbmd1YWdlPjwvcmVjb3JkPjwvQ2l0ZT48L0VuZE5vdGU+
</w:fldData>
        </w:fldChar>
      </w:r>
      <w:r w:rsidR="006B1675">
        <w:instrText xml:space="preserve"> ADDIN EN.CITE </w:instrText>
      </w:r>
      <w:r w:rsidR="006B1675">
        <w:fldChar w:fldCharType="begin">
          <w:fldData xml:space="preserve">PEVuZE5vdGU+PENpdGU+PEF1dGhvcj5Pc2xlcjwvQXV0aG9yPjxZZWFyPjIwMTk8L1llYXI+PFJl
Y051bT42NjE1PC9SZWNOdW0+PERpc3BsYXlUZXh0PjxzdHlsZSBmYWNlPSJzdXBlcnNjcmlwdCI+
NCw1PC9zdHlsZT48L0Rpc3BsYXlUZXh0PjxyZWNvcmQ+PHJlYy1udW1iZXI+NjYxNTwvcmVjLW51
bWJlcj48Zm9yZWlnbi1rZXlzPjxrZXkgYXBwPSJFTiIgZGItaWQ9IjlzNWU5cHpldHZmZDJoZXZ0
NTZ4d3ZyajBhcHB0ZXN0MjBhZiIgdGltZXN0YW1wPSIxNTU4MDQxOTgxIj42NjE1PC9rZXk+PC9m
b3JlaWduLWtleXM+PHJlZi10eXBlIG5hbWU9IkpvdXJuYWwgQXJ0aWNsZSI+MTc8L3JlZi10eXBl
Pjxjb250cmlidXRvcnM+PGF1dGhvcnM+PGF1dGhvcj5Pc2xlciwgVHVybmVyIE08L2F1dGhvcj48
YXV0aG9yPkdsYW5jZSwgTGF1cmVudCBHPC9hdXRob3I+PGF1dGhvcj5Db29rLCBBbGFuPC9hdXRo
b3I+PGF1dGhvcj5CdXphcywgSmVmZnJleSBTPC9hdXRob3I+PGF1dGhvcj5Ib3NtZXIsIERhdmlk
IFc8L2F1dGhvcj48L2F1dGhvcnM+PC9jb250cmlidXRvcnM+PHRpdGxlcz48dGl0bGU+QSB0cmF1
bWEgbW9ydGFsaXR5IHByZWRpY3Rpb24gbW9kZWwgYmFzZWQgb24gdGhlIElDRC0xMC1DTSBsZXhp
Y29uOiBUTVBNLUlDRDEwPC90aXRsZT48c2Vjb25kYXJ5LXRpdGxlPkpvdXJuYWwgb2YgVHJhdW1h
IGFuZCBBY3V0ZSBDYXJlIFN1cmdlcnk8L3NlY29uZGFyeS10aXRsZT48L3RpdGxlcz48cGVyaW9k
aWNhbD48ZnVsbC10aXRsZT5Kb3VybmFsIG9mIFRyYXVtYSBhbmQgQWN1dGUgQ2FyZSBTdXJnZXJ5
PC9mdWxsLXRpdGxlPjwvcGVyaW9kaWNhbD48cGFnZXM+ODkxLTg5NTwvcGFnZXM+PHZvbHVtZT44
Njwvdm9sdW1lPjxudW1iZXI+NTwvbnVtYmVyPjxkYXRlcz48eWVhcj4yMDE5PC95ZWFyPjwvZGF0
ZXM+PGlzYm4+MjE2My0wNzU1PC9pc2JuPjx1cmxzPjwvdXJscz48L3JlY29yZD48L0NpdGU+PENp
dGU+PEF1dGhvcj5HbGFuY2U8L0F1dGhvcj48WWVhcj4yMDA5PC9ZZWFyPjxSZWNOdW0+ODQ2PC9S
ZWNOdW0+PHJlY29yZD48cmVjLW51bWJlcj44NDY8L3JlYy1udW1iZXI+PGZvcmVpZ24ta2V5cz48
a2V5IGFwcD0iRU4iIGRiLWlkPSI5czVlOXB6ZXR2ZmQyaGV2dDU2eHd2cmowYXBwdGVzdDIwYWYi
IHRpbWVzdGFtcD0iMCI+ODQ2PC9rZXk+PC9mb3JlaWduLWtleXM+PHJlZi10eXBlIG5hbWU9Ikpv
dXJuYWwgQXJ0aWNsZSI+MTc8L3JlZi10eXBlPjxjb250cmlidXRvcnM+PGF1dGhvcnM+PGF1dGhv
cj5HbGFuY2UsIEwuIEcuPC9hdXRob3I+PGF1dGhvcj5Pc2xlciwgVC4gTS48L2F1dGhvcj48YXV0
aG9yPk11a2FtZWwsIEQuIEIuPC9hdXRob3I+PGF1dGhvcj5NZXJlZGl0aCwgVy48L2F1dGhvcj48
YXV0aG9yPldhZ25lciwgSi48L2F1dGhvcj48YXV0aG9yPkRpY2ssIEEuIFcuPC9hdXRob3I+PC9h
dXRob3JzPjwvY29udHJpYnV0b3JzPjxhdXRoLWFkZHJlc3M+RGVwYXJ0bWVudCBvZiBBbmVzdGhl
c2lvbG9neSwgVW5pdmVyc2l0eSBvZiBSb2NoZXN0ZXIgU2Nob29sIG9mIE1lZGljaW5lLCBSb2No
ZXN0ZXIsIE5ldyBZb3JrIDE0NjQyLCBVU0EuIExhdXJlbnRfR2xhbmNlQHVybWMucm9jaGVzdGVy
LmVkdTwvYXV0aC1hZGRyZXNzPjx0aXRsZXM+PHRpdGxlPlRNUE0tSUNEOTogYSB0cmF1bWEgbW9y
dGFsaXR5IHByZWRpY3Rpb24gbW9kZWwgYmFzZWQgb24gSUNELTktQ00gY29kZXM8L3RpdGxlPjxz
ZWNvbmRhcnktdGl0bGU+QW5uYWxzIG9mIFN1cmdlcnk8L3NlY29uZGFyeS10aXRsZT48L3RpdGxl
cz48cGVyaW9kaWNhbD48ZnVsbC10aXRsZT5Bbm5hbHMgb2Ygc3VyZ2VyeTwvZnVsbC10aXRsZT48
L3BlcmlvZGljYWw+PHBhZ2VzPjEwMzItOTwvcGFnZXM+PHZvbHVtZT4yNDk8L3ZvbHVtZT48bnVt
YmVyPjY8L251bWJlcj48ZWRpdGlvbj4yMDA5LzA1LzI5PC9lZGl0aW9uPjxrZXl3b3Jkcz48a2V5
d29yZD5BZHVsdDwva2V5d29yZD48a2V5d29yZD5EYXRhYmFzZXMsIEZhY3R1YWw8L2tleXdvcmQ+
PGtleXdvcmQ+RmVtYWxlPC9rZXl3b3JkPjxrZXl3b3JkPkh1bWFuczwva2V5d29yZD48a2V5d29y
ZD4qSW50ZXJuYXRpb25hbCBDbGFzc2lmaWNhdGlvbiBvZiBEaXNlYXNlczwva2V5d29yZD48a2V5
d29yZD5Mb2dpc3RpYyBNb2RlbHM8L2tleXdvcmQ+PGtleXdvcmQ+TWFsZTwva2V5d29yZD48a2V5
d29yZD5NaWRkbGUgQWdlZDwva2V5d29yZD48a2V5d29yZD5QcmVkaWN0aXZlIFZhbHVlIG9mIFRl
c3RzPC9rZXl3b3JkPjxrZXl3b3JkPlJlcHJvZHVjaWJpbGl0eSBvZiBSZXN1bHRzPC9rZXl3b3Jk
PjxrZXl3b3JkPlJldHJvc3BlY3RpdmUgU3R1ZGllczwva2V5d29yZD48a2V5d29yZD5SaXNrIEFk
anVzdG1lbnQ8L2tleXdvcmQ+PGtleXdvcmQ+KlRyYXVtYSBTZXZlcml0eSBJbmRpY2VzPC9rZXl3
b3JkPjxrZXl3b3JkPldvdW5kcyBhbmQgSW5qdXJpZXMvKm1vcnRhbGl0eTwva2V5d29yZD48L2tl
eXdvcmRzPjxkYXRlcz48eWVhcj4yMDA5PC95ZWFyPjxwdWItZGF0ZXM+PGRhdGU+SnVuPC9kYXRl
PjwvcHViLWRhdGVzPjwvZGF0ZXM+PGlzYm4+MTUyOC0xMTQwIChFbGVjdHJvbmljKTwvaXNibj48
YWNjZXNzaW9uLW51bT4xOTQ3NDY5NjwvYWNjZXNzaW9uLW51bT48dXJscz48cmVsYXRlZC11cmxz
Pjx1cmw+aHR0cDovL3d3dy5uY2JpLm5sbS5uaWguZ292L2VudHJlei9xdWVyeS5mY2dpP2NtZD1S
ZXRyaWV2ZSZhbXA7ZGI9UHViTWVkJmFtcDtkb3B0PUNpdGF0aW9uJmFtcDtsaXN0X3VpZHM9MTk0
NzQ2OTY8L3VybD48L3JlbGF0ZWQtdXJscz48L3VybHM+PGVsZWN0cm9uaWMtcmVzb3VyY2UtbnVt
PjEwLjEwOTcvU0xBLjBiMDEzZTMxODFhMzhmMjg8L2VsZWN0cm9uaWMtcmVzb3VyY2UtbnVtPjxs
YW5ndWFnZT5lbmc8L2xhbmd1YWdlPjwvcmVjb3JkPjwvQ2l0ZT48L0VuZE5vdGU+
</w:fldData>
        </w:fldChar>
      </w:r>
      <w:r w:rsidR="006B1675">
        <w:instrText xml:space="preserve"> ADDIN EN.CITE.DATA </w:instrText>
      </w:r>
      <w:r w:rsidR="006B1675">
        <w:fldChar w:fldCharType="end"/>
      </w:r>
      <w:r w:rsidR="006B1675">
        <w:fldChar w:fldCharType="separate"/>
      </w:r>
      <w:r w:rsidR="006B1675" w:rsidRPr="006B1675">
        <w:rPr>
          <w:noProof/>
          <w:vertAlign w:val="superscript"/>
        </w:rPr>
        <w:t>4,5</w:t>
      </w:r>
      <w:r w:rsidR="006B1675">
        <w:fldChar w:fldCharType="end"/>
      </w:r>
    </w:p>
    <w:p w14:paraId="379661E9" w14:textId="7355FE8D" w:rsidR="00C6700A" w:rsidRDefault="004346E0" w:rsidP="0064159A">
      <w:pPr>
        <w:pStyle w:val="NoSpacing"/>
        <w:tabs>
          <w:tab w:val="left" w:pos="360"/>
        </w:tabs>
        <w:ind w:left="360" w:hanging="360"/>
      </w:pPr>
      <w:r>
        <w:t xml:space="preserve">Finally, we will </w:t>
      </w:r>
      <w:r w:rsidR="002523FF">
        <w:t>compare the injury profiles</w:t>
      </w:r>
      <w:r>
        <w:t xml:space="preserve"> and case mortality rates, stratified by </w:t>
      </w:r>
      <w:commentRangeStart w:id="1"/>
      <w:r>
        <w:t>age group</w:t>
      </w:r>
      <w:r w:rsidR="004F60D5">
        <w:t xml:space="preserve"> </w:t>
      </w:r>
      <w:commentRangeEnd w:id="1"/>
      <w:r w:rsidR="00BF299C">
        <w:rPr>
          <w:rStyle w:val="CommentReference"/>
          <w:rFonts w:eastAsia="Calibri"/>
        </w:rPr>
        <w:commentReference w:id="1"/>
      </w:r>
      <w:r w:rsidR="004F60D5">
        <w:t xml:space="preserve">and </w:t>
      </w:r>
      <w:r>
        <w:t xml:space="preserve"> mechanism of injury group.</w:t>
      </w:r>
      <w:r w:rsidR="00C6700A">
        <w:t xml:space="preserve"> See </w:t>
      </w:r>
      <w:r w:rsidR="0064159A">
        <w:t>Figure 1.</w:t>
      </w:r>
    </w:p>
    <w:p w14:paraId="0668DAEB" w14:textId="5F91C8F9" w:rsidR="0095667F" w:rsidRDefault="0095667F" w:rsidP="00322EC1">
      <w:pPr>
        <w:pStyle w:val="NoSpacing"/>
        <w:tabs>
          <w:tab w:val="left" w:pos="360"/>
        </w:tabs>
        <w:ind w:left="360" w:hanging="360"/>
      </w:pPr>
      <w:r>
        <w:rPr>
          <w:noProof/>
        </w:rPr>
        <w:lastRenderedPageBreak/>
        <w:drawing>
          <wp:inline distT="0" distB="0" distL="0" distR="0" wp14:anchorId="76D7E690" wp14:editId="23CBDD02">
            <wp:extent cx="5384800" cy="35852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LC_studydia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21" cy="36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D76C" w14:textId="0D1F8B3B" w:rsidR="0095667F" w:rsidRDefault="0064159A" w:rsidP="00322EC1">
      <w:pPr>
        <w:pStyle w:val="NoSpacing"/>
        <w:tabs>
          <w:tab w:val="left" w:pos="360"/>
        </w:tabs>
        <w:ind w:left="360" w:hanging="360"/>
      </w:pPr>
      <w:r>
        <w:t xml:space="preserve">Figure 1. </w:t>
      </w:r>
      <w:r w:rsidR="009E6C62">
        <w:t>Scheme of study plan</w:t>
      </w:r>
    </w:p>
    <w:p w14:paraId="4D1BA516" w14:textId="77777777" w:rsidR="009E6C62" w:rsidRDefault="009E6C62" w:rsidP="00322EC1">
      <w:pPr>
        <w:pStyle w:val="NoSpacing"/>
        <w:tabs>
          <w:tab w:val="left" w:pos="360"/>
        </w:tabs>
        <w:ind w:left="360" w:hanging="360"/>
      </w:pPr>
    </w:p>
    <w:p w14:paraId="256D9C9C" w14:textId="77777777" w:rsidR="00124370" w:rsidRDefault="00124370" w:rsidP="0095667F">
      <w:pPr>
        <w:pStyle w:val="NoSpacing"/>
        <w:tabs>
          <w:tab w:val="left" w:pos="360"/>
        </w:tabs>
      </w:pPr>
      <w:r w:rsidRPr="00983706">
        <w:rPr>
          <w:b/>
        </w:rPr>
        <w:t>Confidentiality of Data</w:t>
      </w:r>
      <w:r>
        <w:t>:</w:t>
      </w:r>
    </w:p>
    <w:p w14:paraId="791DD772" w14:textId="1062CC22" w:rsidR="0095667F" w:rsidRDefault="00124370" w:rsidP="0095667F">
      <w:pPr>
        <w:pStyle w:val="NoSpacing"/>
        <w:tabs>
          <w:tab w:val="left" w:pos="360"/>
        </w:tabs>
        <w:ind w:left="360" w:hanging="360"/>
      </w:pPr>
      <w:r>
        <w:tab/>
      </w:r>
      <w:r w:rsidR="0095667F">
        <w:t>The records contained in NEDS are anonymized by AHRQ. As such the following apply:</w:t>
      </w:r>
    </w:p>
    <w:p w14:paraId="393DF790" w14:textId="453A813E" w:rsidR="0095667F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 xml:space="preserve">1. The data are universally </w:t>
      </w:r>
      <w:proofErr w:type="spellStart"/>
      <w:r>
        <w:t>accessable</w:t>
      </w:r>
      <w:proofErr w:type="spellEnd"/>
    </w:p>
    <w:p w14:paraId="76F11CC7" w14:textId="3C4F3EB9" w:rsidR="00124370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>2. The data will not be destroyed</w:t>
      </w:r>
    </w:p>
    <w:p w14:paraId="1AE9FB47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Consent</w:t>
      </w:r>
      <w:r>
        <w:t>:</w:t>
      </w:r>
    </w:p>
    <w:p w14:paraId="0E5E584B" w14:textId="571A297D" w:rsidR="00124370" w:rsidRDefault="0095667F" w:rsidP="0095667F">
      <w:pPr>
        <w:pStyle w:val="NoSpacing"/>
        <w:tabs>
          <w:tab w:val="left" w:pos="360"/>
        </w:tabs>
        <w:ind w:left="360" w:hanging="360"/>
      </w:pPr>
      <w:r>
        <w:tab/>
        <w:t>Not applicable</w:t>
      </w:r>
    </w:p>
    <w:p w14:paraId="546DF35C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Risks and Benefits</w:t>
      </w:r>
      <w:r>
        <w:t>:</w:t>
      </w:r>
    </w:p>
    <w:p w14:paraId="191E0084" w14:textId="39457753" w:rsidR="00124370" w:rsidRDefault="00124370" w:rsidP="00124370">
      <w:pPr>
        <w:pStyle w:val="NoSpacing"/>
        <w:tabs>
          <w:tab w:val="left" w:pos="360"/>
        </w:tabs>
        <w:ind w:left="360" w:hanging="360"/>
      </w:pPr>
      <w:r>
        <w:tab/>
        <w:t xml:space="preserve">Risks: </w:t>
      </w:r>
      <w:r w:rsidR="0095667F">
        <w:t>None</w:t>
      </w:r>
    </w:p>
    <w:p w14:paraId="3F893321" w14:textId="7599CA5D" w:rsidR="00124370" w:rsidRDefault="00124370" w:rsidP="006934F8">
      <w:pPr>
        <w:pStyle w:val="NoSpacing"/>
        <w:tabs>
          <w:tab w:val="left" w:pos="360"/>
        </w:tabs>
        <w:ind w:left="360" w:hanging="360"/>
      </w:pPr>
      <w:r>
        <w:tab/>
        <w:t xml:space="preserve">Benefits: </w:t>
      </w:r>
      <w:r w:rsidR="0095667F">
        <w:t>None</w:t>
      </w:r>
    </w:p>
    <w:p w14:paraId="0D7B60FE" w14:textId="77777777" w:rsidR="00124370" w:rsidRDefault="00124370" w:rsidP="00124370">
      <w:pPr>
        <w:pStyle w:val="NoSpacing"/>
        <w:tabs>
          <w:tab w:val="left" w:pos="360"/>
        </w:tabs>
        <w:ind w:left="360" w:hanging="360"/>
      </w:pPr>
      <w:r w:rsidRPr="00983706">
        <w:rPr>
          <w:b/>
        </w:rPr>
        <w:t>Statistical Considerations</w:t>
      </w:r>
      <w:r>
        <w:t>:</w:t>
      </w:r>
    </w:p>
    <w:p w14:paraId="4AB3D1EA" w14:textId="77777777" w:rsidR="006B1675" w:rsidRDefault="00124370" w:rsidP="006934F8">
      <w:pPr>
        <w:pStyle w:val="NoSpacing"/>
        <w:tabs>
          <w:tab w:val="left" w:pos="360"/>
        </w:tabs>
        <w:ind w:left="360" w:hanging="360"/>
      </w:pPr>
      <w:r>
        <w:tab/>
      </w:r>
      <w:r w:rsidR="006934F8">
        <w:t xml:space="preserve">1. Parametric and nonparametric will be applied to test significance of differences as appropriate. </w:t>
      </w:r>
    </w:p>
    <w:p w14:paraId="10871F91" w14:textId="3A7C5A8D" w:rsidR="00381623" w:rsidRDefault="006B1675" w:rsidP="009E6C62">
      <w:pPr>
        <w:pStyle w:val="NoSpacing"/>
        <w:tabs>
          <w:tab w:val="left" w:pos="360"/>
        </w:tabs>
        <w:ind w:left="360" w:hanging="360"/>
      </w:pPr>
      <w:r>
        <w:tab/>
      </w:r>
      <w:r w:rsidRPr="00E82891">
        <w:rPr>
          <w:highlight w:val="yellow"/>
        </w:rPr>
        <w:t>2. Multivariable logistic models for death will be hierarchical in nature, with mechanism of injury type and age group as random effect parameters</w:t>
      </w:r>
      <w:r>
        <w:t xml:space="preserve"> </w:t>
      </w:r>
    </w:p>
    <w:p w14:paraId="4FAAAB0A" w14:textId="617073F9" w:rsidR="00484982" w:rsidRDefault="00484982" w:rsidP="009E6C62">
      <w:pPr>
        <w:pStyle w:val="NoSpacing"/>
        <w:tabs>
          <w:tab w:val="left" w:pos="360"/>
        </w:tabs>
        <w:ind w:left="360" w:hanging="360"/>
      </w:pPr>
    </w:p>
    <w:p w14:paraId="321E1364" w14:textId="4452725E" w:rsidR="00484982" w:rsidRDefault="00484982" w:rsidP="009E6C62">
      <w:pPr>
        <w:pStyle w:val="NoSpacing"/>
        <w:tabs>
          <w:tab w:val="left" w:pos="360"/>
        </w:tabs>
        <w:ind w:left="360" w:hanging="360"/>
      </w:pPr>
      <w:r w:rsidRPr="00F7516C">
        <w:rPr>
          <w:b/>
          <w:bCs/>
        </w:rPr>
        <w:lastRenderedPageBreak/>
        <w:t>Data variables for study</w:t>
      </w:r>
      <w:r>
        <w:t>:</w:t>
      </w:r>
    </w:p>
    <w:p w14:paraId="466A8933" w14:textId="06F6CD91" w:rsidR="00484982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A</w:t>
      </w:r>
      <w:r w:rsidR="00484982" w:rsidRPr="00484982">
        <w:t xml:space="preserve">ge </w:t>
      </w:r>
    </w:p>
    <w:p w14:paraId="2EF7666B" w14:textId="240C68E4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Died in hospital</w:t>
      </w:r>
      <w:r w:rsidR="00484982" w:rsidRPr="00484982">
        <w:t xml:space="preserve"> </w:t>
      </w:r>
    </w:p>
    <w:p w14:paraId="5D71D6CA" w14:textId="1AC8F3A6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Discharge Weight</w:t>
      </w:r>
    </w:p>
    <w:p w14:paraId="764DC7A2" w14:textId="312D0914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Female Sex</w:t>
      </w:r>
      <w:r w:rsidR="00484982" w:rsidRPr="00484982">
        <w:t xml:space="preserve"> </w:t>
      </w:r>
    </w:p>
    <w:p w14:paraId="43FE246D" w14:textId="0410FBBC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 xml:space="preserve">Patient ID across hospital visits </w:t>
      </w:r>
      <w:r w:rsidR="00484982" w:rsidRPr="00484982">
        <w:t xml:space="preserve"> </w:t>
      </w:r>
    </w:p>
    <w:p w14:paraId="27182526" w14:textId="0C30D3AC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Patient ID distinct for each hospital visit</w:t>
      </w:r>
      <w:r w:rsidR="00484982" w:rsidRPr="00484982">
        <w:t xml:space="preserve"> </w:t>
      </w:r>
    </w:p>
    <w:p w14:paraId="4E7A1DC4" w14:textId="4067BAD3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Primary Payer</w:t>
      </w:r>
      <w:r w:rsidR="00484982" w:rsidRPr="00484982">
        <w:t xml:space="preserve"> </w:t>
      </w:r>
    </w:p>
    <w:p w14:paraId="244AA702" w14:textId="63D3D97E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Secondary Payer</w:t>
      </w:r>
    </w:p>
    <w:p w14:paraId="15CEEC5D" w14:textId="1214A9B8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Total Charge</w:t>
      </w:r>
      <w:r w:rsidR="00484982" w:rsidRPr="00484982">
        <w:t xml:space="preserve"> </w:t>
      </w:r>
      <w:r>
        <w:t>ED</w:t>
      </w:r>
    </w:p>
    <w:p w14:paraId="3DBFC0AD" w14:textId="7C08103E" w:rsidR="00F7516C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Total Charge Inpatient</w:t>
      </w:r>
    </w:p>
    <w:p w14:paraId="5E648DA0" w14:textId="1BE9F4F3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Year</w:t>
      </w:r>
      <w:r w:rsidR="00484982" w:rsidRPr="00484982">
        <w:t xml:space="preserve"> </w:t>
      </w:r>
    </w:p>
    <w:p w14:paraId="29FA5DE3" w14:textId="56AD2E66" w:rsidR="00484982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Income quartile of residence zip code</w:t>
      </w:r>
    </w:p>
    <w:p w14:paraId="0FF1E31C" w14:textId="53563ACC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Chronic conditions</w:t>
      </w:r>
    </w:p>
    <w:p w14:paraId="3CE80A3E" w14:textId="2E1A75EF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Procedures</w:t>
      </w:r>
    </w:p>
    <w:p w14:paraId="482B12C9" w14:textId="38C18683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Diagnoses</w:t>
      </w:r>
    </w:p>
    <w:p w14:paraId="73523471" w14:textId="6B97BB4B" w:rsidR="00846745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  <w:r>
        <w:t>External Causes of Injury and Poisoning (E-Code)</w:t>
      </w:r>
    </w:p>
    <w:p w14:paraId="36F92388" w14:textId="77777777" w:rsidR="00F7516C" w:rsidRDefault="00F7516C" w:rsidP="00484982">
      <w:pPr>
        <w:pStyle w:val="NoSpacing"/>
        <w:tabs>
          <w:tab w:val="left" w:pos="360"/>
        </w:tabs>
        <w:spacing w:line="240" w:lineRule="auto"/>
        <w:ind w:left="360" w:hanging="360"/>
      </w:pPr>
    </w:p>
    <w:p w14:paraId="35D1D3F7" w14:textId="77777777" w:rsidR="00846745" w:rsidRDefault="00846745" w:rsidP="00484982">
      <w:pPr>
        <w:pStyle w:val="NoSpacing"/>
        <w:tabs>
          <w:tab w:val="left" w:pos="360"/>
        </w:tabs>
        <w:spacing w:line="240" w:lineRule="auto"/>
        <w:ind w:left="360" w:hanging="360"/>
      </w:pPr>
      <w:bookmarkStart w:id="2" w:name="_GoBack"/>
      <w:bookmarkEnd w:id="2"/>
    </w:p>
    <w:p w14:paraId="0B7B4EE2" w14:textId="77777777" w:rsidR="009E6C62" w:rsidRDefault="009E6C62" w:rsidP="009E6C62">
      <w:pPr>
        <w:pStyle w:val="NoSpacing"/>
        <w:tabs>
          <w:tab w:val="left" w:pos="360"/>
        </w:tabs>
        <w:ind w:left="360" w:hanging="360"/>
      </w:pPr>
    </w:p>
    <w:p w14:paraId="79405DB2" w14:textId="77777777" w:rsidR="006B1675" w:rsidRPr="006B1675" w:rsidRDefault="00381623" w:rsidP="006B1675">
      <w:pPr>
        <w:pStyle w:val="EndNoteBibliographyTitle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B1675" w:rsidRPr="006B1675">
        <w:t>REFERENCES</w:t>
      </w:r>
    </w:p>
    <w:p w14:paraId="74AE15B5" w14:textId="77777777" w:rsidR="006B1675" w:rsidRPr="006B1675" w:rsidRDefault="006B1675" w:rsidP="006B1675">
      <w:pPr>
        <w:pStyle w:val="EndNoteBibliographyTitle"/>
      </w:pPr>
    </w:p>
    <w:p w14:paraId="5A5A4C6D" w14:textId="77777777" w:rsidR="006B1675" w:rsidRPr="006B1675" w:rsidRDefault="006B1675" w:rsidP="006B1675">
      <w:pPr>
        <w:pStyle w:val="EndNoteBibliography"/>
        <w:ind w:left="720" w:hanging="720"/>
      </w:pPr>
      <w:r w:rsidRPr="006B1675">
        <w:t>1.</w:t>
      </w:r>
      <w:r w:rsidRPr="006B1675">
        <w:tab/>
        <w:t>Howden L, Meyer J. Age and sex composition, 2010. Washington, D.C.: U.S. Department of Commerce, Economics and Statistics Administration, U.S. Census Bureau; 2011.</w:t>
      </w:r>
    </w:p>
    <w:p w14:paraId="0A31024C" w14:textId="77777777" w:rsidR="006B1675" w:rsidRPr="006B1675" w:rsidRDefault="006B1675" w:rsidP="006B1675">
      <w:pPr>
        <w:pStyle w:val="EndNoteBibliography"/>
        <w:ind w:left="720" w:hanging="720"/>
      </w:pPr>
      <w:r w:rsidRPr="006B1675">
        <w:t>2.</w:t>
      </w:r>
      <w:r w:rsidRPr="006B1675">
        <w:tab/>
        <w:t>Gerson L, Stevens J. Recreational injuries among older Americans, 2001. Injury Prevention 2004;10:134-8.</w:t>
      </w:r>
    </w:p>
    <w:p w14:paraId="34E3F702" w14:textId="77777777" w:rsidR="006B1675" w:rsidRPr="006B1675" w:rsidRDefault="006B1675" w:rsidP="006B1675">
      <w:pPr>
        <w:pStyle w:val="EndNoteBibliography"/>
        <w:ind w:left="720" w:hanging="720"/>
      </w:pPr>
      <w:r w:rsidRPr="006B1675">
        <w:t>3.</w:t>
      </w:r>
      <w:r w:rsidRPr="006B1675">
        <w:tab/>
        <w:t>Centers for Disease Control and Prevention. 10 Leading Causes of Death by Age Group, United States - 2016. Atlanta, GA: Centers for Disease Control and Prevention, National Center for Injury Prevention and Control; 2017.</w:t>
      </w:r>
    </w:p>
    <w:p w14:paraId="265FBBBF" w14:textId="77777777" w:rsidR="006B1675" w:rsidRPr="006B1675" w:rsidRDefault="006B1675" w:rsidP="006B1675">
      <w:pPr>
        <w:pStyle w:val="EndNoteBibliography"/>
        <w:ind w:left="720" w:hanging="720"/>
      </w:pPr>
      <w:r w:rsidRPr="006B1675">
        <w:t>4.</w:t>
      </w:r>
      <w:r w:rsidRPr="006B1675">
        <w:tab/>
        <w:t>Osler TM, Glance LG, Cook A, Buzas JS, Hosmer DW. A trauma mortality prediction model based on the ICD-10-CM lexicon: TMPM-ICD10. Journal of Trauma and Acute Care Surgery 2019;86:891-5.</w:t>
      </w:r>
    </w:p>
    <w:p w14:paraId="0721346B" w14:textId="77777777" w:rsidR="006B1675" w:rsidRPr="006B1675" w:rsidRDefault="006B1675" w:rsidP="006B1675">
      <w:pPr>
        <w:pStyle w:val="EndNoteBibliography"/>
        <w:ind w:left="720" w:hanging="720"/>
      </w:pPr>
      <w:r w:rsidRPr="006B1675">
        <w:t>5.</w:t>
      </w:r>
      <w:r w:rsidRPr="006B1675">
        <w:tab/>
        <w:t>Glance LG, Osler TM, Mukamel DB, Meredith W, Wagner J, Dick AW. TMPM-ICD9: a trauma mortality prediction model based on ICD-9-CM codes. Annals of Surgery 2009;249:1032-9.</w:t>
      </w:r>
    </w:p>
    <w:p w14:paraId="20570912" w14:textId="05F16A49" w:rsidR="00124370" w:rsidRPr="00124370" w:rsidRDefault="00381623" w:rsidP="00124370">
      <w:pPr>
        <w:pStyle w:val="NoSpacing"/>
        <w:tabs>
          <w:tab w:val="left" w:pos="360"/>
        </w:tabs>
      </w:pPr>
      <w:r>
        <w:fldChar w:fldCharType="end"/>
      </w:r>
    </w:p>
    <w:sectPr w:rsidR="00124370" w:rsidRPr="00124370" w:rsidSect="00F61B0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den-Foreman, Jacob W." w:date="2020-03-27T14:32:00Z" w:initials="RJW">
    <w:p w14:paraId="1D4699F7" w14:textId="001A29C6" w:rsidR="008B0E24" w:rsidRDefault="008B0E24">
      <w:pPr>
        <w:pStyle w:val="CommentText"/>
      </w:pPr>
      <w:r>
        <w:rPr>
          <w:rStyle w:val="CommentReference"/>
        </w:rPr>
        <w:annotationRef/>
      </w:r>
      <w:r>
        <w:t>ISS</w:t>
      </w:r>
      <w:r w:rsidR="00FD5147">
        <w:t xml:space="preserve"> or TMPM?</w:t>
      </w:r>
    </w:p>
  </w:comment>
  <w:comment w:id="1" w:author="Roden-Foreman, Jacob W." w:date="2020-03-27T14:34:00Z" w:initials="RJW">
    <w:p w14:paraId="7B7112AE" w14:textId="1F510052" w:rsidR="00BF299C" w:rsidRDefault="00BF299C">
      <w:pPr>
        <w:pStyle w:val="CommentText"/>
      </w:pPr>
      <w:r>
        <w:rPr>
          <w:rStyle w:val="CommentReference"/>
        </w:rPr>
        <w:annotationRef/>
      </w:r>
      <w:r>
        <w:t>50-65, 66-80, &amp; &gt;80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4699F7" w15:done="0"/>
  <w15:commentEx w15:paraId="7B7112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4699F7" w16cid:durableId="22288CE6"/>
  <w16cid:commentId w16cid:paraId="7B7112AE" w16cid:durableId="22288D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7452"/>
    <w:multiLevelType w:val="hybridMultilevel"/>
    <w:tmpl w:val="9C723BA0"/>
    <w:lvl w:ilvl="0" w:tplc="FB72C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AD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5EC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6F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47C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C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B29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EA9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5C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10799"/>
    <w:multiLevelType w:val="hybridMultilevel"/>
    <w:tmpl w:val="67942E4A"/>
    <w:lvl w:ilvl="0" w:tplc="EBD0519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en-Foreman, Jacob W.">
    <w15:presenceInfo w15:providerId="AD" w15:userId="S::e92458@bswhealth.org::4d58c8ce-c79b-4848-8d5d-50654c9fab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5e9pzetvfd2hevt56xwvrj0apptest20af&quot;&gt;Cooks_Refs&lt;record-ids&gt;&lt;item&gt;846&lt;/item&gt;&lt;item&gt;6505&lt;/item&gt;&lt;item&gt;6615&lt;/item&gt;&lt;item&gt;6877&lt;/item&gt;&lt;item&gt;6880&lt;/item&gt;&lt;/record-ids&gt;&lt;/item&gt;&lt;/Libraries&gt;"/>
  </w:docVars>
  <w:rsids>
    <w:rsidRoot w:val="00124370"/>
    <w:rsid w:val="0002396C"/>
    <w:rsid w:val="000326B7"/>
    <w:rsid w:val="00065DDB"/>
    <w:rsid w:val="00095E57"/>
    <w:rsid w:val="00117004"/>
    <w:rsid w:val="00124370"/>
    <w:rsid w:val="00160715"/>
    <w:rsid w:val="001B6786"/>
    <w:rsid w:val="001E1AE9"/>
    <w:rsid w:val="002523FF"/>
    <w:rsid w:val="002561C4"/>
    <w:rsid w:val="00272AD4"/>
    <w:rsid w:val="002A6960"/>
    <w:rsid w:val="00322EC1"/>
    <w:rsid w:val="00351F89"/>
    <w:rsid w:val="00381623"/>
    <w:rsid w:val="003F2A33"/>
    <w:rsid w:val="00414E89"/>
    <w:rsid w:val="00426688"/>
    <w:rsid w:val="004346E0"/>
    <w:rsid w:val="00484982"/>
    <w:rsid w:val="004F60D5"/>
    <w:rsid w:val="00551A99"/>
    <w:rsid w:val="00612C99"/>
    <w:rsid w:val="00632E87"/>
    <w:rsid w:val="0063470C"/>
    <w:rsid w:val="0064159A"/>
    <w:rsid w:val="006934F8"/>
    <w:rsid w:val="006B1675"/>
    <w:rsid w:val="006B514F"/>
    <w:rsid w:val="00731D18"/>
    <w:rsid w:val="00767162"/>
    <w:rsid w:val="007E67B4"/>
    <w:rsid w:val="00810A70"/>
    <w:rsid w:val="0081767B"/>
    <w:rsid w:val="00831BFA"/>
    <w:rsid w:val="008445BD"/>
    <w:rsid w:val="00846745"/>
    <w:rsid w:val="008B0E24"/>
    <w:rsid w:val="008F1A97"/>
    <w:rsid w:val="008F52B7"/>
    <w:rsid w:val="009537B2"/>
    <w:rsid w:val="0095667F"/>
    <w:rsid w:val="00983706"/>
    <w:rsid w:val="009E6C62"/>
    <w:rsid w:val="00A164E5"/>
    <w:rsid w:val="00A36EBB"/>
    <w:rsid w:val="00A51084"/>
    <w:rsid w:val="00AE7038"/>
    <w:rsid w:val="00B25ADD"/>
    <w:rsid w:val="00B4326E"/>
    <w:rsid w:val="00B555E8"/>
    <w:rsid w:val="00B6408C"/>
    <w:rsid w:val="00B73387"/>
    <w:rsid w:val="00BD530F"/>
    <w:rsid w:val="00BE09E9"/>
    <w:rsid w:val="00BF299C"/>
    <w:rsid w:val="00C6592E"/>
    <w:rsid w:val="00C6700A"/>
    <w:rsid w:val="00D43CA7"/>
    <w:rsid w:val="00D74FA6"/>
    <w:rsid w:val="00DA29AD"/>
    <w:rsid w:val="00DE70F4"/>
    <w:rsid w:val="00E21233"/>
    <w:rsid w:val="00E551ED"/>
    <w:rsid w:val="00E82891"/>
    <w:rsid w:val="00EB120C"/>
    <w:rsid w:val="00EC6466"/>
    <w:rsid w:val="00F3592D"/>
    <w:rsid w:val="00F61B0B"/>
    <w:rsid w:val="00F74A71"/>
    <w:rsid w:val="00F7516C"/>
    <w:rsid w:val="00F8371D"/>
    <w:rsid w:val="00FA79B9"/>
    <w:rsid w:val="00F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C969"/>
  <w15:chartTrackingRefBased/>
  <w15:docId w15:val="{9B25648C-FCA4-41FC-980E-CEC42E3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1E1AE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next w:val="NoSpacing"/>
    <w:uiPriority w:val="34"/>
    <w:qFormat/>
    <w:rsid w:val="00095E57"/>
    <w:pPr>
      <w:ind w:left="720"/>
      <w:contextualSpacing/>
    </w:pPr>
    <w:rPr>
      <w:rFonts w:eastAsiaTheme="minorHAnsi"/>
    </w:rPr>
  </w:style>
  <w:style w:type="paragraph" w:styleId="NoSpacing">
    <w:name w:val="No Spacing"/>
    <w:link w:val="NoSpacingChar"/>
    <w:uiPriority w:val="1"/>
    <w:qFormat/>
    <w:rsid w:val="0081767B"/>
    <w:rPr>
      <w:rFonts w:eastAsiaTheme="minorHAnsi"/>
    </w:rPr>
  </w:style>
  <w:style w:type="paragraph" w:customStyle="1" w:styleId="EndNoteBibliographyTitle">
    <w:name w:val="EndNote Bibliography Title"/>
    <w:basedOn w:val="Normal"/>
    <w:link w:val="EndNoteBibliographyTitleChar"/>
    <w:rsid w:val="00381623"/>
    <w:pPr>
      <w:jc w:val="center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381623"/>
    <w:rPr>
      <w:rFonts w:eastAsiaTheme="minorHAnsi"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381623"/>
    <w:rPr>
      <w:rFonts w:eastAsiaTheme="minorHAnsi"/>
      <w:noProof/>
    </w:rPr>
  </w:style>
  <w:style w:type="paragraph" w:customStyle="1" w:styleId="EndNoteBibliography">
    <w:name w:val="EndNote Bibliography"/>
    <w:basedOn w:val="Normal"/>
    <w:link w:val="EndNoteBibliographyChar"/>
    <w:rsid w:val="00381623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381623"/>
    <w:rPr>
      <w:rFonts w:eastAsiaTheme="minorHAnsi"/>
      <w:noProof/>
    </w:rPr>
  </w:style>
  <w:style w:type="table" w:styleId="TableGrid">
    <w:name w:val="Table Grid"/>
    <w:basedOn w:val="TableNormal"/>
    <w:uiPriority w:val="39"/>
    <w:rsid w:val="00B25A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22EC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0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E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E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www.hcup-us.ahrq.gov/nedsoverview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cup-us.ahrq.gov/nedsoverview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66FA-701C-F842-A88A-42FA17A6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1266</Words>
  <Characters>6837</Characters>
  <Application>Microsoft Office Word</Application>
  <DocSecurity>0</DocSecurity>
  <Lines>115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Cook, MD, MS, FACS</dc:creator>
  <cp:keywords/>
  <dc:description/>
  <cp:lastModifiedBy>Roden-Foreman, Jacob W.</cp:lastModifiedBy>
  <cp:revision>7</cp:revision>
  <dcterms:created xsi:type="dcterms:W3CDTF">2020-02-19T14:23:00Z</dcterms:created>
  <dcterms:modified xsi:type="dcterms:W3CDTF">2020-03-27T20:01:00Z</dcterms:modified>
</cp:coreProperties>
</file>