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1A2E"/>
          <w:sz w:val="56"/>
          <w:szCs w:val="56"/>
        </w:rPr>
        <w:t xml:space="preserve">CULTURAL OBSERVATORY</w:t>
      </w:r>
    </w:p>
    <w:p>
      <w:pPr>
        <w:spacing w:after="120"/>
        <w:jc w:val="center"/>
      </w:pPr>
      <w:r>
        <w:rPr>
          <w:rFonts w:ascii="Arial" w:cs="Arial" w:eastAsia="Arial" w:hAnsi="Arial"/>
          <w:color w:val="0F3460"/>
          <w:sz w:val="32"/>
          <w:szCs w:val="32"/>
        </w:rPr>
        <w:t xml:space="preserve">Podcast-Based Narrative Intelligence Platform</w:t>
      </w:r>
    </w:p>
    <w:p>
      <w:pPr>
        <w:spacing w:after="200"/>
      </w:pPr>
    </w:p>
    <w:p>
      <w:pPr>
        <w:spacing w:after="80"/>
        <w:jc w:val="center"/>
      </w:pPr>
      <w:r>
        <w:rPr>
          <w:rFonts w:ascii="Arial" w:cs="Arial" w:eastAsia="Arial" w:hAnsi="Arial"/>
          <w:color w:val="666666"/>
          <w:sz w:val="22"/>
          <w:szCs w:val="22"/>
        </w:rPr>
        <w:t xml:space="preserve">Product Strategy, Technical Architecture &amp; Implementation Plan</w:t>
      </w:r>
    </w:p>
    <w:p>
      <w:pPr>
        <w:spacing w:after="600"/>
      </w:pPr>
    </w:p>
    <w:p>
      <w:pPr>
        <w:spacing w:after="80"/>
        <w:jc w:val="center"/>
      </w:pPr>
      <w:r>
        <w:rPr>
          <w:rFonts w:ascii="Arial" w:cs="Arial" w:eastAsia="Arial" w:hAnsi="Arial"/>
          <w:color w:val="666666"/>
          <w:sz w:val="22"/>
          <w:szCs w:val="22"/>
        </w:rPr>
        <w:t xml:space="preserve">February 2026</w:t>
      </w:r>
    </w:p>
    <w:p>
      <w:pPr>
        <w:spacing w:after="80"/>
        <w:jc w:val="center"/>
      </w:pPr>
      <w:r>
        <w:rPr>
          <w:rFonts w:ascii="Arial" w:cs="Arial" w:eastAsia="Arial" w:hAnsi="Arial"/>
          <w:color w:val="222222"/>
          <w:sz w:val="22"/>
          <w:szCs w:val="22"/>
        </w:rPr>
        <w:t xml:space="preserve">James Lathion</w:t>
      </w:r>
    </w:p>
    <w:p>
      <w:pPr>
        <w:spacing w:after="800"/>
      </w:pPr>
    </w:p>
    <w:p>
      <w:pPr>
        <w:jc w:val="center"/>
      </w:pPr>
      <w:r>
        <w:rPr>
          <w:rFonts w:ascii="Arial" w:cs="Arial" w:eastAsia="Arial" w:hAnsi="Arial"/>
          <w:b/>
          <w:bCs/>
          <w:caps/>
          <w:color w:val="E94560"/>
          <w:sz w:val="18"/>
          <w:szCs w:val="18"/>
        </w:rPr>
        <w:t xml:space="preserve">CONFIDENTIAL</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A1A2E"/>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t xml:space="preserve">The Cultural Observatory is a proposed platform that ingests large-scale podcast content, applies semantic analysis and rhetorical framing classification, and detects meaningful shifts in public discourse over time. The core bet: podcasts are an under-indexed, high-signal source of how narratives form, spread, and mutate — and systematic analysis of this medium can produce intelligence that no other data source provides.</w:t>
      </w:r>
    </w:p>
    <w:p>
      <w:pPr>
        <w:spacing w:after="160"/>
      </w:pPr>
      <w:r>
        <w:t xml:space="preserve">This document captures the strategic rationale, technical architecture, implementation plan, and scaling strategy for the platform. It synthesizes original analysis with findings from external market research, arriving at a more grounded and actionable approach than either source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4560" w:sz="6"/>
              <w:bottom w:val="single" w:color="CCCCCC" w:sz="1"/>
              <w:right w:val="single" w:color="CCCCCC" w:sz="1"/>
            </w:tcBorders>
            <w:shd w:fill="FFF5F6"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Core Value Proposition</w:t>
            </w:r>
          </w:p>
          <w:p>
            <w:pPr>
              <w:spacing w:after="60"/>
            </w:pPr>
            <w:r>
              <w:rPr>
                <w:rFonts w:ascii="Arial" w:cs="Arial" w:eastAsia="Arial" w:hAnsi="Arial"/>
                <w:sz w:val="20"/>
                <w:szCs w:val="20"/>
              </w:rPr>
              <w:t xml:space="preserve">Detect and explain narrative shifts in public discourse before they become consensus.</w:t>
            </w:r>
          </w:p>
          <w:p>
            <w:pPr>
              <w:spacing w:after="60"/>
            </w:pPr>
            <w:r>
              <w:rPr>
                <w:rFonts w:ascii="Arial" w:cs="Arial" w:eastAsia="Arial" w:hAnsi="Arial"/>
                <w:sz w:val="20"/>
                <w:szCs w:val="20"/>
              </w:rPr>
              <w:t xml:space="preserve">Turn podcast content — the most authentic, long-form public reasoning available — into structured intelligence for enterprise buyers, researchers, and strategic decision-makers.</w:t>
            </w:r>
          </w:p>
        </w:tc>
      </w:tr>
    </w:tbl>
    <w:p>
      <w:pPr>
        <w:spacing w:after="100"/>
      </w:pPr>
    </w:p>
    <w:p>
      <w:pPr>
        <w:spacing w:after="160"/>
      </w:pPr>
      <w:r>
        <w:t xml:space="preserve">The recommended path is to build proof of methodology first, not a platform. The initial beachhead is DEI discourse, where the founder has 15+ years of domain authority, was the buyer for this type of intelligence at Fortune 100 companies, and can personally validate whether detected signals represent real shifts or noise. This solves the hardest evaluation problem in the system.</w:t>
      </w:r>
    </w:p>
    <w:p>
      <w:r>
        <w:br w:type="page"/>
      </w:r>
    </w:p>
    <w:p>
      <w:pPr>
        <w:pStyle w:val="Heading1"/>
      </w:pPr>
      <w:r>
        <w:t xml:space="preserve">Concept &amp; Market Context</w:t>
      </w:r>
    </w:p>
    <w:p>
      <w:pPr>
        <w:pStyle w:val="Heading2"/>
      </w:pPr>
      <w:r>
        <w:t xml:space="preserve">The Idea</w:t>
      </w:r>
    </w:p>
    <w:p>
      <w:pPr>
        <w:spacing w:after="160"/>
      </w:pPr>
      <w:r>
        <w:t xml:space="preserve">Three interlocking capabilities form the product thesis:</w:t>
      </w:r>
    </w:p>
    <w:p>
      <w:pPr>
        <w:pStyle w:val="ListParagraph"/>
        <w:numPr>
          <w:ilvl w:val="0"/>
          <w:numId w:val="2"/>
        </w:numPr>
        <w:spacing w:after="80"/>
      </w:pPr>
      <w:r>
        <w:rPr>
          <w:b/>
          <w:bCs/>
        </w:rPr>
        <w:t xml:space="preserve">Creator Insights:</w:t>
      </w:r>
      <w:r>
        <w:t xml:space="preserve"> Analytics and audience intelligence for podcast creators.</w:t>
      </w:r>
    </w:p>
    <w:p>
      <w:pPr>
        <w:pStyle w:val="ListParagraph"/>
        <w:numPr>
          <w:ilvl w:val="0"/>
          <w:numId w:val="2"/>
        </w:numPr>
        <w:spacing w:after="80"/>
      </w:pPr>
      <w:r>
        <w:rPr>
          <w:b/>
          <w:bCs/>
        </w:rPr>
        <w:t xml:space="preserve">Cultural Change Mapping:</w:t>
      </w:r>
      <w:r>
        <w:t xml:space="preserve"> The primary focus. Systematic detection of how framing, arguments, and rhetoric evolve across a podcast corpus over time.</w:t>
      </w:r>
    </w:p>
    <w:p>
      <w:pPr>
        <w:pStyle w:val="ListParagraph"/>
        <w:numPr>
          <w:ilvl w:val="0"/>
          <w:numId w:val="2"/>
        </w:numPr>
        <w:spacing w:after="80"/>
      </w:pPr>
      <w:r>
        <w:rPr>
          <w:b/>
          <w:bCs/>
        </w:rPr>
        <w:t xml:space="preserve">Defensible Intelligence Business:</w:t>
      </w:r>
      <w:r>
        <w:t xml:space="preserve"> Enterprise-grade narrative intelligence sold to strategy firms, policy organizations, and corporate leaders — modeled on firms like Gravity Research.</w:t>
      </w:r>
    </w:p>
    <w:p>
      <w:pPr>
        <w:spacing w:after="160"/>
      </w:pPr>
      <w:r>
        <w:t xml:space="preserve">The key insight is that podcasts are uniquely high-signal for discourse analysis. Unlike social media (short, performative, algorithmically distorted) or traditional media (edited, institutional), podcasts capture long-form, authentic reasoning in speakers’ own words. When someone spends 60+ minutes explaining their worldview, the rhetorical frames they deploy are genuine reflections of how they think and argue.</w:t>
      </w:r>
    </w:p>
    <w:p>
      <w:pPr>
        <w:pStyle w:val="Heading2"/>
      </w:pPr>
      <w:r>
        <w:t xml:space="preserve">External Research Findings</w:t>
      </w:r>
    </w:p>
    <w:p>
      <w:pPr>
        <w:spacing w:after="160"/>
      </w:pPr>
      <w:r>
        <w:t xml:space="preserve">An independent market assessment (conducted via Perplexity Deep Research, February 2026) returned a conditional positive verdict on the concept. Key findings:</w:t>
      </w:r>
    </w:p>
    <w:p>
      <w:pPr>
        <w:pStyle w:val="ListParagraph"/>
        <w:numPr>
          <w:ilvl w:val="0"/>
          <w:numId w:val="2"/>
        </w:numPr>
        <w:spacing w:after="80"/>
      </w:pPr>
      <w:r>
        <w:t xml:space="preserve">Estimated TAM of $70–80M for podcast-specific narrative intelligence, with an enterprise intelligence wedge at $40–80K/year per client.</w:t>
      </w:r>
    </w:p>
    <w:p>
      <w:pPr>
        <w:pStyle w:val="ListParagraph"/>
        <w:numPr>
          <w:ilvl w:val="0"/>
          <w:numId w:val="2"/>
        </w:numPr>
        <w:spacing w:after="80"/>
      </w:pPr>
      <w:r>
        <w:t xml:space="preserve">Recommended academic credibility first, lighthouse clients (McKinsey, Brookings), and a hybrid platform + analyst model.</w:t>
      </w:r>
    </w:p>
    <w:p>
      <w:pPr>
        <w:pStyle w:val="ListParagraph"/>
        <w:numPr>
          <w:ilvl w:val="0"/>
          <w:numId w:val="2"/>
        </w:numPr>
        <w:spacing w:after="80"/>
      </w:pPr>
      <w:r>
        <w:t xml:space="preserve">Identified comparables including Gravity Research, Audioburst, and Podscribe, though none combine discourse analysis with drift detection.</w:t>
      </w:r>
    </w:p>
    <w:p>
      <w:pPr>
        <w:pStyle w:val="Heading2"/>
      </w:pPr>
      <w:r>
        <w:t xml:space="preserve">Strategic Critique</w:t>
      </w:r>
    </w:p>
    <w:p>
      <w:pPr>
        <w:spacing w:after="160"/>
      </w:pPr>
      <w:r>
        <w:t xml:space="preserve">The external assessment was directionally useful but contained several framing errors that would lead to poor execution if followed uncritically:</w:t>
      </w:r>
    </w:p>
    <w:p>
      <w:pPr>
        <w:pStyle w:val="ListParagraph"/>
        <w:numPr>
          <w:ilvl w:val="0"/>
          <w:numId w:val="2"/>
        </w:numPr>
        <w:spacing w:after="80"/>
      </w:pPr>
      <w:r>
        <w:rPr>
          <w:b/>
          <w:bCs/>
        </w:rPr>
        <w:t xml:space="preserve">TAM is aspirational, not addressable.</w:t>
      </w:r>
      <w:r>
        <w:t xml:space="preserve"> The $70–80M figure assumes enterprises want podcast-only narrative intelligence. In reality, enterprise buyers want omnichannel intelligence — a podcast-only tool risks being a feature rather than a product.</w:t>
      </w:r>
    </w:p>
    <w:p>
      <w:pPr>
        <w:pStyle w:val="ListParagraph"/>
        <w:numPr>
          <w:ilvl w:val="0"/>
          <w:numId w:val="2"/>
        </w:numPr>
        <w:spacing w:after="80"/>
      </w:pPr>
      <w:r>
        <w:rPr>
          <w:b/>
          <w:bCs/>
        </w:rPr>
        <w:t xml:space="preserve">Academic credibility first burns cash without revenue.</w:t>
      </w:r>
      <w:r>
        <w:t xml:space="preserve"> This is a common consultant recommendation that optimizes for prestige over survival. For a solo founder with limited runway, revenue-generating proof points beat citation counts.</w:t>
      </w:r>
    </w:p>
    <w:p>
      <w:pPr>
        <w:pStyle w:val="ListParagraph"/>
        <w:numPr>
          <w:ilvl w:val="0"/>
          <w:numId w:val="2"/>
        </w:numPr>
        <w:spacing w:after="80"/>
      </w:pPr>
      <w:r>
        <w:rPr>
          <w:b/>
          <w:bCs/>
        </w:rPr>
        <w:t xml:space="preserve">Hard technical problems were underweighted.</w:t>
      </w:r>
      <w:r>
        <w:t xml:space="preserve"> Framing shift detection, diarization error handling, sarcasm/irony classification, and distinguishing real shifts from statistical noise (apophenia) are all genuinely difficult. The research treated these as solvable rather than gating.</w:t>
      </w:r>
    </w:p>
    <w:p>
      <w:pPr>
        <w:pStyle w:val="ListParagraph"/>
        <w:numPr>
          <w:ilvl w:val="0"/>
          <w:numId w:val="2"/>
        </w:numPr>
        <w:spacing w:after="80"/>
      </w:pPr>
      <w:r>
        <w:rPr>
          <w:b/>
          <w:bCs/>
        </w:rPr>
        <w:t xml:space="preserve">Enterprise sales cycle mismatch.</w:t>
      </w:r>
      <w:r>
        <w:t xml:space="preserve"> 6–18 month enterprise sales cycles create an existential cash flow problem for a new entrant. The recommendation to target McKinsey as a launch client underestimates how long these deals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4560" w:sz="6"/>
              <w:bottom w:val="single" w:color="CCCCCC" w:sz="1"/>
              <w:right w:val="single" w:color="CCCCCC" w:sz="1"/>
            </w:tcBorders>
            <w:shd w:fill="FFF5F6"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Alternative Framing</w:t>
            </w:r>
          </w:p>
          <w:p>
            <w:pPr>
              <w:spacing w:after="60"/>
            </w:pPr>
            <w:r>
              <w:rPr>
                <w:rFonts w:ascii="Arial" w:cs="Arial" w:eastAsia="Arial" w:hAnsi="Arial"/>
                <w:sz w:val="20"/>
                <w:szCs w:val="20"/>
              </w:rPr>
              <w:t xml:space="preserve">Start as a research methodology and consulting offering, not a platform. Treat the platform as a byproduct of consulting work. Find a razor-sharp vertical where podcast discourse is uniquely high-signal and where the founder has domain authority.</w:t>
            </w:r>
          </w:p>
        </w:tc>
      </w:tr>
    </w:tbl>
    <w:p>
      <w:r>
        <w:br w:type="page"/>
      </w:r>
    </w:p>
    <w:p>
      <w:pPr>
        <w:pStyle w:val="Heading1"/>
      </w:pPr>
      <w:r>
        <w:t xml:space="preserve">Strategic Approach</w:t>
      </w:r>
    </w:p>
    <w:p>
      <w:pPr>
        <w:pStyle w:val="Heading2"/>
      </w:pPr>
      <w:r>
        <w:t xml:space="preserve">Proof of Methodology, Not Platform</w:t>
      </w:r>
    </w:p>
    <w:p>
      <w:pPr>
        <w:spacing w:after="160"/>
      </w:pPr>
      <w:r>
        <w:t xml:space="preserve">The recommended approach inverts the typical startup playbook. Rather than building a platform and hoping customers materialize, the strategy is:</w:t>
      </w:r>
    </w:p>
    <w:p>
      <w:pPr>
        <w:pStyle w:val="ListParagraph"/>
        <w:numPr>
          <w:ilvl w:val="0"/>
          <w:numId w:val="3"/>
        </w:numPr>
        <w:spacing w:after="80"/>
      </w:pPr>
      <w:r>
        <w:rPr>
          <w:b/>
          <w:bCs/>
        </w:rPr>
        <w:t xml:space="preserve">Build a repeatable analytical methodology</w:t>
      </w:r>
      <w:r>
        <w:t xml:space="preserve"> that produces insights humans couldn’t find manually.</w:t>
      </w:r>
    </w:p>
    <w:p>
      <w:pPr>
        <w:pStyle w:val="ListParagraph"/>
        <w:numPr>
          <w:ilvl w:val="0"/>
          <w:numId w:val="3"/>
        </w:numPr>
        <w:spacing w:after="80"/>
      </w:pPr>
      <w:r>
        <w:rPr>
          <w:b/>
          <w:bCs/>
        </w:rPr>
        <w:t xml:space="preserve">Prove it works on one domain</w:t>
      </w:r>
      <w:r>
        <w:t xml:space="preserve"> where the founder can personally validate quality.</w:t>
      </w:r>
    </w:p>
    <w:p>
      <w:pPr>
        <w:pStyle w:val="ListParagraph"/>
        <w:numPr>
          <w:ilvl w:val="0"/>
          <w:numId w:val="3"/>
        </w:numPr>
        <w:spacing w:after="80"/>
      </w:pPr>
      <w:r>
        <w:rPr>
          <w:b/>
          <w:bCs/>
        </w:rPr>
        <w:t xml:space="preserve">Package findings into a deliverable</w:t>
      </w:r>
      <w:r>
        <w:t xml:space="preserve"> that doubles as sales collateral and proof of concept.</w:t>
      </w:r>
    </w:p>
    <w:p>
      <w:pPr>
        <w:pStyle w:val="ListParagraph"/>
        <w:numPr>
          <w:ilvl w:val="0"/>
          <w:numId w:val="3"/>
        </w:numPr>
        <w:spacing w:after="80"/>
      </w:pPr>
      <w:r>
        <w:rPr>
          <w:b/>
          <w:bCs/>
        </w:rPr>
        <w:t xml:space="preserve">Use discovery calls to validate willingness to pay</w:t>
      </w:r>
      <w:r>
        <w:t xml:space="preserve"> before investing in platform infrastructure.</w:t>
      </w:r>
    </w:p>
    <w:p>
      <w:pPr>
        <w:spacing w:after="160"/>
      </w:pPr>
      <w:r>
        <w:t xml:space="preserve">The core question this approach answers: Can the system detect meaningful cultural/narrative shifts that humans couldn’t find manually, or at least couldn’t find at this speed and scale?</w:t>
      </w:r>
    </w:p>
    <w:p>
      <w:pPr>
        <w:pStyle w:val="Heading2"/>
      </w:pPr>
      <w:r>
        <w:t xml:space="preserve">DEI Discourse Beachhead</w:t>
      </w:r>
    </w:p>
    <w:p>
      <w:pPr>
        <w:spacing w:after="160"/>
      </w:pPr>
      <w:r>
        <w:t xml:space="preserve">The initial domain is DEI (Diversity, Equity, and Inclusion) discourse. This choice is not arbitrary — it’s the highest-confidence domain for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Selection Criterion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DEI Discourse Fit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Domain authority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 years across Nike, Amazon, GM. Was the buyer for this type of intelligence.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Validation capability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Can personally distinguish real narrative shifts from noise. Solves the hardest evaluation problem.</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Known inflection points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Post-George Floyd surge (2020), anti-DEI backlash (2023), SCOTUS affirmative action ruling, corporate rollbacks (2024–25).</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Signal richness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Extensive podcast ecosystem with strong opinions, evolving arguments, and measurable rhetorical shifts.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Buyer landscape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Risk:</w:t>
            </w:r>
            <w:r>
              <w:rPr>
                <w:rFonts w:ascii="Arial" w:cs="Arial" w:eastAsia="Arial" w:hAnsi="Arial"/>
                <w:sz w:val="20"/>
                <w:szCs w:val="20"/>
              </w:rPr>
              <w:t xml:space="preserve"> Corporate DEI market is contracting. </w:t>
            </w:r>
            <w:r>
              <w:rPr>
                <w:rFonts w:ascii="Arial" w:cs="Arial" w:eastAsia="Arial" w:hAnsi="Arial"/>
                <w:b/>
                <w:bCs/>
                <w:sz w:val="20"/>
                <w:szCs w:val="20"/>
              </w:rPr>
              <w:t xml:space="preserve">Opportunity:</w:t>
            </w:r>
            <w:r>
              <w:rPr>
                <w:rFonts w:ascii="Arial" w:cs="Arial" w:eastAsia="Arial" w:hAnsi="Arial"/>
                <w:sz w:val="20"/>
                <w:szCs w:val="20"/>
              </w:rPr>
              <w:t xml:space="preserve"> Sophisticated buyers may have MORE demand for discourse intelligence in a volatile, politicized landscape.</w:t>
            </w:r>
          </w:p>
        </w:tc>
      </w:tr>
    </w:tbl>
    <w:p>
      <w:pPr>
        <w:pStyle w:val="Heading2"/>
      </w:pPr>
      <w:r>
        <w:t xml:space="preserve">90-Day MVP Plan</w:t>
      </w:r>
    </w:p>
    <w:p>
      <w:pPr>
        <w:spacing w:after="160"/>
      </w:pPr>
      <w:r>
        <w:t xml:space="preserve">The MVP is not a product — it’s a retrospective analysis report that demonstrates the methodology works. If the system can detect known historical shifts and surface non-obvious patterns, it proves the concept. If it can’t, the idea should be abandoned or pivoted before significant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Weeks 1–3</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Ingestion &amp; Transcription Pipeline</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15–20 podcasts, 2–3 years of episodes, transcribed and chunked.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Weeks 4–6</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Framing Taxonomy Development</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LLM-assisted frame discovery, human curation, validated taxonomy with exemplars and contrast pairs.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Weeks 7–9</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Drift Detection &amp; Calibration</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Make-or-break validation phase.</w:t>
            </w:r>
            <w:r>
              <w:rPr>
                <w:rFonts w:ascii="Arial" w:cs="Arial" w:eastAsia="Arial" w:hAnsi="Arial"/>
                <w:sz w:val="20"/>
                <w:szCs w:val="20"/>
              </w:rPr>
              <w:t xml:space="preserve"> Run detection against known inflection points. Does the system find real shifts?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Weeks 10–12</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Packaging &amp; Outreach</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Publish findings as report. Run 5–10 discovery calls with potential buyers to validate willingness to pay.</w:t>
            </w:r>
          </w:p>
        </w:tc>
      </w:tr>
    </w:tbl>
    <w:p>
      <w:r>
        <w:br w:type="page"/>
      </w:r>
    </w:p>
    <w:p>
      <w:pPr>
        <w:pStyle w:val="Heading1"/>
      </w:pPr>
      <w:r>
        <w:t xml:space="preserve">Technical Architecture</w:t>
      </w:r>
    </w:p>
    <w:p>
      <w:pPr>
        <w:spacing w:after="160"/>
      </w:pPr>
      <w:r>
        <w:t xml:space="preserve">The system architecture has five major stages: ingestion, processing, analysis, detection, and output. Each stage is designed to be domain-agnostic at the infrastructure level while supporting domain-specific configuration at the classification and validation layers.</w:t>
      </w:r>
    </w:p>
    <w:p>
      <w:pPr>
        <w:pStyle w:val="Heading2"/>
      </w:pPr>
      <w:r>
        <w:t xml:space="preserve">System Pipeline Overview</w:t>
      </w:r>
    </w:p>
    <w:p>
      <w:pPr>
        <w:spacing w:after="160"/>
      </w:pPr>
      <w:r>
        <w:t xml:space="preserve">The end-to-end flow processes podcast content from raw RSS feeds through to validated narrative shift reports. The pipeline is designed as a series of decoupled stages, each producing artifacts that can be inspected and debugged independently.</w:t>
      </w:r>
    </w:p>
    <w:p>
      <w:pPr>
        <w:spacing w:after="120"/>
      </w:pPr>
      <w:r>
        <w:rPr>
          <w:i/>
          <w:iCs/>
          <w:color w:val="666666"/>
          <w:sz w:val="20"/>
          <w:szCs w:val="20"/>
        </w:rPr>
        <w:t xml:space="preserve">Interactive Diagram: </w:t>
      </w:r>
      <w:hyperlink w:history="1" r:id="rIdn40v9zffjcdghkus_ooxz">
        <w:r>
          <w:rPr>
            <w:color w:val="E94560"/>
            <w:sz w:val="20"/>
            <w:szCs w:val="20"/>
            <w:u w:val="single"/>
          </w:rPr>
          <w:t xml:space="preserve">Full System Pipeline — Interactive FigJam Diagram</w:t>
        </w:r>
      </w:hyperlink>
    </w:p>
    <w:p>
      <w:pPr>
        <w:spacing w:after="80"/>
      </w:pPr>
    </w:p>
    <w:p>
      <w:pPr>
        <w:pStyle w:val="Heading3"/>
      </w:pPr>
      <w:r>
        <w:t xml:space="preserve">Stage 1: Ingestion</w:t>
      </w:r>
    </w:p>
    <w:p>
      <w:pPr>
        <w:spacing w:after="160"/>
      </w:pPr>
      <w:r>
        <w:t xml:space="preserve">RSS feed discovery and episode fetching. New episodes are detected via polling, downloaded, and stored. Historical backfill retrieves 2–3 years of archives per podcast during domain onboarding. The ingestion layer is fully domain-agnostic.</w:t>
      </w:r>
    </w:p>
    <w:p>
      <w:pPr>
        <w:pStyle w:val="Heading3"/>
      </w:pPr>
      <w:r>
        <w:t xml:space="preserve">Stage 2: Processing</w:t>
      </w:r>
    </w:p>
    <w:p>
      <w:pPr>
        <w:spacing w:after="160"/>
      </w:pPr>
      <w:r>
        <w:t xml:space="preserve">Audio is processed through Whisper for transcription, then speaker diarization assigns utterances to distinct speakers. Transcripts are segmented into semantically coherent chunks (not arbitrary fixed-length splits) using topic boundary detection. This stage is also domain-agnostic and represents a build-once, reuse-everywhere investment.</w:t>
      </w:r>
    </w:p>
    <w:p>
      <w:pPr>
        <w:pStyle w:val="Heading3"/>
      </w:pPr>
      <w:r>
        <w:t xml:space="preserve">Stage 3: Analysis — Two-Tier Classification</w:t>
      </w:r>
    </w:p>
    <w:p>
      <w:pPr>
        <w:spacing w:after="160"/>
      </w:pPr>
      <w:r>
        <w:t xml:space="preserve">Chunks are classified against the domain’s framing taxonomy using a two-tier approach designed to balance speed, cost, and accuracy:</w:t>
      </w:r>
    </w:p>
    <w:p>
      <w:pPr>
        <w:pStyle w:val="ListParagraph"/>
        <w:numPr>
          <w:ilvl w:val="0"/>
          <w:numId w:val="2"/>
        </w:numPr>
        <w:spacing w:after="80"/>
      </w:pPr>
      <w:r>
        <w:rPr>
          <w:b/>
          <w:bCs/>
        </w:rPr>
        <w:t xml:space="preserve">First pass — Embedding similarity (fast, cheap, ~70–80% accuracy):</w:t>
      </w:r>
      <w:r>
        <w:t xml:space="preserve"> Each frame in the taxonomy has pre-computed embeddings from its exemplar chunks. New chunks are classified by embedding similarity, with a confidence score attached.</w:t>
      </w:r>
    </w:p>
    <w:p>
      <w:pPr>
        <w:pStyle w:val="ListParagraph"/>
        <w:numPr>
          <w:ilvl w:val="0"/>
          <w:numId w:val="2"/>
        </w:numPr>
        <w:spacing w:after="80"/>
      </w:pPr>
      <w:r>
        <w:rPr>
          <w:b/>
          <w:bCs/>
        </w:rPr>
        <w:t xml:space="preserve">Second pass — LLM classification (slower, more expensive, handles nuance):</w:t>
      </w:r>
      <w:r>
        <w:t xml:space="preserve"> Chunks that fall below the confidence threshold on the first pass are routed to an LLM with the full frame definitions, exemplars, and contrast pairs as context. This handles irony, complex argument structures, and implicit assumptions.</w:t>
      </w:r>
    </w:p>
    <w:p>
      <w:pPr>
        <w:spacing w:after="160"/>
      </w:pPr>
      <w:r>
        <w:t xml:space="preserve">Every classified chunk stores: frame assignment, confidence score, and classification method used. This metadata is critical for downstream reliability assessment.</w:t>
      </w:r>
    </w:p>
    <w:p>
      <w:pPr>
        <w:pStyle w:val="Heading3"/>
      </w:pPr>
      <w:r>
        <w:t xml:space="preserve">Stage 4: Detection — Drift Analysis &amp; Validation</w:t>
      </w:r>
    </w:p>
    <w:p>
      <w:pPr>
        <w:spacing w:after="160"/>
      </w:pPr>
      <w:r>
        <w:t xml:space="preserve">Frame distributions are computed per configurable time window (weekly, monthly, quarterly). The drift detection engine tracks changes in these distributions and flags statistically significant shifts. However, detecting a distribution change is not the same as detecting a real narrative shift. The validation pipeline applies four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Validation Check</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Persistence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Shift sustained across 3–4 consecutive windows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Filters transient spikes from genuine secular drift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Source Diversity</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Shift appears across multiple independent podcasts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Prevents single-source bias from dominating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Magnitude Calibration</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Shift exceeds per-domain baseline volatility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Accounts for domains with naturally higher variance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Event Correlation</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Auto-check against external event timeline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Contextualizes shifts against known triggers</w:t>
            </w:r>
          </w:p>
        </w:tc>
      </w:tr>
    </w:tbl>
    <w:p>
      <w:pPr>
        <w:spacing w:after="80"/>
      </w:pPr>
    </w:p>
    <w:p>
      <w:pPr>
        <w:spacing w:after="160"/>
      </w:pPr>
      <w:r>
        <w:t xml:space="preserve">These parameters are tuned during initial calibration against historical ground truth, then frozen for production monitoring. Each domain gets its own validation parameters.</w:t>
      </w:r>
    </w:p>
    <w:p>
      <w:pPr>
        <w:pStyle w:val="Heading3"/>
      </w:pPr>
      <w:r>
        <w:t xml:space="preserve">Stage 5: Output Artifacts</w:t>
      </w:r>
    </w:p>
    <w:p>
      <w:pPr>
        <w:spacing w:after="160"/>
      </w:pPr>
      <w:r>
        <w:t xml:space="preserve">Validated shifts produce multiple output formats: narrative shift reports (detailed analysis with evidence chains), quarterly discourse indices (longitudinal tracking), weekly briefs (monitoring summaries), and a semantic search interface for ad hoc corpus exploration.</w:t>
      </w:r>
    </w:p>
    <w:p>
      <w:r>
        <w:br w:type="page"/>
      </w:r>
    </w:p>
    <w:p>
      <w:pPr>
        <w:pStyle w:val="Heading1"/>
      </w:pPr>
      <w:r>
        <w:t xml:space="preserve">Domain Taxonomy Construction</w:t>
      </w:r>
    </w:p>
    <w:p>
      <w:pPr>
        <w:spacing w:after="160"/>
      </w:pPr>
      <w:r>
        <w:t xml:space="preserve">The taxonomy is the intellectual core of the system. It defines what the platform is looking for in each domain — the rhetorical frames, argumentative positions, and narrative patterns that structure discourse. Getting this right is the difference between detecting real cultural shifts and producing noise.</w:t>
      </w:r>
    </w:p>
    <w:p>
      <w:pPr>
        <w:spacing w:after="160"/>
      </w:pPr>
      <w:r>
        <w:t xml:space="preserve">The process has three phases, each with distinct technical and human requirements.</w:t>
      </w:r>
    </w:p>
    <w:p>
      <w:pPr>
        <w:spacing w:after="120"/>
      </w:pPr>
      <w:r>
        <w:rPr>
          <w:i/>
          <w:iCs/>
          <w:color w:val="666666"/>
          <w:sz w:val="20"/>
          <w:szCs w:val="20"/>
        </w:rPr>
        <w:t xml:space="preserve">Interactive Diagram: </w:t>
      </w:r>
      <w:hyperlink w:history="1" r:id="rIdzo426y_gamukhs8it_0wh">
        <w:r>
          <w:rPr>
            <w:color w:val="E94560"/>
            <w:sz w:val="20"/>
            <w:szCs w:val="20"/>
            <w:u w:val="single"/>
          </w:rPr>
          <w:t xml:space="preserve">Three-Phase Taxonomy Process — Interactive FigJam Diagram</w:t>
        </w:r>
      </w:hyperlink>
    </w:p>
    <w:p>
      <w:pPr>
        <w:spacing w:after="80"/>
      </w:pPr>
    </w:p>
    <w:p>
      <w:pPr>
        <w:pStyle w:val="Heading2"/>
      </w:pPr>
      <w:r>
        <w:t xml:space="preserve">Phase 1: Frame Discovery (Inductive)</w:t>
      </w:r>
    </w:p>
    <w:p>
      <w:pPr>
        <w:spacing w:after="160"/>
      </w:pPr>
      <w:r>
        <w:t xml:space="preserve">LLM-assisted inductive coding. A stratified sample of 200–300 transcript chunks is drawn from the corpus, ensuring representation across time periods, podcast sources, and (where identifiable) speaker perspectives. The LLM is prompted to identify distinct rhetorical frames — recurring ways that speakers structure arguments, position themselves, and characterize issues.</w:t>
      </w:r>
    </w:p>
    <w:p>
      <w:pPr>
        <w:spacing w:after="160"/>
      </w:pPr>
      <w:r>
        <w:t xml:space="preserve">The raw output is messy by design. The critical step is human curation in the Frame Refinement Workbench, where frames are merged, split, renamed, and sharpened. Each validated frame requires:</w:t>
      </w:r>
    </w:p>
    <w:p>
      <w:pPr>
        <w:pStyle w:val="ListParagraph"/>
        <w:numPr>
          <w:ilvl w:val="0"/>
          <w:numId w:val="2"/>
        </w:numPr>
        <w:spacing w:after="80"/>
      </w:pPr>
      <w:r>
        <w:rPr>
          <w:b/>
          <w:bCs/>
        </w:rPr>
        <w:t xml:space="preserve">Definition:</w:t>
      </w:r>
      <w:r>
        <w:t xml:space="preserve"> 2–3 sentences describing the frame precisely enough that two independent classifiers would agree on its boundaries.</w:t>
      </w:r>
    </w:p>
    <w:p>
      <w:pPr>
        <w:pStyle w:val="ListParagraph"/>
        <w:numPr>
          <w:ilvl w:val="0"/>
          <w:numId w:val="2"/>
        </w:numPr>
        <w:spacing w:after="80"/>
      </w:pPr>
      <w:r>
        <w:rPr>
          <w:b/>
          <w:bCs/>
        </w:rPr>
        <w:t xml:space="preserve">Exemplar chunks (5–10 per frame):</w:t>
      </w:r>
      <w:r>
        <w:t xml:space="preserve"> Real transcript segments that clearly instantiate the frame. These serve as training data for the embedding classifier.</w:t>
      </w:r>
    </w:p>
    <w:p>
      <w:pPr>
        <w:pStyle w:val="ListParagraph"/>
        <w:numPr>
          <w:ilvl w:val="0"/>
          <w:numId w:val="2"/>
        </w:numPr>
        <w:spacing w:after="80"/>
      </w:pPr>
      <w:r>
        <w:rPr>
          <w:b/>
          <w:bCs/>
        </w:rPr>
        <w:t xml:space="preserve">Contrast pairs:</w:t>
      </w:r>
      <w:r>
        <w:t xml:space="preserve"> Chunks that are close to the frame but belong to a different one. These are critical for accurate boundary classification — they teach the system where one frame ends and another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4560" w:sz="6"/>
              <w:bottom w:val="single" w:color="CCCCCC" w:sz="1"/>
              <w:right w:val="single" w:color="CCCCCC" w:sz="1"/>
            </w:tcBorders>
            <w:shd w:fill="FFF5F6"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Architectural Decision</w:t>
            </w:r>
          </w:p>
          <w:p>
            <w:pPr>
              <w:spacing w:after="60"/>
            </w:pPr>
            <w:r>
              <w:rPr>
                <w:rFonts w:ascii="Arial" w:cs="Arial" w:eastAsia="Arial" w:hAnsi="Arial"/>
                <w:sz w:val="20"/>
                <w:szCs w:val="20"/>
              </w:rPr>
              <w:t xml:space="preserve">The Frame Refinement Workbench is the highest-leverage tool to build well. It is the bottleneck where human judgment is irreplaceable, and its quality directly determines classification accuracy downstream. This is not a one-time script — it is an iterative curation interface.</w:t>
            </w:r>
          </w:p>
        </w:tc>
      </w:tr>
    </w:tbl>
    <w:p>
      <w:pPr>
        <w:pStyle w:val="Heading2"/>
      </w:pPr>
      <w:r>
        <w:t xml:space="preserve">Phase 2: Frame Classification (Deductive)</w:t>
      </w:r>
    </w:p>
    <w:p>
      <w:pPr>
        <w:spacing w:after="160"/>
      </w:pPr>
      <w:r>
        <w:t xml:space="preserve">With a validated taxonomy in hand, the system classifies the full corpus. The two-tier approach described in the architecture section applies here: embedding similarity for the fast first pass, LLM for ambiguous chunks. The classification pipeline is identical across domains — swap the taxonomy, re-run the pipeline.</w:t>
      </w:r>
    </w:p>
    <w:p>
      <w:pPr>
        <w:spacing w:after="160"/>
      </w:pPr>
      <w:r>
        <w:t xml:space="preserve">Classification quality is assessed by spot-checking a random sample of classified chunks against human judgment. If agreement falls below an acceptable threshold (calibrated per domain), the taxonomy needs refinement — typically either frame definitions are too vague or contrast pairs are insufficient.</w:t>
      </w:r>
    </w:p>
    <w:p>
      <w:pPr>
        <w:pStyle w:val="Heading2"/>
      </w:pPr>
      <w:r>
        <w:t xml:space="preserve">Phase 3: Drift Detection &amp; Validation</w:t>
      </w:r>
    </w:p>
    <w:p>
      <w:pPr>
        <w:spacing w:after="160"/>
      </w:pPr>
      <w:r>
        <w:t xml:space="preserve">With classified chunks stored with timestamps, speaker attribution, and source metadata, the drift detection engine computes frame distributions per time window and tracks changes. The four validation checks (persistence, source diversity, magnitude, event correlation) filter noise from signal.</w:t>
      </w:r>
    </w:p>
    <w:p>
      <w:pPr>
        <w:spacing w:after="160"/>
      </w:pPr>
      <w:r>
        <w:t xml:space="preserve">The output is a set of validated narrative shifts, each with: the shift description, evidence chain (specific chunks showing the before/after framing), confidence score, and any correlated external events.</w:t>
      </w:r>
    </w:p>
    <w:p>
      <w:r>
        <w:br w:type="page"/>
      </w:r>
    </w:p>
    <w:p>
      <w:pPr>
        <w:pStyle w:val="Heading1"/>
      </w:pPr>
      <w:r>
        <w:t xml:space="preserve">Domain Onboarding Playbook</w:t>
      </w:r>
    </w:p>
    <w:p>
      <w:pPr>
        <w:spacing w:after="160"/>
      </w:pPr>
      <w:r>
        <w:t xml:space="preserve">Once the core infrastructure exists, adding a new domain follows a repeatable 2–3 week process. The first domain (DEI) takes 10–12 weeks because everything is being built simultaneously. The second domain should take 3–4 weeks. By the fifth domain, onboarding compresses to 1–2 weeks as the playbook tightens.</w:t>
      </w:r>
    </w:p>
    <w:p>
      <w:pPr>
        <w:spacing w:after="120"/>
      </w:pPr>
      <w:r>
        <w:rPr>
          <w:i/>
          <w:iCs/>
          <w:color w:val="666666"/>
          <w:sz w:val="20"/>
          <w:szCs w:val="20"/>
        </w:rPr>
        <w:t xml:space="preserve">Interactive Diagram: </w:t>
      </w:r>
      <w:hyperlink w:history="1" r:id="rId5f9_tweawbccfm31x4b7y">
        <w:r>
          <w:rPr>
            <w:color w:val="E94560"/>
            <w:sz w:val="20"/>
            <w:szCs w:val="20"/>
            <w:u w:val="single"/>
          </w:rPr>
          <w:t xml:space="preserve">Domain Onboarding Playbook — Interactive FigJam Diagram</w:t>
        </w:r>
      </w:hyperlink>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600"/>
        <w:gridCol w:w="29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Human Effort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Corpus Assembly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Days 1–3</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Identify 15–25 podcasts, configure RSS ingestion, backfill 2–3 years of history</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Moderate (podcast selection requires domain knowledge)</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Processing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Days 3–5</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Batch transcription, diarization, chunking, embedding generation</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Minimal (fully automated)</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Frame Discovery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Days 5–10</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LLM inductive coding, human curation in refinement workbench</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High</w:t>
            </w:r>
            <w:r>
              <w:rPr>
                <w:rFonts w:ascii="Arial" w:cs="Arial" w:eastAsia="Arial" w:hAnsi="Arial"/>
                <w:sz w:val="20"/>
                <w:szCs w:val="20"/>
              </w:rPr>
              <w:t xml:space="preserve"> (this is where domain expertise matters most)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Classification + Calibration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Days 10–14</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Two-tier classification, drift detection against known events, parameter tuning</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Moderate (review + judgment)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Go Live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Day 15</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Freeze parameters, enable monitoring, configure reporting</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Minimal</w:t>
            </w:r>
          </w:p>
        </w:tc>
      </w:tr>
    </w:tbl>
    <w:p>
      <w:pPr>
        <w:spacing w:after="100"/>
      </w:pPr>
    </w:p>
    <w:p>
      <w:pPr>
        <w:spacing w:after="160"/>
      </w:pPr>
      <w:r>
        <w:t xml:space="preserve">The critical feedback loop: if calibration against known events produces too much noise (false positives) or misses known shifts (false negatives), the process loops back to frame discovery. The taxonomy is refined, classification is re-run, and calibration is repeated. This loop typically completes in 2–3 iterations for a new domain.</w:t>
      </w:r>
    </w:p>
    <w:p>
      <w:r>
        <w:br w:type="page"/>
      </w:r>
    </w:p>
    <w:p>
      <w:pPr>
        <w:pStyle w:val="Heading1"/>
      </w:pPr>
      <w:r>
        <w:t xml:space="preserve">Scaling Strategy</w:t>
      </w:r>
    </w:p>
    <w:p>
      <w:pPr>
        <w:pStyle w:val="Heading2"/>
      </w:pPr>
      <w:r>
        <w:t xml:space="preserve">Three Architecture Layers</w:t>
      </w:r>
    </w:p>
    <w:p>
      <w:pPr>
        <w:spacing w:after="160"/>
      </w:pPr>
      <w:r>
        <w:t xml:space="preserve">The system has three layers with different scaling properties, which determines what transfers across domains and what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 Share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Cross-Domain Reuse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Domain-Agnostic Infrastructure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60–70%</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Fully reusable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RSS ingestion, Whisper, diarization, chunking, embeddings, vector DB, time-series drift detection engine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Partially Transferable Methodology</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20–25%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Process</w:t>
            </w:r>
            <w:r>
              <w:rPr>
                <w:rFonts w:ascii="Arial" w:cs="Arial" w:eastAsia="Arial" w:hAnsi="Arial"/>
                <w:sz w:val="20"/>
                <w:szCs w:val="20"/>
              </w:rPr>
              <w:t xml:space="preserve"> reuses; </w:t>
            </w:r>
            <w:r>
              <w:rPr>
                <w:rFonts w:ascii="Arial" w:cs="Arial" w:eastAsia="Arial" w:hAnsi="Arial"/>
                <w:b/>
                <w:bCs/>
                <w:sz w:val="20"/>
                <w:szCs w:val="20"/>
              </w:rPr>
              <w:t xml:space="preserve">content</w:t>
            </w:r>
            <w:r>
              <w:rPr>
                <w:rFonts w:ascii="Arial" w:cs="Arial" w:eastAsia="Arial" w:hAnsi="Arial"/>
                <w:sz w:val="20"/>
                <w:szCs w:val="20"/>
              </w:rPr>
              <w:t xml:space="preserve"> doesn’t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process of constructing taxonomies is identical. The specific frames discovered are unique per domain.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Genuinely Bespoke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10–15%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Domain-specific</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Evaluation and validation. Distinguishing real shifts from noise requires someone who understands the domain. Does not fully automate away.</w:t>
            </w:r>
          </w:p>
        </w:tc>
      </w:tr>
    </w:tbl>
    <w:p>
      <w:pPr>
        <w:pStyle w:val="Heading2"/>
      </w:pPr>
      <w:r>
        <w:t xml:space="preserve">Two Scaling Paths</w:t>
      </w:r>
    </w:p>
    <w:p>
      <w:pPr>
        <w:pStyle w:val="Heading3"/>
      </w:pPr>
      <w:r>
        <w:t xml:space="preserve">Path 1: Domain Factory (Lower Risk)</w:t>
      </w:r>
    </w:p>
    <w:p>
      <w:pPr>
        <w:spacing w:after="160"/>
      </w:pPr>
      <w:r>
        <w:t xml:space="preserve">Own the platform and methodology. Partner with domain experts for each new vertical. This follows the Gravity Research model: a small core team builds and maintains infrastructure while domain experts provide the irreplaceable judgment layer for taxonomy construction and validation.</w:t>
      </w:r>
    </w:p>
    <w:p>
      <w:pPr>
        <w:pStyle w:val="ListParagraph"/>
        <w:numPr>
          <w:ilvl w:val="0"/>
          <w:numId w:val="2"/>
        </w:numPr>
        <w:spacing w:after="80"/>
      </w:pPr>
      <w:r>
        <w:t xml:space="preserve">Scales to 8–12 domains with a small team (5–10 people)</w:t>
      </w:r>
    </w:p>
    <w:p>
      <w:pPr>
        <w:pStyle w:val="ListParagraph"/>
        <w:numPr>
          <w:ilvl w:val="0"/>
          <w:numId w:val="2"/>
        </w:numPr>
        <w:spacing w:after="80"/>
      </w:pPr>
      <w:r>
        <w:t xml:space="preserve">More service-heavy revenue model, lower technical risk</w:t>
      </w:r>
    </w:p>
    <w:p>
      <w:pPr>
        <w:pStyle w:val="ListParagraph"/>
        <w:numPr>
          <w:ilvl w:val="0"/>
          <w:numId w:val="2"/>
        </w:numPr>
        <w:spacing w:after="80"/>
      </w:pPr>
      <w:r>
        <w:t xml:space="preserve">Each domain expert can be a contractor or fractional hire</w:t>
      </w:r>
    </w:p>
    <w:p>
      <w:pPr>
        <w:pStyle w:val="ListParagraph"/>
        <w:numPr>
          <w:ilvl w:val="0"/>
          <w:numId w:val="2"/>
        </w:numPr>
        <w:spacing w:after="80"/>
      </w:pPr>
      <w:r>
        <w:t xml:space="preserve">Natural constraint: only as good as the experts you recruit</w:t>
      </w:r>
    </w:p>
    <w:p>
      <w:pPr>
        <w:pStyle w:val="Heading3"/>
      </w:pPr>
      <w:r>
        <w:t xml:space="preserve">Path 2: Inductive/Automated (Higher Risk, Higher Ceiling)</w:t>
      </w:r>
    </w:p>
    <w:p>
      <w:pPr>
        <w:spacing w:after="160"/>
      </w:pPr>
      <w:r>
        <w:t xml:space="preserve">Use LLMs to inductively discover frames from a corpus rather than hand-crafting taxonomies with human experts. This is more defensible and general-purpose but significantly harder to validate — emergent frames need human-in-the-loop review to determine whether they represent real rhetorical patterns or LLM artifacts.</w:t>
      </w:r>
    </w:p>
    <w:p>
      <w:pPr>
        <w:pStyle w:val="ListParagraph"/>
        <w:numPr>
          <w:ilvl w:val="0"/>
          <w:numId w:val="2"/>
        </w:numPr>
        <w:spacing w:after="80"/>
      </w:pPr>
      <w:r>
        <w:t xml:space="preserve">More defensible intellectual property if it works</w:t>
      </w:r>
    </w:p>
    <w:p>
      <w:pPr>
        <w:pStyle w:val="ListParagraph"/>
        <w:numPr>
          <w:ilvl w:val="0"/>
          <w:numId w:val="2"/>
        </w:numPr>
        <w:spacing w:after="80"/>
      </w:pPr>
      <w:r>
        <w:t xml:space="preserve">Removes the domain-expert bottleneck</w:t>
      </w:r>
    </w:p>
    <w:p>
      <w:pPr>
        <w:pStyle w:val="ListParagraph"/>
        <w:numPr>
          <w:ilvl w:val="0"/>
          <w:numId w:val="2"/>
        </w:numPr>
        <w:spacing w:after="80"/>
      </w:pPr>
      <w:r>
        <w:t xml:space="preserve">Validation becomes the critical unsolved problem</w:t>
      </w:r>
    </w:p>
    <w:p>
      <w:pPr>
        <w:pStyle w:val="ListParagraph"/>
        <w:numPr>
          <w:ilvl w:val="0"/>
          <w:numId w:val="2"/>
        </w:numPr>
        <w:spacing w:after="80"/>
      </w:pPr>
      <w:r>
        <w:t xml:space="preserve">Risk of sophisticated-looking noise (the system confidently discovers patterns that don’t mean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4560" w:sz="6"/>
              <w:bottom w:val="single" w:color="CCCCCC" w:sz="1"/>
              <w:right w:val="single" w:color="CCCCCC" w:sz="1"/>
            </w:tcBorders>
            <w:shd w:fill="FFF5F6"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Recommended Play</w:t>
            </w:r>
          </w:p>
          <w:p>
            <w:pPr>
              <w:spacing w:after="60"/>
            </w:pPr>
            <w:r>
              <w:rPr>
                <w:rFonts w:ascii="Arial" w:cs="Arial" w:eastAsia="Arial" w:hAnsi="Arial"/>
                <w:sz w:val="20"/>
                <w:szCs w:val="20"/>
              </w:rPr>
              <w:t xml:space="preserve">Start Path 1 for the first 2–3 domains (founder as DEI expert, recruit 1–2 collaborators for adjacent verticals). Experiment with Path 2 techniques in parallel. If the inductive method produces validated results, it becomes the real moat. If not, Path 1 remains viable as a consulting-plus-platform business.</w:t>
            </w:r>
          </w:p>
        </w:tc>
      </w:tr>
    </w:tbl>
    <w:p>
      <w:pPr>
        <w:pStyle w:val="Heading2"/>
      </w:pPr>
      <w:r>
        <w:t xml:space="preserve">Three Compounding Defensibility Assets</w:t>
      </w:r>
    </w:p>
    <w:p>
      <w:pPr>
        <w:spacing w:after="160"/>
      </w:pPr>
      <w:r>
        <w:t xml:space="preserve">Regardless of scaling path, the platform accumulates three assets that compound over time and create increasing barriers to entry:</w:t>
      </w:r>
    </w:p>
    <w:p>
      <w:pPr>
        <w:pStyle w:val="ListParagraph"/>
        <w:numPr>
          <w:ilvl w:val="0"/>
          <w:numId w:val="2"/>
        </w:numPr>
        <w:spacing w:after="80"/>
      </w:pPr>
      <w:r>
        <w:rPr>
          <w:b/>
          <w:bCs/>
        </w:rPr>
        <w:t xml:space="preserve">Corpus &amp; Dataset:</w:t>
      </w:r>
      <w:r>
        <w:t xml:space="preserve"> Nobody else will have years of diarized, semantically indexed podcast transcripts across domains. This dataset grows continuously and cannot be retroactively assembled by competitors.</w:t>
      </w:r>
    </w:p>
    <w:p>
      <w:pPr>
        <w:pStyle w:val="ListParagraph"/>
        <w:numPr>
          <w:ilvl w:val="0"/>
          <w:numId w:val="2"/>
        </w:numPr>
        <w:spacing w:after="80"/>
      </w:pPr>
      <w:r>
        <w:rPr>
          <w:b/>
          <w:bCs/>
        </w:rPr>
        <w:t xml:space="preserve">Framing Taxonomies:</w:t>
      </w:r>
      <w:r>
        <w:t xml:space="preserve"> Each taxonomy encodes deep domain knowledge about how arguments are structured in a specific field. These improve with feedback and represent genuine intellectual property.</w:t>
      </w:r>
    </w:p>
    <w:p>
      <w:pPr>
        <w:pStyle w:val="ListParagraph"/>
        <w:numPr>
          <w:ilvl w:val="0"/>
          <w:numId w:val="2"/>
        </w:numPr>
        <w:spacing w:after="80"/>
      </w:pPr>
      <w:r>
        <w:rPr>
          <w:b/>
          <w:bCs/>
        </w:rPr>
        <w:t xml:space="preserve">Temporal Baseline:</w:t>
      </w:r>
      <w:r>
        <w:t xml:space="preserve"> Drift detection gets more valuable with longer history. A competitor entering in Year 3 cannot retroactively analyze what happened in Years 1–2 — the historical baseline is a permanent structural advantage.</w:t>
      </w:r>
    </w:p>
    <w:p>
      <w:r>
        <w:br w:type="page"/>
      </w:r>
    </w:p>
    <w:p>
      <w:pPr>
        <w:pStyle w:val="Heading1"/>
      </w:pPr>
      <w:r>
        <w:t xml:space="preserve">Key Risks &amp; Open Questions</w:t>
      </w:r>
    </w:p>
    <w:p>
      <w:pPr>
        <w:pStyle w:val="Heading2"/>
      </w:pPr>
      <w:r>
        <w:t xml:space="preserve">Technical Risks</w:t>
      </w:r>
    </w:p>
    <w:p>
      <w:pPr>
        <w:pStyle w:val="ListParagraph"/>
        <w:numPr>
          <w:ilvl w:val="0"/>
          <w:numId w:val="2"/>
        </w:numPr>
        <w:spacing w:after="80"/>
      </w:pPr>
      <w:r>
        <w:rPr>
          <w:b/>
          <w:bCs/>
        </w:rPr>
        <w:t xml:space="preserve">Framing shift detection vs. apophenia:</w:t>
      </w:r>
      <w:r>
        <w:t xml:space="preserve"> The hardest problem. Can the system reliably distinguish real narrative shifts from random noise? The four-check validation pipeline is designed to address this, but calibration against known ground truth is the only proof.</w:t>
      </w:r>
    </w:p>
    <w:p>
      <w:pPr>
        <w:pStyle w:val="ListParagraph"/>
        <w:numPr>
          <w:ilvl w:val="0"/>
          <w:numId w:val="2"/>
        </w:numPr>
        <w:spacing w:after="80"/>
      </w:pPr>
      <w:r>
        <w:rPr>
          <w:b/>
          <w:bCs/>
        </w:rPr>
        <w:t xml:space="preserve">Diarization accuracy:</w:t>
      </w:r>
      <w:r>
        <w:t xml:space="preserve"> Speaker attribution errors propagate downstream. If speakers are misidentified, per-speaker frame analysis becomes unreliable. Current state-of-the-art is good but not perfect, particularly for multi-speaker panels.</w:t>
      </w:r>
    </w:p>
    <w:p>
      <w:pPr>
        <w:pStyle w:val="ListParagraph"/>
        <w:numPr>
          <w:ilvl w:val="0"/>
          <w:numId w:val="2"/>
        </w:numPr>
        <w:spacing w:after="80"/>
      </w:pPr>
      <w:r>
        <w:rPr>
          <w:b/>
          <w:bCs/>
        </w:rPr>
        <w:t xml:space="preserve">Sarcasm and irony:</w:t>
      </w:r>
      <w:r>
        <w:t xml:space="preserve"> A speaker deploying a frame sarcastically (to mock it) produces the same surface-level text as someone deploying it earnestly. The LLM second-pass classifier handles some of this, but edge cases will persist.</w:t>
      </w:r>
    </w:p>
    <w:p>
      <w:pPr>
        <w:pStyle w:val="Heading2"/>
      </w:pPr>
      <w:r>
        <w:t xml:space="preserve">Market Risks</w:t>
      </w:r>
    </w:p>
    <w:p>
      <w:pPr>
        <w:pStyle w:val="ListParagraph"/>
        <w:numPr>
          <w:ilvl w:val="0"/>
          <w:numId w:val="2"/>
        </w:numPr>
        <w:spacing w:after="80"/>
      </w:pPr>
      <w:r>
        <w:rPr>
          <w:b/>
          <w:bCs/>
        </w:rPr>
        <w:t xml:space="preserve">Feature vs. product:</w:t>
      </w:r>
      <w:r>
        <w:t xml:space="preserve"> Enterprise buyers may want omnichannel narrative intelligence (social, news, podcasts, congressional testimony), not a podcast-only tool. The platform might be a feature inside a larger solution rather than a standalone product.</w:t>
      </w:r>
    </w:p>
    <w:p>
      <w:pPr>
        <w:pStyle w:val="ListParagraph"/>
        <w:numPr>
          <w:ilvl w:val="0"/>
          <w:numId w:val="2"/>
        </w:numPr>
        <w:spacing w:after="80"/>
      </w:pPr>
      <w:r>
        <w:rPr>
          <w:b/>
          <w:bCs/>
        </w:rPr>
        <w:t xml:space="preserve">DEI market contraction:</w:t>
      </w:r>
      <w:r>
        <w:t xml:space="preserve"> If the beachhead domain’s buyer base is shrinking, the proof of concept may validate the technology without validating the business. Mitigation: use DEI to prove methodology, then expand to higher-demand verticals quickly.</w:t>
      </w:r>
    </w:p>
    <w:p>
      <w:pPr>
        <w:pStyle w:val="ListParagraph"/>
        <w:numPr>
          <w:ilvl w:val="0"/>
          <w:numId w:val="2"/>
        </w:numPr>
        <w:spacing w:after="80"/>
      </w:pPr>
      <w:r>
        <w:rPr>
          <w:b/>
          <w:bCs/>
        </w:rPr>
        <w:t xml:space="preserve">Enterprise sales cycle:</w:t>
      </w:r>
      <w:r>
        <w:t xml:space="preserve"> Even with a compelling proof of concept, converting enterprise interest to revenue takes 6–18 months. The consulting/report model provides bridge revenue during this period.</w:t>
      </w:r>
    </w:p>
    <w:p>
      <w:pPr>
        <w:pStyle w:val="Heading2"/>
      </w:pPr>
      <w:r>
        <w:t xml:space="preserve">Architectural Decisions</w:t>
      </w:r>
    </w:p>
    <w:p>
      <w:pPr>
        <w:pStyle w:val="ListParagraph"/>
        <w:numPr>
          <w:ilvl w:val="0"/>
          <w:numId w:val="2"/>
        </w:numPr>
        <w:spacing w:after="80"/>
      </w:pPr>
      <w:r>
        <w:rPr>
          <w:b/>
          <w:bCs/>
        </w:rPr>
        <w:t xml:space="preserve">Keep domain vector stores separate:</w:t>
      </w:r>
      <w:r>
        <w:t xml:space="preserve"> Do not build a unified embedding space across domains. Each domain’s vector store and classification pipeline should be independent. Cross-domain analysis is a research question, not an MVP feature.</w:t>
      </w:r>
    </w:p>
    <w:p>
      <w:pPr>
        <w:pStyle w:val="ListParagraph"/>
        <w:numPr>
          <w:ilvl w:val="0"/>
          <w:numId w:val="2"/>
        </w:numPr>
        <w:spacing w:after="80"/>
      </w:pPr>
      <w:r>
        <w:rPr>
          <w:b/>
          <w:bCs/>
        </w:rPr>
        <w:t xml:space="preserve">Frame Refinement Workbench priority:</w:t>
      </w:r>
      <w:r>
        <w:t xml:space="preserve"> This is the highest-leverage internal tool. Invest disproportionately in its UX and workflow design — it’s where human judgment enters the system and it’s used for every domain onboarding.</w:t>
      </w:r>
    </w:p>
    <w:p>
      <w:pPr>
        <w:pStyle w:val="ListParagraph"/>
        <w:numPr>
          <w:ilvl w:val="0"/>
          <w:numId w:val="2"/>
        </w:numPr>
        <w:spacing w:after="80"/>
      </w:pPr>
      <w:r>
        <w:rPr>
          <w:b/>
          <w:bCs/>
        </w:rPr>
        <w:t xml:space="preserve">Build vs. buy:</w:t>
      </w:r>
      <w:r>
        <w:t xml:space="preserve"> Whisper (transcription), standard vector databases, and basic embedding models are all off-the-shelf. The custom builds are: the Frame Refinement Workbench, the two-tier classification pipeline, the drift detection engine with its four validation checks, and the reporting layer.</w:t>
      </w:r>
    </w:p>
    <w:p>
      <w:r>
        <w:br w:type="page"/>
      </w:r>
    </w:p>
    <w:p>
      <w:pPr>
        <w:pStyle w:val="Heading1"/>
      </w:pPr>
      <w:r>
        <w:t xml:space="preserve">Architecture Diagrams</w:t>
      </w:r>
    </w:p>
    <w:p>
      <w:pPr>
        <w:spacing w:after="160"/>
      </w:pPr>
      <w:r>
        <w:t xml:space="preserve">Three interactive FigJam diagrams have been created to accompany this document. Each is editable and annotatable in Figma.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Diagram</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 System Pipeline</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End-to-end flow from RSS ingestion through transcription, two-tier classification, drift detection with validation checks, and output artifacts.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E94560"/>
                <w:sz w:val="20"/>
                <w:szCs w:val="20"/>
                <w:u w:val="single"/>
              </w:rPr>
              <w:t xml:space="preserve">Open in FigJam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Domain Onboarding Playbook</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Repeatable 2–3 week process for spinning up new domains, including the feedback loop between calibration and taxonomy refinement.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E94560"/>
                <w:sz w:val="20"/>
                <w:szCs w:val="20"/>
                <w:u w:val="single"/>
              </w:rPr>
              <w:t xml:space="preserve">Open in FigJam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Three-Phase Taxonomy Process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Detailed view of frame discovery, classification, and drift detection — the intellectual core of the product.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E94560"/>
                <w:sz w:val="20"/>
                <w:szCs w:val="20"/>
                <w:u w:val="single"/>
              </w:rPr>
              <w:t xml:space="preserve">Open in FigJam</w:t>
            </w:r>
          </w:p>
        </w:tc>
      </w:tr>
    </w:tbl>
    <w:p>
      <w:pPr>
        <w:spacing w:after="200"/>
      </w:pPr>
    </w:p>
    <w:p>
      <w:pPr>
        <w:spacing w:after="160"/>
      </w:pPr>
      <w:r>
        <w:rPr>
          <w:i/>
          <w:iCs/>
          <w:color w:val="666666"/>
        </w:rPr>
        <w:t xml:space="preserve">FigJam Diagram Links:</w:t>
      </w:r>
    </w:p>
    <w:p>
      <w:pPr>
        <w:spacing w:after="120"/>
      </w:pPr>
      <w:r>
        <w:rPr>
          <w:i/>
          <w:iCs/>
          <w:color w:val="666666"/>
          <w:sz w:val="20"/>
          <w:szCs w:val="20"/>
        </w:rPr>
        <w:t xml:space="preserve">Interactive Diagram: </w:t>
      </w:r>
      <w:hyperlink w:history="1" r:id="rIdrvwonkvznjq3wceap5n0k">
        <w:r>
          <w:rPr>
            <w:color w:val="E94560"/>
            <w:sz w:val="20"/>
            <w:szCs w:val="20"/>
            <w:u w:val="single"/>
          </w:rPr>
          <w:t xml:space="preserve">1. Full System Pipeline</w:t>
        </w:r>
      </w:hyperlink>
    </w:p>
    <w:p>
      <w:pPr>
        <w:spacing w:after="120"/>
      </w:pPr>
      <w:r>
        <w:rPr>
          <w:i/>
          <w:iCs/>
          <w:color w:val="666666"/>
          <w:sz w:val="20"/>
          <w:szCs w:val="20"/>
        </w:rPr>
        <w:t xml:space="preserve">Interactive Diagram: </w:t>
      </w:r>
      <w:hyperlink w:history="1" r:id="rIdfgs1_xm8yjjlg1eejgevt">
        <w:r>
          <w:rPr>
            <w:color w:val="E94560"/>
            <w:sz w:val="20"/>
            <w:szCs w:val="20"/>
            <w:u w:val="single"/>
          </w:rPr>
          <w:t xml:space="preserve">2. Domain Onboarding Playbook</w:t>
        </w:r>
      </w:hyperlink>
    </w:p>
    <w:p>
      <w:pPr>
        <w:spacing w:after="120"/>
      </w:pPr>
      <w:r>
        <w:rPr>
          <w:i/>
          <w:iCs/>
          <w:color w:val="666666"/>
          <w:sz w:val="20"/>
          <w:szCs w:val="20"/>
        </w:rPr>
        <w:t xml:space="preserve">Interactive Diagram: </w:t>
      </w:r>
      <w:hyperlink w:history="1" r:id="rIdglm6cl8tibvstu8gmthzo">
        <w:r>
          <w:rPr>
            <w:color w:val="E94560"/>
            <w:sz w:val="20"/>
            <w:szCs w:val="20"/>
            <w:u w:val="single"/>
          </w:rPr>
          <w:t xml:space="preserve">3. Three-Phase Taxonomy Process</w:t>
        </w:r>
      </w:hyperlink>
    </w:p>
    <w:p>
      <w:r>
        <w:br w:type="page"/>
      </w:r>
    </w:p>
    <w:p>
      <w:pPr>
        <w:pStyle w:val="Heading1"/>
      </w:pPr>
      <w:r>
        <w:t xml:space="preserve">Next Steps</w:t>
      </w:r>
    </w:p>
    <w:p>
      <w:pPr>
        <w:spacing w:after="160"/>
      </w:pPr>
      <w:r>
        <w:t xml:space="preserve">The following actions move from documentation to execution:</w:t>
      </w:r>
    </w:p>
    <w:p>
      <w:pPr>
        <w:pStyle w:val="ListParagraph"/>
        <w:numPr>
          <w:ilvl w:val="0"/>
          <w:numId w:val="3"/>
        </w:numPr>
        <w:spacing w:after="80"/>
      </w:pPr>
      <w:r>
        <w:rPr>
          <w:b/>
          <w:bCs/>
        </w:rPr>
        <w:t xml:space="preserve">Week 1:</w:t>
      </w:r>
      <w:r>
        <w:t xml:space="preserve"> Finalize DEI podcast corpus (15–20 shows), set up RSS ingestion pipeline, begin historical backfill.</w:t>
      </w:r>
    </w:p>
    <w:p>
      <w:pPr>
        <w:pStyle w:val="ListParagraph"/>
        <w:numPr>
          <w:ilvl w:val="0"/>
          <w:numId w:val="3"/>
        </w:numPr>
        <w:spacing w:after="80"/>
      </w:pPr>
      <w:r>
        <w:rPr>
          <w:b/>
          <w:bCs/>
        </w:rPr>
        <w:t xml:space="preserve">Week 2–3:</w:t>
      </w:r>
      <w:r>
        <w:t xml:space="preserve"> Complete transcription pipeline (Whisper + diarization), validate chunking quality on sample episodes.</w:t>
      </w:r>
    </w:p>
    <w:p>
      <w:pPr>
        <w:pStyle w:val="ListParagraph"/>
        <w:numPr>
          <w:ilvl w:val="0"/>
          <w:numId w:val="3"/>
        </w:numPr>
        <w:spacing w:after="80"/>
      </w:pPr>
      <w:r>
        <w:rPr>
          <w:b/>
          <w:bCs/>
        </w:rPr>
        <w:t xml:space="preserve">Week 4–5:</w:t>
      </w:r>
      <w:r>
        <w:t xml:space="preserve"> Build Frame Refinement Workbench MVP. Run LLM-assisted frame discovery on stratified sample. Begin human curation.</w:t>
      </w:r>
    </w:p>
    <w:p>
      <w:pPr>
        <w:pStyle w:val="ListParagraph"/>
        <w:numPr>
          <w:ilvl w:val="0"/>
          <w:numId w:val="3"/>
        </w:numPr>
        <w:spacing w:after="80"/>
      </w:pPr>
      <w:r>
        <w:rPr>
          <w:b/>
          <w:bCs/>
        </w:rPr>
        <w:t xml:space="preserve">Week 6:</w:t>
      </w:r>
      <w:r>
        <w:t xml:space="preserve"> Finalize DEI framing taxonomy. Run full-corpus classification. Assess classification accuracy.</w:t>
      </w:r>
    </w:p>
    <w:p>
      <w:pPr>
        <w:pStyle w:val="ListParagraph"/>
        <w:numPr>
          <w:ilvl w:val="0"/>
          <w:numId w:val="3"/>
        </w:numPr>
        <w:spacing w:after="80"/>
      </w:pPr>
      <w:r>
        <w:rPr>
          <w:b/>
          <w:bCs/>
        </w:rPr>
        <w:t xml:space="preserve">Week 7–9:</w:t>
      </w:r>
      <w:r>
        <w:t xml:space="preserve"> Run drift detection against known inflection points. Calibrate validation parameters. This is the make-or-break phase — if the system doesn’t find real shifts, reassess the entire approach.</w:t>
      </w:r>
    </w:p>
    <w:p>
      <w:pPr>
        <w:pStyle w:val="ListParagraph"/>
        <w:numPr>
          <w:ilvl w:val="0"/>
          <w:numId w:val="3"/>
        </w:numPr>
        <w:spacing w:after="80"/>
      </w:pPr>
      <w:r>
        <w:rPr>
          <w:b/>
          <w:bCs/>
        </w:rPr>
        <w:t xml:space="preserve">Week 10–12:</w:t>
      </w:r>
      <w:r>
        <w:t xml:space="preserve"> Package findings into a report. Identify and contact 15–20 potential buyers. Run 5–10 discovery calls. Assess product-market fit.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4560" w:sz="6"/>
              <w:bottom w:val="single" w:color="CCCCCC" w:sz="1"/>
              <w:right w:val="single" w:color="CCCCCC" w:sz="1"/>
            </w:tcBorders>
            <w:shd w:fill="FFF5F6"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Decision Gate</w:t>
            </w:r>
          </w:p>
          <w:p>
            <w:pPr>
              <w:spacing w:after="60"/>
            </w:pPr>
            <w:r>
              <w:rPr>
                <w:rFonts w:ascii="Arial" w:cs="Arial" w:eastAsia="Arial" w:hAnsi="Arial"/>
                <w:b/>
                <w:bCs/>
                <w:sz w:val="20"/>
                <w:szCs w:val="20"/>
              </w:rPr>
              <w:t xml:space="preserve">After Week 9:</w:t>
            </w:r>
            <w:r>
              <w:rPr>
                <w:rFonts w:ascii="Arial" w:cs="Arial" w:eastAsia="Arial" w:hAnsi="Arial"/>
                <w:sz w:val="20"/>
                <w:szCs w:val="20"/>
              </w:rPr>
              <w:t xml:space="preserve"> If drift detection successfully identifies known shifts and surfaces non-obvious patterns, proceed to packaging and outreach. If not, conduct a structured postmortem: is the taxonomy wrong, the detection method inadequate, or the underlying thesis flawed?</w:t>
            </w:r>
          </w:p>
        </w:tc>
      </w:tr>
    </w:tbl>
    <w:p>
      <w:pPr>
        <w:spacing w:after="400"/>
      </w:pPr>
    </w:p>
    <w:p>
      <w:pPr>
        <w:jc w:val="center"/>
      </w:pPr>
      <w:r>
        <w:rPr>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Cultural Observatory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334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n40v9zffjcdghkus_ooxz" Type="http://schemas.openxmlformats.org/officeDocument/2006/relationships/hyperlink" Target="https://www.figma.com/online-whiteboard/create-diagram/59e57cde-b202-4c9e-9400-92d3ca1ebcf7?utm_source=claude&amp;utm_content=edit_in_figjam" TargetMode="External"/><Relationship Id="rIdzo426y_gamukhs8it_0wh" Type="http://schemas.openxmlformats.org/officeDocument/2006/relationships/hyperlink" Target="https://www.figma.com/online-whiteboard/create-diagram/de152e82-0d49-4bf7-97b8-7fe73af8911f?utm_source=claude&amp;utm_content=edit_in_figjam" TargetMode="External"/><Relationship Id="rId5f9_tweawbccfm31x4b7y" Type="http://schemas.openxmlformats.org/officeDocument/2006/relationships/hyperlink" Target="https://www.figma.com/online-whiteboard/create-diagram/4d66dc97-6ea8-4bfa-9a3b-f7237b23c833?utm_source=claude&amp;utm_content=edit_in_figjam" TargetMode="External"/><Relationship Id="rIdrvwonkvznjq3wceap5n0k" Type="http://schemas.openxmlformats.org/officeDocument/2006/relationships/hyperlink" Target="https://www.figma.com/online-whiteboard/create-diagram/59e57cde-b202-4c9e-9400-92d3ca1ebcf7?utm_source=claude&amp;utm_content=edit_in_figjam" TargetMode="External"/><Relationship Id="rIdfgs1_xm8yjjlg1eejgevt" Type="http://schemas.openxmlformats.org/officeDocument/2006/relationships/hyperlink" Target="https://www.figma.com/online-whiteboard/create-diagram/4d66dc97-6ea8-4bfa-9a3b-f7237b23c833?utm_source=claude&amp;utm_content=edit_in_figjam" TargetMode="External"/><Relationship Id="rIdglm6cl8tibvstu8gmthzo" Type="http://schemas.openxmlformats.org/officeDocument/2006/relationships/hyperlink" Target="https://www.figma.com/online-whiteboard/create-diagram/de152e82-0d49-4bf7-97b8-7fe73af8911f?utm_source=claude&amp;utm_content=edit_in_figjam"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2026-02-12T01:35:28.037Z</dcterms:created>
  <dcterms:modified xsi:type="dcterms:W3CDTF">2026-02-12T01:35:28.038Z</dcterms:modified>
</cp:coreProperties>
</file>

<file path=docProps/custom.xml><?xml version="1.0" encoding="utf-8"?>
<Properties xmlns="http://schemas.openxmlformats.org/officeDocument/2006/custom-properties" xmlns:vt="http://schemas.openxmlformats.org/officeDocument/2006/docPropsVTypes"/>
</file>