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2E352" w14:textId="77777777" w:rsidR="000131C2" w:rsidRDefault="00000000">
      <w:pPr>
        <w:pStyle w:val="Title"/>
      </w:pPr>
      <w:r>
        <w:t>Midterm Exam Study Guide – Strategic Management</w:t>
      </w:r>
    </w:p>
    <w:p w14:paraId="3F479456" w14:textId="77777777" w:rsidR="000131C2" w:rsidRDefault="00000000">
      <w:r>
        <w:t>Use this study guide to review key topics before the exam.</w:t>
      </w:r>
    </w:p>
    <w:p w14:paraId="38126F06" w14:textId="77777777" w:rsidR="000131C2" w:rsidRDefault="00000000">
      <w:r>
        <w:t>1. Strategy as pattern</w:t>
      </w:r>
    </w:p>
    <w:p w14:paraId="363A1378" w14:textId="77777777" w:rsidR="000131C2" w:rsidRDefault="00000000">
      <w:r>
        <w:t>2. Differentiation disadvantage</w:t>
      </w:r>
    </w:p>
    <w:p w14:paraId="6D09B7B6" w14:textId="77777777" w:rsidR="000131C2" w:rsidRDefault="00000000">
      <w:r>
        <w:t>3. Emergent strategy</w:t>
      </w:r>
    </w:p>
    <w:p w14:paraId="28D9A825" w14:textId="77777777" w:rsidR="000131C2" w:rsidRDefault="00000000">
      <w:r>
        <w:t>4. Mission statement</w:t>
      </w:r>
    </w:p>
    <w:p w14:paraId="411463FD" w14:textId="77777777" w:rsidR="000131C2" w:rsidRDefault="00000000">
      <w:r>
        <w:t>5. PESTEL analysis</w:t>
      </w:r>
    </w:p>
    <w:p w14:paraId="464CC4DD" w14:textId="77777777" w:rsidR="000131C2" w:rsidRDefault="00000000">
      <w:r>
        <w:t>6. Technological factors</w:t>
      </w:r>
    </w:p>
    <w:p w14:paraId="0A2937F7" w14:textId="77777777" w:rsidR="000131C2" w:rsidRDefault="00000000">
      <w:r>
        <w:t>7. Generic strategy</w:t>
      </w:r>
    </w:p>
    <w:p w14:paraId="6A54C4DC" w14:textId="77777777" w:rsidR="000131C2" w:rsidRDefault="00000000">
      <w:r>
        <w:t>8. Performance measure</w:t>
      </w:r>
    </w:p>
    <w:p w14:paraId="51112CB9" w14:textId="77777777" w:rsidR="000131C2" w:rsidRDefault="00000000">
      <w:r>
        <w:t>9. Price sensitivity risk</w:t>
      </w:r>
    </w:p>
    <w:p w14:paraId="1AED9844" w14:textId="77777777" w:rsidR="000131C2" w:rsidRDefault="00000000">
      <w:r>
        <w:t>10. Specific goals</w:t>
      </w:r>
    </w:p>
    <w:p w14:paraId="27F72120" w14:textId="77777777" w:rsidR="000131C2" w:rsidRDefault="00000000">
      <w:r>
        <w:t>11. Realized strategy</w:t>
      </w:r>
    </w:p>
    <w:p w14:paraId="4EBE99D9" w14:textId="77777777" w:rsidR="000131C2" w:rsidRDefault="00000000">
      <w:r>
        <w:t>12. Triple bottom line</w:t>
      </w:r>
    </w:p>
    <w:p w14:paraId="0120EFC7" w14:textId="77777777" w:rsidR="000131C2" w:rsidRDefault="00000000">
      <w:r>
        <w:t>13. Social factors</w:t>
      </w:r>
    </w:p>
    <w:p w14:paraId="679B65E1" w14:textId="77777777" w:rsidR="000131C2" w:rsidRDefault="00000000">
      <w:r>
        <w:t>14. SMART goals</w:t>
      </w:r>
    </w:p>
    <w:p w14:paraId="4FA0589B" w14:textId="77777777" w:rsidR="000131C2" w:rsidRDefault="00000000">
      <w:r>
        <w:t>15. Difficult to imitate</w:t>
      </w:r>
    </w:p>
    <w:p w14:paraId="55741EE1" w14:textId="77777777" w:rsidR="000131C2" w:rsidRDefault="00000000">
      <w:r>
        <w:t>16. Differentiation strategy</w:t>
      </w:r>
    </w:p>
    <w:p w14:paraId="62D17F25" w14:textId="77777777" w:rsidR="000131C2" w:rsidRDefault="00000000">
      <w:r>
        <w:t>17. Strategic plan steps</w:t>
      </w:r>
    </w:p>
    <w:p w14:paraId="1A078D61" w14:textId="77777777" w:rsidR="000131C2" w:rsidRDefault="00000000">
      <w:r>
        <w:t>18. Trade secret example</w:t>
      </w:r>
    </w:p>
    <w:p w14:paraId="2EC77B09" w14:textId="77777777" w:rsidR="000131C2" w:rsidRDefault="00000000">
      <w:r>
        <w:t>19. Franchising concept</w:t>
      </w:r>
    </w:p>
    <w:p w14:paraId="35C7D5F9" w14:textId="77777777" w:rsidR="000131C2" w:rsidRDefault="00000000">
      <w:r>
        <w:t>20. Time-bound goals</w:t>
      </w:r>
    </w:p>
    <w:p w14:paraId="4E6872CB" w14:textId="77777777" w:rsidR="000131C2" w:rsidRDefault="00000000">
      <w:r>
        <w:t>21. Intended strategy</w:t>
      </w:r>
    </w:p>
    <w:p w14:paraId="1808BE93" w14:textId="77777777" w:rsidR="000131C2" w:rsidRDefault="00000000">
      <w:r>
        <w:t>22. R&amp;D risk</w:t>
      </w:r>
    </w:p>
    <w:p w14:paraId="2283C54D" w14:textId="77777777" w:rsidR="000131C2" w:rsidRDefault="00000000">
      <w:r>
        <w:lastRenderedPageBreak/>
        <w:t>23. Brand building importance</w:t>
      </w:r>
    </w:p>
    <w:p w14:paraId="3434E1C8" w14:textId="77777777" w:rsidR="000131C2" w:rsidRDefault="00000000">
      <w:r>
        <w:t>24. Strategy as position</w:t>
      </w:r>
    </w:p>
    <w:p w14:paraId="6BC68215" w14:textId="77777777" w:rsidR="000131C2" w:rsidRDefault="00000000">
      <w:r>
        <w:t>25. Patent protection</w:t>
      </w:r>
    </w:p>
    <w:p w14:paraId="397943F5" w14:textId="77777777" w:rsidR="000131C2" w:rsidRDefault="00000000">
      <w:r>
        <w:t>26. Non-strategic resource</w:t>
      </w:r>
    </w:p>
    <w:p w14:paraId="7C30F03B" w14:textId="77777777" w:rsidR="000131C2" w:rsidRDefault="00000000">
      <w:r>
        <w:t>27. Organizational performance</w:t>
      </w:r>
    </w:p>
    <w:p w14:paraId="7C7D0CA7" w14:textId="77777777" w:rsidR="000131C2" w:rsidRDefault="00000000">
      <w:r>
        <w:t>28. Resource rarity</w:t>
      </w:r>
    </w:p>
    <w:p w14:paraId="645B6138" w14:textId="77777777" w:rsidR="000131C2" w:rsidRDefault="00000000">
      <w:r>
        <w:t>29. Strategic ploy</w:t>
      </w:r>
    </w:p>
    <w:p w14:paraId="20AD999B" w14:textId="77777777" w:rsidR="000131C2" w:rsidRDefault="00000000">
      <w:r>
        <w:t>30. Supplier power</w:t>
      </w:r>
    </w:p>
    <w:p w14:paraId="3EEA973D" w14:textId="77777777" w:rsidR="000131C2" w:rsidRDefault="00000000">
      <w:r>
        <w:t>31. Balanced scorecard</w:t>
      </w:r>
    </w:p>
    <w:p w14:paraId="48B8E763" w14:textId="77777777" w:rsidR="000131C2" w:rsidRDefault="00000000">
      <w:r>
        <w:t>32. Valuable resource</w:t>
      </w:r>
    </w:p>
    <w:p w14:paraId="78918DD7" w14:textId="77777777" w:rsidR="000131C2" w:rsidRDefault="00000000">
      <w:r>
        <w:t>33. Trademark examples</w:t>
      </w:r>
    </w:p>
    <w:p w14:paraId="02FB58E3" w14:textId="77777777" w:rsidR="000131C2" w:rsidRDefault="00000000">
      <w:r>
        <w:t>34. Political factors</w:t>
      </w:r>
    </w:p>
    <w:p w14:paraId="7F8D9F9A" w14:textId="77777777" w:rsidR="000131C2" w:rsidRDefault="00000000">
      <w:r>
        <w:t>35. Inbound logistics</w:t>
      </w:r>
    </w:p>
    <w:p w14:paraId="7730DE6A" w14:textId="77777777" w:rsidR="000131C2" w:rsidRDefault="00000000">
      <w:r>
        <w:t>36. Macro environment</w:t>
      </w:r>
    </w:p>
    <w:p w14:paraId="28D188DD" w14:textId="77777777" w:rsidR="000131C2" w:rsidRDefault="00000000">
      <w:r>
        <w:t>37. Economies of scale</w:t>
      </w:r>
    </w:p>
    <w:p w14:paraId="097C3F9C" w14:textId="77777777" w:rsidR="000131C2" w:rsidRDefault="00000000">
      <w:r>
        <w:t>38. Economic factors</w:t>
      </w:r>
    </w:p>
    <w:p w14:paraId="7EA0F56C" w14:textId="77777777" w:rsidR="000131C2" w:rsidRDefault="00000000">
      <w:r>
        <w:t>39. Industry profit potential</w:t>
      </w:r>
    </w:p>
    <w:p w14:paraId="7FF42173" w14:textId="77777777" w:rsidR="000131C2" w:rsidRDefault="00000000">
      <w:r>
        <w:t>40. Economies of scale concept</w:t>
      </w:r>
    </w:p>
    <w:p w14:paraId="53B4244C" w14:textId="77777777" w:rsidR="000131C2" w:rsidRDefault="00000000">
      <w:r>
        <w:t>41. Value chain</w:t>
      </w:r>
    </w:p>
    <w:p w14:paraId="40E16AA0" w14:textId="77777777" w:rsidR="000131C2" w:rsidRDefault="00000000">
      <w:r>
        <w:t>42. Porter five forces</w:t>
      </w:r>
    </w:p>
    <w:p w14:paraId="22C44EFF" w14:textId="77777777" w:rsidR="000131C2" w:rsidRDefault="00000000">
      <w:r>
        <w:t>43. Vision statement</w:t>
      </w:r>
    </w:p>
    <w:p w14:paraId="6017626E" w14:textId="77777777" w:rsidR="000131C2" w:rsidRDefault="00000000">
      <w:r>
        <w:t>44. Industry entry</w:t>
      </w:r>
    </w:p>
    <w:p w14:paraId="7C27EEF9" w14:textId="77777777" w:rsidR="000131C2" w:rsidRDefault="00000000">
      <w:r>
        <w:t>45. Supply chain failure</w:t>
      </w:r>
    </w:p>
    <w:p w14:paraId="2307BE92" w14:textId="77777777" w:rsidR="000131C2" w:rsidRDefault="00000000">
      <w:r>
        <w:t>46. Cost leadership advantage</w:t>
      </w:r>
    </w:p>
    <w:p w14:paraId="7B26A11B" w14:textId="77777777" w:rsidR="000131C2" w:rsidRDefault="00000000">
      <w:r>
        <w:t>47. Business model viability</w:t>
      </w:r>
    </w:p>
    <w:p w14:paraId="13FF803F" w14:textId="77777777" w:rsidR="000131C2" w:rsidRDefault="00000000">
      <w:r>
        <w:t>48. Advertising minimization</w:t>
      </w:r>
    </w:p>
    <w:p w14:paraId="4BE7B8E4" w14:textId="77777777" w:rsidR="000131C2" w:rsidRDefault="00000000">
      <w:r>
        <w:lastRenderedPageBreak/>
        <w:t>49. Cost leadership</w:t>
      </w:r>
    </w:p>
    <w:p w14:paraId="13ACF206" w14:textId="77777777" w:rsidR="000131C2" w:rsidRDefault="00000000">
      <w:r>
        <w:t>50. Measurable goals</w:t>
      </w:r>
    </w:p>
    <w:sectPr w:rsidR="000131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7855744">
    <w:abstractNumId w:val="8"/>
  </w:num>
  <w:num w:numId="2" w16cid:durableId="1292906738">
    <w:abstractNumId w:val="6"/>
  </w:num>
  <w:num w:numId="3" w16cid:durableId="877089269">
    <w:abstractNumId w:val="5"/>
  </w:num>
  <w:num w:numId="4" w16cid:durableId="463084203">
    <w:abstractNumId w:val="4"/>
  </w:num>
  <w:num w:numId="5" w16cid:durableId="1008949225">
    <w:abstractNumId w:val="7"/>
  </w:num>
  <w:num w:numId="6" w16cid:durableId="254822337">
    <w:abstractNumId w:val="3"/>
  </w:num>
  <w:num w:numId="7" w16cid:durableId="1223905061">
    <w:abstractNumId w:val="2"/>
  </w:num>
  <w:num w:numId="8" w16cid:durableId="369113063">
    <w:abstractNumId w:val="1"/>
  </w:num>
  <w:num w:numId="9" w16cid:durableId="1399013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1C2"/>
    <w:rsid w:val="00034616"/>
    <w:rsid w:val="0006063C"/>
    <w:rsid w:val="0015074B"/>
    <w:rsid w:val="0029639D"/>
    <w:rsid w:val="00326F90"/>
    <w:rsid w:val="00581A9E"/>
    <w:rsid w:val="007C2C98"/>
    <w:rsid w:val="009172D0"/>
    <w:rsid w:val="00AA1D8D"/>
    <w:rsid w:val="00B47730"/>
    <w:rsid w:val="00B77D4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2D0778"/>
  <w14:defaultImageDpi w14:val="300"/>
  <w15:docId w15:val="{B4BB968D-EC4D-AE43-88D7-564B2C4BA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183</Words>
  <Characters>1081</Characters>
  <Application>Microsoft Office Word</Application>
  <DocSecurity>0</DocSecurity>
  <Lines>53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Timothy Syfert</cp:lastModifiedBy>
  <cp:revision>4</cp:revision>
  <dcterms:created xsi:type="dcterms:W3CDTF">2025-09-29T16:39:00Z</dcterms:created>
  <dcterms:modified xsi:type="dcterms:W3CDTF">2025-09-29T16:40:00Z</dcterms:modified>
  <cp:category/>
</cp:coreProperties>
</file>