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21E5" w14:textId="77777777" w:rsidR="00BC55B2" w:rsidRPr="003E6947" w:rsidRDefault="00BC55B2" w:rsidP="00BC55B2">
      <w:pPr>
        <w:spacing w:after="0" w:line="240" w:lineRule="auto"/>
        <w:ind w:left="1418" w:rightChars="12" w:right="26" w:hanging="1418"/>
        <w:jc w:val="both"/>
        <w:rPr>
          <w:rFonts w:ascii="Arial" w:eastAsia="SimSun" w:hAnsi="Arial" w:cs="Arial"/>
          <w:color w:val="000000"/>
          <w:kern w:val="2"/>
          <w:sz w:val="20"/>
          <w:szCs w:val="20"/>
          <w:u w:val="single"/>
          <w:lang w:eastAsia="es-MX"/>
        </w:rPr>
      </w:pPr>
      <w:r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Indicación del estudio:</w:t>
      </w:r>
      <w:r w:rsidRPr="003E6947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  </w:t>
      </w:r>
    </w:p>
    <w:p w14:paraId="0CE92B2E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</w:pPr>
    </w:p>
    <w:p w14:paraId="682A4725" w14:textId="77777777" w:rsidR="00BC55B2" w:rsidRPr="00926BF6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</w:pPr>
      <w:r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Té</w:t>
      </w:r>
      <w:r w:rsidRPr="00926BF6">
        <w:rPr>
          <w:rFonts w:ascii="Arial" w:eastAsia="SimSun" w:hAnsi="Arial" w:cs="Arial"/>
          <w:b/>
          <w:bCs/>
          <w:color w:val="000000"/>
          <w:kern w:val="2"/>
          <w:sz w:val="20"/>
          <w:szCs w:val="20"/>
          <w:u w:val="single"/>
          <w:lang w:eastAsia="es-MX"/>
        </w:rPr>
        <w:t>cnica:</w:t>
      </w:r>
      <w:r w:rsidRPr="00926BF6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 Se realizó estudio ultrasonográfico </w:t>
      </w:r>
      <w:r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 xml:space="preserve">abdominal </w:t>
      </w:r>
      <w:r w:rsidRPr="00926BF6">
        <w:rPr>
          <w:rFonts w:ascii="Arial" w:eastAsia="SimSun" w:hAnsi="Arial" w:cs="Arial"/>
          <w:color w:val="000000"/>
          <w:kern w:val="2"/>
          <w:sz w:val="20"/>
          <w:szCs w:val="20"/>
          <w:lang w:eastAsia="es-MX"/>
        </w:rPr>
        <w:t>con transductor convexo multifrecuencia de alta resolución en tiempo real observando lo siguiente:</w:t>
      </w:r>
    </w:p>
    <w:p w14:paraId="38F84290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</w:p>
    <w:p w14:paraId="271E6C46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u w:val="single"/>
          <w:lang w:eastAsia="es-MX"/>
        </w:rPr>
        <w:t>Hallazgos:</w:t>
      </w:r>
    </w:p>
    <w:p w14:paraId="552C8ABA" w14:textId="77777777" w:rsidR="00BC55B2" w:rsidRDefault="00BC55B2" w:rsidP="00BC55B2">
      <w:pPr>
        <w:tabs>
          <w:tab w:val="left" w:pos="2930"/>
        </w:tabs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28D2DE7C" w14:textId="77777777" w:rsidR="00BC55B2" w:rsidRDefault="00BC55B2" w:rsidP="00BC55B2">
      <w:pPr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Hígado</w:t>
      </w:r>
      <w:r w:rsidRPr="000D3724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con forma, contornos y ecogenicidad normales. Patrón ecográfico homogéneo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No se observa dilat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ación de vías biliares intrahepá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ticas.</w:t>
      </w:r>
      <w:r w:rsidRPr="001C115E">
        <w:rPr>
          <w:rFonts w:ascii="Arial" w:eastAsia="SimSun" w:hAnsi="Arial" w:cs="Arial"/>
          <w:i/>
          <w:iCs/>
          <w:kern w:val="2"/>
          <w:sz w:val="20"/>
          <w:szCs w:val="20"/>
          <w:lang w:eastAsia="es-MX"/>
        </w:rPr>
        <w:t xml:space="preserve"> </w:t>
      </w:r>
    </w:p>
    <w:p w14:paraId="3CADF784" w14:textId="77777777" w:rsidR="00BC55B2" w:rsidRPr="00F6062F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Colédoco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tiene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calibre </w:t>
      </w:r>
      <w:proofErr w:type="gramStart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de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 </w:t>
      </w:r>
      <w:proofErr w:type="spell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>mm.</w:t>
      </w:r>
      <w:proofErr w:type="spellEnd"/>
      <w:proofErr w:type="gram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Vena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porta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con calibre de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proofErr w:type="spellStart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mm.</w:t>
      </w:r>
      <w:proofErr w:type="spell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</w:p>
    <w:p w14:paraId="78FD4CD4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287964F7" w14:textId="77777777" w:rsidR="00BC55B2" w:rsidRPr="00F6062F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Vesícula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</w:t>
      </w: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biliar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muestra forma y contornos normales. </w:t>
      </w:r>
      <w:proofErr w:type="gramStart"/>
      <w:r>
        <w:rPr>
          <w:rFonts w:ascii="Arial" w:hAnsi="Arial" w:cs="Arial"/>
          <w:sz w:val="20"/>
          <w:szCs w:val="20"/>
        </w:rPr>
        <w:t>M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ide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mm</w:t>
      </w:r>
      <w:proofErr w:type="gram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, en su diámetro longitudinal, anteroposterior y transversal respectivamente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. Pared con espesor </w:t>
      </w:r>
      <w:proofErr w:type="gram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mm.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No identifico </w:t>
      </w:r>
      <w:proofErr w:type="spell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>litos</w:t>
      </w:r>
      <w:proofErr w:type="spellEnd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en su interior. </w:t>
      </w:r>
    </w:p>
    <w:p w14:paraId="54232CA0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6473C83F" w14:textId="77777777" w:rsidR="00BC55B2" w:rsidRPr="00F6062F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Páncreas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con forma, tamaño y contornos normales, patrón ecográfico homogéneo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No observo colecciones en el espacio </w:t>
      </w:r>
      <w:proofErr w:type="spell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>peripancreático</w:t>
      </w:r>
      <w:proofErr w:type="spellEnd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. </w:t>
      </w:r>
    </w:p>
    <w:p w14:paraId="48D5F5B9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b/>
          <w:kern w:val="2"/>
          <w:sz w:val="20"/>
          <w:szCs w:val="20"/>
          <w:lang w:eastAsia="es-MX"/>
        </w:rPr>
      </w:pPr>
    </w:p>
    <w:p w14:paraId="53409611" w14:textId="77777777" w:rsidR="00BC55B2" w:rsidRDefault="00BC55B2" w:rsidP="00BC55B2">
      <w:pPr>
        <w:spacing w:after="0" w:line="240" w:lineRule="auto"/>
        <w:ind w:rightChars="12" w:right="26"/>
        <w:jc w:val="both"/>
        <w:rPr>
          <w:rFonts w:ascii="Arial" w:eastAsia="SimSun" w:hAnsi="Arial" w:cs="Arial"/>
          <w:kern w:val="2"/>
          <w:sz w:val="20"/>
          <w:szCs w:val="20"/>
          <w:lang w:eastAsia="es-MX"/>
        </w:rPr>
      </w:pPr>
      <w:r w:rsidRPr="009A6DFD">
        <w:rPr>
          <w:rFonts w:ascii="Arial" w:eastAsia="SimSun" w:hAnsi="Arial" w:cs="Arial"/>
          <w:b/>
          <w:kern w:val="2"/>
          <w:sz w:val="20"/>
          <w:szCs w:val="20"/>
          <w:lang w:eastAsia="es-MX"/>
        </w:rPr>
        <w:t>Bazo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con f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orma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>, contornos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y patró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n ecográfico normal, </w:t>
      </w:r>
      <w:proofErr w:type="gramStart"/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mide </w:t>
      </w:r>
      <w:r>
        <w:rPr>
          <w:rFonts w:ascii="Arial" w:hAnsi="Arial" w:cs="Arial"/>
          <w:sz w:val="20"/>
          <w:szCs w:val="20"/>
        </w:rPr>
        <w:t xml:space="preserve"> 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mm</w:t>
      </w:r>
      <w:proofErr w:type="gramEnd"/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en</w:t>
      </w:r>
      <w:r>
        <w:rPr>
          <w:rFonts w:ascii="Arial" w:eastAsia="SimSun" w:hAnsi="Arial" w:cs="Arial"/>
          <w:kern w:val="2"/>
          <w:sz w:val="20"/>
          <w:szCs w:val="20"/>
          <w:lang w:eastAsia="es-MX"/>
        </w:rPr>
        <w:t xml:space="preserve"> diámetro máximo</w:t>
      </w:r>
      <w:r w:rsidRPr="00F6062F">
        <w:rPr>
          <w:rFonts w:ascii="Arial" w:eastAsia="SimSun" w:hAnsi="Arial" w:cs="Arial"/>
          <w:kern w:val="2"/>
          <w:sz w:val="20"/>
          <w:szCs w:val="20"/>
          <w:lang w:eastAsia="es-MX"/>
        </w:rPr>
        <w:t>.</w:t>
      </w:r>
    </w:p>
    <w:p w14:paraId="67674285" w14:textId="77777777" w:rsidR="005D4A6D" w:rsidRDefault="005D4A6D"/>
    <w:sectPr w:rsidR="005D4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B2"/>
    <w:rsid w:val="002967A2"/>
    <w:rsid w:val="005D4A6D"/>
    <w:rsid w:val="00B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7087"/>
  <w15:chartTrackingRefBased/>
  <w15:docId w15:val="{4049DFD4-4FBC-4080-BA76-52BC6308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B2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ERNESTO CHAVEZ PUENTE</dc:creator>
  <cp:keywords/>
  <dc:description/>
  <cp:lastModifiedBy>JORGE ERNESTO CHAVEZ PUENTE</cp:lastModifiedBy>
  <cp:revision>1</cp:revision>
  <dcterms:created xsi:type="dcterms:W3CDTF">2023-11-03T23:22:00Z</dcterms:created>
  <dcterms:modified xsi:type="dcterms:W3CDTF">2023-11-03T23:23:00Z</dcterms:modified>
</cp:coreProperties>
</file>