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0D38" w14:textId="77777777" w:rsidR="00BF2EBD" w:rsidRPr="005105B3" w:rsidRDefault="00BF2EBD" w:rsidP="000236DB">
      <w:pPr>
        <w:pStyle w:val="Heading2"/>
        <w:ind w:left="0"/>
        <w:rPr>
          <w:rFonts w:ascii="Times New Roman" w:hAnsi="Times New Roman" w:cs="Times New Roman"/>
        </w:rPr>
      </w:pPr>
      <w:r w:rsidRPr="005105B3">
        <w:rPr>
          <w:rFonts w:ascii="Times New Roman" w:hAnsi="Times New Roman" w:cs="Times New Roman"/>
        </w:rPr>
        <w:t>Data</w:t>
      </w:r>
    </w:p>
    <w:p w14:paraId="3E8209C4" w14:textId="77777777" w:rsidR="00BF2EBD" w:rsidRPr="005105B3" w:rsidRDefault="00BF2EBD" w:rsidP="00BF2EBD">
      <w:pPr>
        <w:rPr>
          <w:rFonts w:ascii="Times New Roman" w:hAnsi="Times New Roman" w:cs="Times New Roman"/>
        </w:rPr>
      </w:pPr>
      <w:r w:rsidRPr="005105B3">
        <w:rPr>
          <w:rFonts w:ascii="Times New Roman" w:hAnsi="Times New Roman" w:cs="Times New Roman"/>
        </w:rPr>
        <w:t xml:space="preserve">The main source of data for his paper is from the Saint louis County Assessor’s office and is based on the property tax rolls for the years 2000 through 2025. This data is supplemented with data from the GIS offices within the county and the American Community Survey 5-year datasets. Further verification was carried out using the property lookup feature hosted by the Saint Louis County Assessor’s office website. </w:t>
      </w:r>
    </w:p>
    <w:p w14:paraId="1DBD77AD" w14:textId="77777777" w:rsidR="00BF2EBD" w:rsidRPr="005105B3" w:rsidRDefault="00BF2EBD" w:rsidP="000236DB">
      <w:pPr>
        <w:pStyle w:val="Heading3"/>
        <w:ind w:left="0"/>
        <w:rPr>
          <w:rFonts w:ascii="Times New Roman" w:hAnsi="Times New Roman" w:cs="Times New Roman"/>
        </w:rPr>
      </w:pPr>
      <w:r w:rsidRPr="005105B3">
        <w:rPr>
          <w:rFonts w:ascii="Times New Roman" w:hAnsi="Times New Roman" w:cs="Times New Roman"/>
        </w:rPr>
        <w:t>Ownership Data</w:t>
      </w:r>
    </w:p>
    <w:p w14:paraId="08A4E8AA" w14:textId="77777777" w:rsidR="00BF2EBD" w:rsidRPr="005105B3" w:rsidRDefault="00BF2EBD" w:rsidP="00BF2EBD">
      <w:pPr>
        <w:rPr>
          <w:rFonts w:ascii="Times New Roman" w:hAnsi="Times New Roman" w:cs="Times New Roman"/>
        </w:rPr>
      </w:pPr>
      <w:r w:rsidRPr="005105B3">
        <w:rPr>
          <w:rFonts w:ascii="Times New Roman" w:hAnsi="Times New Roman" w:cs="Times New Roman"/>
        </w:rPr>
        <w:t xml:space="preserve">Within the property tax rolls is both location and ownership information for all parcels located within the county. While there is more detailed information for all properties across the several files that make up the property database, we focused on the primary parcel data which denotes the unique parcel identification number, the tenure of the property (owner versus nonowner occupied), the property classification, and the names and addresses of the owners as recorded by the assessor’s office. </w:t>
      </w:r>
    </w:p>
    <w:p w14:paraId="397E79CE" w14:textId="77777777" w:rsidR="00BF2EBD" w:rsidRPr="005105B3" w:rsidRDefault="00BF2EBD" w:rsidP="00BF2EBD">
      <w:pPr>
        <w:rPr>
          <w:rFonts w:ascii="Times New Roman" w:hAnsi="Times New Roman" w:cs="Times New Roman"/>
        </w:rPr>
      </w:pPr>
      <w:r w:rsidRPr="005105B3">
        <w:rPr>
          <w:rFonts w:ascii="Times New Roman" w:hAnsi="Times New Roman" w:cs="Times New Roman"/>
        </w:rPr>
        <w:t xml:space="preserve">On average, there are about 396,000 parcels of land with information in each year of the </w:t>
      </w:r>
      <w:proofErr w:type="gramStart"/>
      <w:r w:rsidRPr="005105B3">
        <w:rPr>
          <w:rFonts w:ascii="Times New Roman" w:hAnsi="Times New Roman" w:cs="Times New Roman"/>
        </w:rPr>
        <w:t>database</w:t>
      </w:r>
      <w:proofErr w:type="gramEnd"/>
      <w:r w:rsidRPr="005105B3">
        <w:rPr>
          <w:rFonts w:ascii="Times New Roman" w:hAnsi="Times New Roman" w:cs="Times New Roman"/>
        </w:rPr>
        <w:t xml:space="preserve"> and we denoted the tenure of the parcel as owner if the property address matched the owner’s address. After filtering out the non-owner parcels, we use regular expression searches of the property owner’s names to identify the type of owner of each parcel across all property classes. This was carried out as an iterative process starting with the more obvious cases of ownership types. For example, if “LLC” or “Incorporated” was in the owner’s name, the parcel was classified as corporate or if “Bank” was in the </w:t>
      </w:r>
      <w:proofErr w:type="gramStart"/>
      <w:r w:rsidRPr="005105B3">
        <w:rPr>
          <w:rFonts w:ascii="Times New Roman" w:hAnsi="Times New Roman" w:cs="Times New Roman"/>
        </w:rPr>
        <w:t>owner</w:t>
      </w:r>
      <w:proofErr w:type="gramEnd"/>
      <w:r w:rsidRPr="005105B3">
        <w:rPr>
          <w:rFonts w:ascii="Times New Roman" w:hAnsi="Times New Roman" w:cs="Times New Roman"/>
        </w:rPr>
        <w:t xml:space="preserve"> name, the parcel was classified as REO. Any property that was not classified using these obvious terms, was then visually searched for other terms such as spelling variations or other indicators that would indicate the type of owner for each parcel. </w:t>
      </w:r>
    </w:p>
    <w:p w14:paraId="4413A894" w14:textId="30B7FDF3" w:rsidR="00BF2EBD" w:rsidRPr="005105B3" w:rsidRDefault="00BF2EBD" w:rsidP="00BF2EBD">
      <w:pPr>
        <w:rPr>
          <w:rFonts w:ascii="Times New Roman" w:hAnsi="Times New Roman" w:cs="Times New Roman"/>
        </w:rPr>
      </w:pPr>
      <w:r w:rsidRPr="005105B3">
        <w:rPr>
          <w:rFonts w:ascii="Times New Roman" w:hAnsi="Times New Roman" w:cs="Times New Roman"/>
        </w:rPr>
        <w:t>By the end of the process, there were eight categories of ownership types that were identified and into which each parcel was classified. Those categories and the share of the entire sample of parcels across the 201</w:t>
      </w:r>
      <w:r w:rsidR="00B038D0">
        <w:rPr>
          <w:rFonts w:ascii="Times New Roman" w:hAnsi="Times New Roman" w:cs="Times New Roman"/>
        </w:rPr>
        <w:t>8</w:t>
      </w:r>
      <w:r w:rsidRPr="005105B3">
        <w:rPr>
          <w:rFonts w:ascii="Times New Roman" w:hAnsi="Times New Roman" w:cs="Times New Roman"/>
        </w:rPr>
        <w:t xml:space="preserve"> to 2023 timeframe are shown in the table below. Any parcel that was already classified as owner occupied based on the address comparison were automatically classified as privately owned. The table also shows how the property ownership categories differ by land use class where multi-use properties are aggregated to the “Multi” land use class. </w:t>
      </w:r>
    </w:p>
    <w:tbl>
      <w:tblPr>
        <w:tblW w:w="0" w:type="auto"/>
        <w:jc w:val="center"/>
        <w:tblLayout w:type="fixed"/>
        <w:tblLook w:val="0420" w:firstRow="1" w:lastRow="0" w:firstColumn="0" w:lastColumn="0" w:noHBand="0" w:noVBand="1"/>
      </w:tblPr>
      <w:tblGrid>
        <w:gridCol w:w="1749"/>
        <w:gridCol w:w="1310"/>
        <w:gridCol w:w="1399"/>
        <w:gridCol w:w="961"/>
        <w:gridCol w:w="1388"/>
        <w:gridCol w:w="961"/>
      </w:tblGrid>
      <w:tr w:rsidR="001A3104" w14:paraId="59DFD269" w14:textId="77777777" w:rsidTr="0014322B">
        <w:trPr>
          <w:tblHeader/>
          <w:jc w:val="center"/>
        </w:trPr>
        <w:tc>
          <w:tcPr>
            <w:tcW w:w="7768" w:type="dxa"/>
            <w:gridSpan w:val="6"/>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799F44"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Arial" w:cs="Arial"/>
                <w:b/>
                <w:color w:val="000000"/>
                <w:sz w:val="20"/>
                <w:szCs w:val="20"/>
              </w:rPr>
            </w:pPr>
            <w:r>
              <w:rPr>
                <w:rFonts w:ascii="Times New Roman" w:eastAsia="Arial" w:hAnsi="Arial" w:cs="Arial"/>
                <w:b/>
                <w:color w:val="000000"/>
                <w:sz w:val="20"/>
                <w:szCs w:val="20"/>
              </w:rPr>
              <w:t>Table 1: Ownership Type by Land Use Class</w:t>
            </w:r>
          </w:p>
        </w:tc>
      </w:tr>
      <w:tr w:rsidR="001A3104" w14:paraId="6E76858C" w14:textId="77777777" w:rsidTr="0014322B">
        <w:trPr>
          <w:tblHeader/>
          <w:jc w:val="center"/>
        </w:trPr>
        <w:tc>
          <w:tcPr>
            <w:tcW w:w="1749"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97F6C2"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Arial" w:cs="Arial"/>
                <w:color w:val="000000"/>
                <w:sz w:val="20"/>
                <w:szCs w:val="20"/>
              </w:rPr>
            </w:pPr>
            <w:r>
              <w:rPr>
                <w:rFonts w:ascii="Times New Roman" w:eastAsia="Arial" w:hAnsi="Arial" w:cs="Arial"/>
                <w:color w:val="000000"/>
                <w:sz w:val="20"/>
                <w:szCs w:val="20"/>
              </w:rPr>
              <w:t>Ownership Type</w:t>
            </w:r>
          </w:p>
        </w:tc>
        <w:tc>
          <w:tcPr>
            <w:tcW w:w="1310"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E270E8"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Arial" w:cs="Arial"/>
                <w:color w:val="000000"/>
                <w:sz w:val="20"/>
                <w:szCs w:val="20"/>
              </w:rPr>
            </w:pPr>
            <w:r>
              <w:rPr>
                <w:rFonts w:ascii="Times New Roman" w:eastAsia="Arial" w:hAnsi="Arial" w:cs="Arial"/>
                <w:color w:val="000000"/>
                <w:sz w:val="20"/>
                <w:szCs w:val="20"/>
              </w:rPr>
              <w:t>Residential</w:t>
            </w:r>
          </w:p>
        </w:tc>
        <w:tc>
          <w:tcPr>
            <w:tcW w:w="1399"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1234A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Arial" w:cs="Arial"/>
                <w:color w:val="000000"/>
                <w:sz w:val="20"/>
                <w:szCs w:val="20"/>
              </w:rPr>
            </w:pPr>
            <w:r>
              <w:rPr>
                <w:rFonts w:ascii="Times New Roman" w:eastAsia="Arial" w:hAnsi="Arial" w:cs="Arial"/>
                <w:color w:val="000000"/>
                <w:sz w:val="20"/>
                <w:szCs w:val="20"/>
              </w:rPr>
              <w:t>Commercial</w:t>
            </w:r>
          </w:p>
        </w:tc>
        <w:tc>
          <w:tcPr>
            <w:tcW w:w="961"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7A78E8"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Arial" w:cs="Arial"/>
                <w:color w:val="000000"/>
                <w:sz w:val="20"/>
                <w:szCs w:val="20"/>
              </w:rPr>
            </w:pPr>
            <w:r>
              <w:rPr>
                <w:rFonts w:ascii="Times New Roman" w:eastAsia="Arial" w:hAnsi="Arial" w:cs="Arial"/>
                <w:color w:val="000000"/>
                <w:sz w:val="20"/>
                <w:szCs w:val="20"/>
              </w:rPr>
              <w:t>Multi</w:t>
            </w:r>
          </w:p>
        </w:tc>
        <w:tc>
          <w:tcPr>
            <w:tcW w:w="1388"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7D2364"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Arial" w:cs="Arial"/>
                <w:color w:val="000000"/>
                <w:sz w:val="20"/>
                <w:szCs w:val="20"/>
              </w:rPr>
            </w:pPr>
            <w:r>
              <w:rPr>
                <w:rFonts w:ascii="Times New Roman" w:eastAsia="Arial" w:hAnsi="Arial" w:cs="Arial"/>
                <w:color w:val="000000"/>
                <w:sz w:val="20"/>
                <w:szCs w:val="20"/>
              </w:rPr>
              <w:t>Agricultural</w:t>
            </w:r>
          </w:p>
        </w:tc>
        <w:tc>
          <w:tcPr>
            <w:tcW w:w="961" w:type="dxa"/>
            <w:tcBorders>
              <w:top w:val="single" w:sz="12" w:space="0" w:color="666666"/>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C37544"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center"/>
              <w:rPr>
                <w:rFonts w:ascii="Times New Roman" w:eastAsia="Arial" w:hAnsi="Arial" w:cs="Arial"/>
                <w:color w:val="000000"/>
                <w:sz w:val="20"/>
                <w:szCs w:val="20"/>
              </w:rPr>
            </w:pPr>
            <w:r>
              <w:rPr>
                <w:rFonts w:ascii="Times New Roman" w:eastAsia="Arial" w:hAnsi="Arial" w:cs="Arial"/>
                <w:color w:val="000000"/>
                <w:sz w:val="20"/>
                <w:szCs w:val="20"/>
              </w:rPr>
              <w:t>All</w:t>
            </w:r>
          </w:p>
        </w:tc>
      </w:tr>
      <w:tr w:rsidR="001A3104" w14:paraId="29B8A12E" w14:textId="77777777" w:rsidTr="0014322B">
        <w:trPr>
          <w:jc w:val="center"/>
        </w:trPr>
        <w:tc>
          <w:tcPr>
            <w:tcW w:w="174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E2F83"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Corporate</w:t>
            </w:r>
          </w:p>
        </w:tc>
        <w:tc>
          <w:tcPr>
            <w:tcW w:w="13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A4E8"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0.0822</w:t>
            </w:r>
          </w:p>
        </w:tc>
        <w:tc>
          <w:tcPr>
            <w:tcW w:w="139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03CD6"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0.4929</w:t>
            </w:r>
          </w:p>
        </w:tc>
        <w:tc>
          <w:tcPr>
            <w:tcW w:w="9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AAE98"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0.3056</w:t>
            </w:r>
          </w:p>
        </w:tc>
        <w:tc>
          <w:tcPr>
            <w:tcW w:w="1388"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9B8B052"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0.3739</w:t>
            </w:r>
          </w:p>
        </w:tc>
        <w:tc>
          <w:tcPr>
            <w:tcW w:w="961"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D510EFB"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0.1015</w:t>
            </w:r>
          </w:p>
        </w:tc>
      </w:tr>
      <w:tr w:rsidR="001A3104" w14:paraId="12114D5E" w14:textId="77777777" w:rsidTr="0014322B">
        <w:trPr>
          <w:jc w:val="center"/>
        </w:trPr>
        <w:tc>
          <w:tcPr>
            <w:tcW w:w="17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C2E11"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Private</w:t>
            </w:r>
          </w:p>
        </w:tc>
        <w:tc>
          <w:tcPr>
            <w:tcW w:w="1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FF92D"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0.8532</w:t>
            </w:r>
          </w:p>
        </w:tc>
        <w:tc>
          <w:tcPr>
            <w:tcW w:w="1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6F343"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0.3382</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F28DC"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0.5357</w:t>
            </w:r>
          </w:p>
        </w:tc>
        <w:tc>
          <w:tcPr>
            <w:tcW w:w="138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84F3964"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0.3082</w:t>
            </w:r>
          </w:p>
        </w:tc>
        <w:tc>
          <w:tcPr>
            <w:tcW w:w="96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12599762"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0.8284</w:t>
            </w:r>
          </w:p>
        </w:tc>
      </w:tr>
      <w:tr w:rsidR="001A3104" w14:paraId="36003D5C" w14:textId="77777777" w:rsidTr="0014322B">
        <w:trPr>
          <w:jc w:val="center"/>
        </w:trPr>
        <w:tc>
          <w:tcPr>
            <w:tcW w:w="17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1BC8E"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Trustee</w:t>
            </w:r>
          </w:p>
        </w:tc>
        <w:tc>
          <w:tcPr>
            <w:tcW w:w="1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B704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0.0416</w:t>
            </w:r>
          </w:p>
        </w:tc>
        <w:tc>
          <w:tcPr>
            <w:tcW w:w="1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EFB5A"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0.0769</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DA84D"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0.1030</w:t>
            </w:r>
          </w:p>
        </w:tc>
        <w:tc>
          <w:tcPr>
            <w:tcW w:w="138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37FE6E6F"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0.2299</w:t>
            </w:r>
          </w:p>
        </w:tc>
        <w:tc>
          <w:tcPr>
            <w:tcW w:w="96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6DF77B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0.0438</w:t>
            </w:r>
          </w:p>
        </w:tc>
      </w:tr>
      <w:tr w:rsidR="001A3104" w14:paraId="4DA5BE28" w14:textId="77777777" w:rsidTr="0014322B">
        <w:trPr>
          <w:jc w:val="center"/>
        </w:trPr>
        <w:tc>
          <w:tcPr>
            <w:tcW w:w="17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ECDC2"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Partnership</w:t>
            </w:r>
          </w:p>
        </w:tc>
        <w:tc>
          <w:tcPr>
            <w:tcW w:w="1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8756C"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0.0171</w:t>
            </w:r>
          </w:p>
        </w:tc>
        <w:tc>
          <w:tcPr>
            <w:tcW w:w="1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AA4C"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0.0567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AD509"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0.0546</w:t>
            </w:r>
          </w:p>
        </w:tc>
        <w:tc>
          <w:tcPr>
            <w:tcW w:w="138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03BB9A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0.2168</w:t>
            </w:r>
          </w:p>
        </w:tc>
        <w:tc>
          <w:tcPr>
            <w:tcW w:w="96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E4DE70D"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0.0194</w:t>
            </w:r>
          </w:p>
        </w:tc>
      </w:tr>
      <w:tr w:rsidR="001A3104" w14:paraId="6FD78757" w14:textId="77777777" w:rsidTr="0014322B">
        <w:trPr>
          <w:jc w:val="center"/>
        </w:trPr>
        <w:tc>
          <w:tcPr>
            <w:tcW w:w="17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CD59A"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Nonprofit</w:t>
            </w:r>
          </w:p>
        </w:tc>
        <w:tc>
          <w:tcPr>
            <w:tcW w:w="1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B6350"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0.0024</w:t>
            </w:r>
          </w:p>
        </w:tc>
        <w:tc>
          <w:tcPr>
            <w:tcW w:w="1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E341"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0.0261</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423BC"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0.0447</w:t>
            </w:r>
          </w:p>
        </w:tc>
        <w:tc>
          <w:tcPr>
            <w:tcW w:w="138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99BA529"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0.0023</w:t>
            </w:r>
          </w:p>
        </w:tc>
        <w:tc>
          <w:tcPr>
            <w:tcW w:w="96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531BE2C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0.0036</w:t>
            </w:r>
          </w:p>
        </w:tc>
      </w:tr>
      <w:tr w:rsidR="001A3104" w14:paraId="71107F0A" w14:textId="77777777" w:rsidTr="0014322B">
        <w:trPr>
          <w:jc w:val="center"/>
        </w:trPr>
        <w:tc>
          <w:tcPr>
            <w:tcW w:w="17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00466" w14:textId="4EB9F18A"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proofErr w:type="spellStart"/>
            <w:r>
              <w:rPr>
                <w:rFonts w:ascii="Times New Roman" w:eastAsia="Arial" w:hAnsi="Arial" w:cs="Arial"/>
                <w:color w:val="000000"/>
                <w:sz w:val="20"/>
                <w:szCs w:val="20"/>
              </w:rPr>
              <w:t>REown</w:t>
            </w:r>
            <w:proofErr w:type="spellEnd"/>
          </w:p>
        </w:tc>
        <w:tc>
          <w:tcPr>
            <w:tcW w:w="1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59731"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0.0011</w:t>
            </w:r>
          </w:p>
        </w:tc>
        <w:tc>
          <w:tcPr>
            <w:tcW w:w="1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62059"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0.0173</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3BF64"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0.0015</w:t>
            </w:r>
          </w:p>
        </w:tc>
        <w:tc>
          <w:tcPr>
            <w:tcW w:w="138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2C0216A0"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0.0009</w:t>
            </w:r>
          </w:p>
        </w:tc>
        <w:tc>
          <w:tcPr>
            <w:tcW w:w="96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672AD3E9"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0.0018</w:t>
            </w:r>
          </w:p>
        </w:tc>
      </w:tr>
      <w:tr w:rsidR="001A3104" w14:paraId="1AD5D27E" w14:textId="77777777" w:rsidTr="0014322B">
        <w:trPr>
          <w:jc w:val="center"/>
        </w:trPr>
        <w:tc>
          <w:tcPr>
            <w:tcW w:w="174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683F8" w14:textId="2EDD6ACE"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HOA</w:t>
            </w:r>
          </w:p>
        </w:tc>
        <w:tc>
          <w:tcPr>
            <w:tcW w:w="13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172C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0.0043</w:t>
            </w:r>
          </w:p>
        </w:tc>
        <w:tc>
          <w:tcPr>
            <w:tcW w:w="13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CD9D1"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0.0017</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CF022"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0.0001</w:t>
            </w:r>
          </w:p>
        </w:tc>
        <w:tc>
          <w:tcPr>
            <w:tcW w:w="1388" w:type="dxa"/>
            <w:tcBorders>
              <w:top w:val="none" w:sz="0" w:space="0" w:color="000000"/>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76550D9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0.0000</w:t>
            </w:r>
          </w:p>
        </w:tc>
        <w:tc>
          <w:tcPr>
            <w:tcW w:w="961" w:type="dxa"/>
            <w:tcBorders>
              <w:top w:val="none" w:sz="0" w:space="0" w:color="000000"/>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37F7070A"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0.0042</w:t>
            </w:r>
          </w:p>
        </w:tc>
      </w:tr>
      <w:tr w:rsidR="001A3104" w14:paraId="4DCB24DC" w14:textId="77777777" w:rsidTr="0014322B">
        <w:trPr>
          <w:jc w:val="center"/>
        </w:trPr>
        <w:tc>
          <w:tcPr>
            <w:tcW w:w="174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F8E6AB"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Muni</w:t>
            </w:r>
          </w:p>
        </w:tc>
        <w:tc>
          <w:tcPr>
            <w:tcW w:w="13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B5FF1E"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0.0124</w:t>
            </w:r>
          </w:p>
        </w:tc>
        <w:tc>
          <w:tcPr>
            <w:tcW w:w="139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09094C"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0.0590</w:t>
            </w:r>
          </w:p>
        </w:tc>
        <w:tc>
          <w:tcPr>
            <w:tcW w:w="9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B69BEE"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0.0299</w:t>
            </w:r>
          </w:p>
        </w:tc>
        <w:tc>
          <w:tcPr>
            <w:tcW w:w="1388"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6C889B7A"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0.0500</w:t>
            </w:r>
          </w:p>
        </w:tc>
        <w:tc>
          <w:tcPr>
            <w:tcW w:w="961"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4FC182FE"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0.0146</w:t>
            </w:r>
          </w:p>
        </w:tc>
      </w:tr>
      <w:tr w:rsidR="001A3104" w14:paraId="0DDBD805" w14:textId="77777777" w:rsidTr="0014322B">
        <w:trPr>
          <w:jc w:val="center"/>
        </w:trPr>
        <w:tc>
          <w:tcPr>
            <w:tcW w:w="174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1FCEB"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Legal</w:t>
            </w:r>
          </w:p>
        </w:tc>
        <w:tc>
          <w:tcPr>
            <w:tcW w:w="13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0738D"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0.0588</w:t>
            </w:r>
          </w:p>
        </w:tc>
        <w:tc>
          <w:tcPr>
            <w:tcW w:w="139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DBA32"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0.1336</w:t>
            </w:r>
          </w:p>
        </w:tc>
        <w:tc>
          <w:tcPr>
            <w:tcW w:w="9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CDF10"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0.1576</w:t>
            </w:r>
          </w:p>
        </w:tc>
        <w:tc>
          <w:tcPr>
            <w:tcW w:w="1388"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4DA64CEB"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0.4467</w:t>
            </w:r>
          </w:p>
        </w:tc>
        <w:tc>
          <w:tcPr>
            <w:tcW w:w="961"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FE1A09E"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0.0632</w:t>
            </w:r>
          </w:p>
        </w:tc>
      </w:tr>
      <w:tr w:rsidR="001A3104" w14:paraId="0019D589" w14:textId="77777777" w:rsidTr="0014322B">
        <w:trPr>
          <w:jc w:val="center"/>
        </w:trPr>
        <w:tc>
          <w:tcPr>
            <w:tcW w:w="174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FAECCA"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Other</w:t>
            </w:r>
          </w:p>
        </w:tc>
        <w:tc>
          <w:tcPr>
            <w:tcW w:w="131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5AEB5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0.0203</w:t>
            </w:r>
          </w:p>
        </w:tc>
        <w:tc>
          <w:tcPr>
            <w:tcW w:w="1399"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902EF93"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0.1040</w:t>
            </w:r>
          </w:p>
        </w:tc>
        <w:tc>
          <w:tcPr>
            <w:tcW w:w="9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ADB01E"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0.0762</w:t>
            </w:r>
          </w:p>
        </w:tc>
        <w:tc>
          <w:tcPr>
            <w:tcW w:w="1388" w:type="dxa"/>
            <w:tcBorders>
              <w:top w:val="none" w:sz="0" w:space="0" w:color="000000"/>
              <w:left w:val="none" w:sz="0" w:space="0" w:color="000000"/>
              <w:bottom w:val="single" w:sz="8" w:space="0" w:color="666666"/>
              <w:right w:val="single" w:sz="8" w:space="0" w:color="666666"/>
            </w:tcBorders>
            <w:shd w:val="clear" w:color="auto" w:fill="FFFFFF"/>
            <w:tcMar>
              <w:top w:w="0" w:type="dxa"/>
              <w:left w:w="0" w:type="dxa"/>
              <w:bottom w:w="0" w:type="dxa"/>
              <w:right w:w="0" w:type="dxa"/>
            </w:tcMar>
            <w:vAlign w:val="center"/>
          </w:tcPr>
          <w:p w14:paraId="524A674F"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0.0532</w:t>
            </w:r>
          </w:p>
        </w:tc>
        <w:tc>
          <w:tcPr>
            <w:tcW w:w="961" w:type="dxa"/>
            <w:tcBorders>
              <w:top w:val="none" w:sz="0" w:space="0" w:color="000000"/>
              <w:left w:val="single" w:sz="8" w:space="0" w:color="666666"/>
              <w:bottom w:val="single" w:sz="8" w:space="0" w:color="666666"/>
              <w:right w:val="none" w:sz="0" w:space="0" w:color="000000"/>
            </w:tcBorders>
            <w:shd w:val="clear" w:color="auto" w:fill="FFFFFF"/>
            <w:tcMar>
              <w:top w:w="0" w:type="dxa"/>
              <w:left w:w="0" w:type="dxa"/>
              <w:bottom w:w="0" w:type="dxa"/>
              <w:right w:w="0" w:type="dxa"/>
            </w:tcMar>
            <w:vAlign w:val="center"/>
          </w:tcPr>
          <w:p w14:paraId="0B6A17A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0.0242</w:t>
            </w:r>
          </w:p>
        </w:tc>
      </w:tr>
      <w:tr w:rsidR="001A3104" w14:paraId="2E4B5EB7" w14:textId="77777777" w:rsidTr="0014322B">
        <w:trPr>
          <w:jc w:val="center"/>
        </w:trPr>
        <w:tc>
          <w:tcPr>
            <w:tcW w:w="174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18BE8"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Owner</w:t>
            </w:r>
          </w:p>
        </w:tc>
        <w:tc>
          <w:tcPr>
            <w:tcW w:w="131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14AC0"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0.7612</w:t>
            </w:r>
          </w:p>
        </w:tc>
        <w:tc>
          <w:tcPr>
            <w:tcW w:w="1399"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D9EF5"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0.1987</w:t>
            </w:r>
          </w:p>
        </w:tc>
        <w:tc>
          <w:tcPr>
            <w:tcW w:w="9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81CE7"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0.3776</w:t>
            </w:r>
          </w:p>
        </w:tc>
        <w:tc>
          <w:tcPr>
            <w:tcW w:w="1388" w:type="dxa"/>
            <w:tcBorders>
              <w:top w:val="single" w:sz="8" w:space="0" w:color="666666"/>
              <w:left w:val="none" w:sz="0" w:space="0" w:color="000000"/>
              <w:bottom w:val="none" w:sz="0" w:space="0" w:color="000000"/>
              <w:right w:val="single" w:sz="8" w:space="0" w:color="666666"/>
            </w:tcBorders>
            <w:shd w:val="clear" w:color="auto" w:fill="FFFFFF"/>
            <w:tcMar>
              <w:top w:w="0" w:type="dxa"/>
              <w:left w:w="0" w:type="dxa"/>
              <w:bottom w:w="0" w:type="dxa"/>
              <w:right w:w="0" w:type="dxa"/>
            </w:tcMar>
            <w:vAlign w:val="center"/>
          </w:tcPr>
          <w:p w14:paraId="08A9CC86"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0.0191</w:t>
            </w:r>
          </w:p>
        </w:tc>
        <w:tc>
          <w:tcPr>
            <w:tcW w:w="961" w:type="dxa"/>
            <w:tcBorders>
              <w:top w:val="single" w:sz="8" w:space="0" w:color="666666"/>
              <w:left w:val="single" w:sz="8" w:space="0" w:color="666666"/>
              <w:bottom w:val="none" w:sz="0" w:space="0" w:color="000000"/>
              <w:right w:val="none" w:sz="0" w:space="0" w:color="000000"/>
            </w:tcBorders>
            <w:shd w:val="clear" w:color="auto" w:fill="FFFFFF"/>
            <w:tcMar>
              <w:top w:w="0" w:type="dxa"/>
              <w:left w:w="0" w:type="dxa"/>
              <w:bottom w:w="0" w:type="dxa"/>
              <w:right w:w="0" w:type="dxa"/>
            </w:tcMar>
            <w:vAlign w:val="center"/>
          </w:tcPr>
          <w:p w14:paraId="7517D4CB"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0.7337</w:t>
            </w:r>
          </w:p>
        </w:tc>
      </w:tr>
      <w:tr w:rsidR="001A3104" w14:paraId="5D2BBD2E" w14:textId="77777777" w:rsidTr="0014322B">
        <w:trPr>
          <w:jc w:val="center"/>
        </w:trPr>
        <w:tc>
          <w:tcPr>
            <w:tcW w:w="174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7D6CC6"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Nonowner</w:t>
            </w:r>
          </w:p>
        </w:tc>
        <w:tc>
          <w:tcPr>
            <w:tcW w:w="13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296B0"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0.2388</w:t>
            </w:r>
          </w:p>
        </w:tc>
        <w:tc>
          <w:tcPr>
            <w:tcW w:w="139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1B9E9A"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0.8013</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A04A6C"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0.6224</w:t>
            </w:r>
          </w:p>
        </w:tc>
        <w:tc>
          <w:tcPr>
            <w:tcW w:w="1388" w:type="dxa"/>
            <w:tcBorders>
              <w:top w:val="none" w:sz="0" w:space="0" w:color="000000"/>
              <w:left w:val="none" w:sz="0" w:space="0" w:color="000000"/>
              <w:bottom w:val="single" w:sz="12" w:space="0" w:color="666666"/>
              <w:right w:val="single" w:sz="8" w:space="0" w:color="666666"/>
            </w:tcBorders>
            <w:shd w:val="clear" w:color="auto" w:fill="FFFFFF"/>
            <w:tcMar>
              <w:top w:w="0" w:type="dxa"/>
              <w:left w:w="0" w:type="dxa"/>
              <w:bottom w:w="0" w:type="dxa"/>
              <w:right w:w="0" w:type="dxa"/>
            </w:tcMar>
            <w:vAlign w:val="center"/>
          </w:tcPr>
          <w:p w14:paraId="6453C7DB"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0.9809</w:t>
            </w:r>
          </w:p>
        </w:tc>
        <w:tc>
          <w:tcPr>
            <w:tcW w:w="961" w:type="dxa"/>
            <w:tcBorders>
              <w:top w:val="none" w:sz="0" w:space="0" w:color="000000"/>
              <w:left w:val="single" w:sz="8" w:space="0" w:color="666666"/>
              <w:bottom w:val="single" w:sz="12" w:space="0" w:color="666666"/>
              <w:right w:val="none" w:sz="0" w:space="0" w:color="000000"/>
            </w:tcBorders>
            <w:shd w:val="clear" w:color="auto" w:fill="FFFFFF"/>
            <w:tcMar>
              <w:top w:w="0" w:type="dxa"/>
              <w:left w:w="0" w:type="dxa"/>
              <w:bottom w:w="0" w:type="dxa"/>
              <w:right w:w="0" w:type="dxa"/>
            </w:tcMar>
            <w:vAlign w:val="center"/>
          </w:tcPr>
          <w:p w14:paraId="7D27065B" w14:textId="77777777"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jc w:val="right"/>
              <w:rPr>
                <w:rFonts w:ascii="Times New Roman" w:eastAsia="Arial" w:hAnsi="Arial" w:cs="Arial"/>
                <w:color w:val="000000"/>
                <w:sz w:val="20"/>
                <w:szCs w:val="20"/>
              </w:rPr>
            </w:pPr>
            <w:r>
              <w:rPr>
                <w:rFonts w:ascii="Times New Roman" w:eastAsia="Arial" w:hAnsi="Arial" w:cs="Arial"/>
                <w:color w:val="000000"/>
                <w:sz w:val="20"/>
                <w:szCs w:val="20"/>
              </w:rPr>
              <w:t>0.2663</w:t>
            </w:r>
          </w:p>
        </w:tc>
      </w:tr>
      <w:tr w:rsidR="001A3104" w14:paraId="550356A7" w14:textId="77777777" w:rsidTr="0014322B">
        <w:trPr>
          <w:jc w:val="center"/>
        </w:trPr>
        <w:tc>
          <w:tcPr>
            <w:tcW w:w="7768" w:type="dxa"/>
            <w:gridSpan w:val="6"/>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056BBE" w14:textId="4F6A5C6B" w:rsidR="001A3104" w:rsidRDefault="001A3104" w:rsidP="001A3104">
            <w:pPr>
              <w:pBdr>
                <w:top w:val="none" w:sz="0" w:space="0" w:color="000000"/>
                <w:left w:val="none" w:sz="0" w:space="0" w:color="000000"/>
                <w:bottom w:val="none" w:sz="0" w:space="0" w:color="000000"/>
                <w:right w:val="none" w:sz="0" w:space="0" w:color="000000"/>
              </w:pBdr>
              <w:spacing w:after="0" w:line="240" w:lineRule="auto"/>
              <w:ind w:left="101" w:right="101"/>
              <w:rPr>
                <w:rFonts w:ascii="Times New Roman" w:eastAsia="Arial" w:hAnsi="Arial" w:cs="Arial"/>
                <w:color w:val="000000"/>
                <w:sz w:val="20"/>
                <w:szCs w:val="20"/>
              </w:rPr>
            </w:pPr>
            <w:r>
              <w:rPr>
                <w:rFonts w:ascii="Times New Roman" w:eastAsia="Arial" w:hAnsi="Arial" w:cs="Arial"/>
                <w:color w:val="000000"/>
                <w:sz w:val="20"/>
                <w:szCs w:val="20"/>
              </w:rPr>
              <w:t>Observations = 3,991,504</w:t>
            </w:r>
          </w:p>
        </w:tc>
      </w:tr>
    </w:tbl>
    <w:p w14:paraId="41372050" w14:textId="1F9C8173" w:rsidR="00BF2EBD" w:rsidRPr="005105B3" w:rsidRDefault="00BF2EBD" w:rsidP="00BF2EBD">
      <w:pPr>
        <w:jc w:val="center"/>
        <w:rPr>
          <w:rFonts w:ascii="Times New Roman" w:hAnsi="Times New Roman" w:cs="Times New Roman"/>
        </w:rPr>
      </w:pPr>
    </w:p>
    <w:p w14:paraId="7ADF8223" w14:textId="0E3DFF02" w:rsidR="00BF2EBD" w:rsidRPr="005105B3" w:rsidRDefault="00BF2EBD" w:rsidP="00BF2EBD">
      <w:pPr>
        <w:rPr>
          <w:rFonts w:ascii="Times New Roman" w:hAnsi="Times New Roman" w:cs="Times New Roman"/>
        </w:rPr>
      </w:pPr>
      <w:r w:rsidRPr="005105B3">
        <w:rPr>
          <w:rFonts w:ascii="Times New Roman" w:hAnsi="Times New Roman" w:cs="Times New Roman"/>
        </w:rPr>
        <w:t xml:space="preserve">Of the almost </w:t>
      </w:r>
      <w:r w:rsidR="001A3104">
        <w:rPr>
          <w:rFonts w:ascii="Times New Roman" w:hAnsi="Times New Roman" w:cs="Times New Roman"/>
        </w:rPr>
        <w:t>4</w:t>
      </w:r>
      <w:r w:rsidRPr="005105B3">
        <w:rPr>
          <w:rFonts w:ascii="Times New Roman" w:hAnsi="Times New Roman" w:cs="Times New Roman"/>
        </w:rPr>
        <w:t xml:space="preserve"> million residential parcels across the timeframe, seventy-seven (7</w:t>
      </w:r>
      <w:r w:rsidR="001A3104">
        <w:rPr>
          <w:rFonts w:ascii="Times New Roman" w:hAnsi="Times New Roman" w:cs="Times New Roman"/>
        </w:rPr>
        <w:t>6</w:t>
      </w:r>
      <w:r w:rsidRPr="005105B3">
        <w:rPr>
          <w:rFonts w:ascii="Times New Roman" w:hAnsi="Times New Roman" w:cs="Times New Roman"/>
        </w:rPr>
        <w:t>%) percent are classified as owner occupied contributing to the eighty-seven (8</w:t>
      </w:r>
      <w:r w:rsidR="001A3104">
        <w:rPr>
          <w:rFonts w:ascii="Times New Roman" w:hAnsi="Times New Roman" w:cs="Times New Roman"/>
        </w:rPr>
        <w:t>2</w:t>
      </w:r>
      <w:r w:rsidRPr="005105B3">
        <w:rPr>
          <w:rFonts w:ascii="Times New Roman" w:hAnsi="Times New Roman" w:cs="Times New Roman"/>
        </w:rPr>
        <w:t xml:space="preserve">%) percent of parcels that are privately </w:t>
      </w:r>
      <w:r w:rsidRPr="005105B3">
        <w:rPr>
          <w:rFonts w:ascii="Times New Roman" w:hAnsi="Times New Roman" w:cs="Times New Roman"/>
        </w:rPr>
        <w:lastRenderedPageBreak/>
        <w:t>owned. Just over seven percent (</w:t>
      </w:r>
      <w:r w:rsidR="001A3104">
        <w:rPr>
          <w:rFonts w:ascii="Times New Roman" w:hAnsi="Times New Roman" w:cs="Times New Roman"/>
        </w:rPr>
        <w:t>10</w:t>
      </w:r>
      <w:r w:rsidRPr="005105B3">
        <w:rPr>
          <w:rFonts w:ascii="Times New Roman" w:hAnsi="Times New Roman" w:cs="Times New Roman"/>
        </w:rPr>
        <w:t xml:space="preserve">%) are owned by a corporate entity with trustees accounting for the next largest share at </w:t>
      </w:r>
      <w:r w:rsidR="001A3104">
        <w:rPr>
          <w:rFonts w:ascii="Times New Roman" w:hAnsi="Times New Roman" w:cs="Times New Roman"/>
        </w:rPr>
        <w:t>4.4</w:t>
      </w:r>
      <w:r w:rsidRPr="005105B3">
        <w:rPr>
          <w:rFonts w:ascii="Times New Roman" w:hAnsi="Times New Roman" w:cs="Times New Roman"/>
        </w:rPr>
        <w:t>%, followed by partnerships at 1.</w:t>
      </w:r>
      <w:r w:rsidR="001A3104">
        <w:rPr>
          <w:rFonts w:ascii="Times New Roman" w:hAnsi="Times New Roman" w:cs="Times New Roman"/>
        </w:rPr>
        <w:t>9</w:t>
      </w:r>
      <w:r w:rsidRPr="005105B3">
        <w:rPr>
          <w:rFonts w:ascii="Times New Roman" w:hAnsi="Times New Roman" w:cs="Times New Roman"/>
        </w:rPr>
        <w:t xml:space="preserve">%. To help simplify the analysis we combine the trustee and partnership categories into a new category called “legal” and combine the nonprofit, </w:t>
      </w:r>
      <w:proofErr w:type="spellStart"/>
      <w:r w:rsidR="001A3104">
        <w:rPr>
          <w:rFonts w:ascii="Times New Roman" w:hAnsi="Times New Roman" w:cs="Times New Roman"/>
        </w:rPr>
        <w:t>RE</w:t>
      </w:r>
      <w:r w:rsidRPr="005105B3">
        <w:rPr>
          <w:rFonts w:ascii="Times New Roman" w:hAnsi="Times New Roman" w:cs="Times New Roman"/>
        </w:rPr>
        <w:t>own</w:t>
      </w:r>
      <w:proofErr w:type="spellEnd"/>
      <w:r w:rsidRPr="005105B3">
        <w:rPr>
          <w:rFonts w:ascii="Times New Roman" w:hAnsi="Times New Roman" w:cs="Times New Roman"/>
        </w:rPr>
        <w:t xml:space="preserve">, </w:t>
      </w:r>
      <w:r w:rsidR="001A3104">
        <w:rPr>
          <w:rFonts w:ascii="Times New Roman" w:hAnsi="Times New Roman" w:cs="Times New Roman"/>
        </w:rPr>
        <w:t>HOA</w:t>
      </w:r>
      <w:r w:rsidRPr="005105B3">
        <w:rPr>
          <w:rFonts w:ascii="Times New Roman" w:hAnsi="Times New Roman" w:cs="Times New Roman"/>
        </w:rPr>
        <w:t xml:space="preserve">, and </w:t>
      </w:r>
      <w:proofErr w:type="spellStart"/>
      <w:r w:rsidRPr="005105B3">
        <w:rPr>
          <w:rFonts w:ascii="Times New Roman" w:hAnsi="Times New Roman" w:cs="Times New Roman"/>
        </w:rPr>
        <w:t>muni</w:t>
      </w:r>
      <w:proofErr w:type="spellEnd"/>
      <w:r w:rsidRPr="005105B3">
        <w:rPr>
          <w:rFonts w:ascii="Times New Roman" w:hAnsi="Times New Roman" w:cs="Times New Roman"/>
        </w:rPr>
        <w:t xml:space="preserve"> categories into the “other” category.</w:t>
      </w:r>
    </w:p>
    <w:p w14:paraId="6B907A30" w14:textId="10631782" w:rsidR="00BF2EBD" w:rsidRDefault="00BF2EBD" w:rsidP="00BF2EBD">
      <w:pPr>
        <w:rPr>
          <w:rFonts w:ascii="Times New Roman" w:hAnsi="Times New Roman" w:cs="Times New Roman"/>
        </w:rPr>
      </w:pPr>
      <w:r w:rsidRPr="005105B3">
        <w:rPr>
          <w:rFonts w:ascii="Times New Roman" w:hAnsi="Times New Roman" w:cs="Times New Roman"/>
        </w:rPr>
        <w:t xml:space="preserve">Figure </w:t>
      </w:r>
      <w:r w:rsidR="000236DB">
        <w:rPr>
          <w:rFonts w:ascii="Times New Roman" w:hAnsi="Times New Roman" w:cs="Times New Roman"/>
        </w:rPr>
        <w:t>One</w:t>
      </w:r>
      <w:r w:rsidRPr="005105B3">
        <w:rPr>
          <w:rFonts w:ascii="Times New Roman" w:hAnsi="Times New Roman" w:cs="Times New Roman"/>
        </w:rPr>
        <w:t xml:space="preserve"> shows the share of parcels with ownership type equal to the corporate, legal, and other categories (the remaining share is private). Parcels in the other category make up a rather constant share across the years at around 2.5%. Parcels in the “legal” category see a slight increase in share across the years ranging from about 4.8% to a high of 6.3 percent of the total parcels within the county. The image clearly shows the increasing share of corporate own parcels across the years as the share of corporate owned parcels almost doubles from about </w:t>
      </w:r>
      <w:r w:rsidR="000236DB">
        <w:rPr>
          <w:rFonts w:ascii="Times New Roman" w:hAnsi="Times New Roman" w:cs="Times New Roman"/>
        </w:rPr>
        <w:t>8.4</w:t>
      </w:r>
      <w:r w:rsidRPr="005105B3">
        <w:rPr>
          <w:rFonts w:ascii="Times New Roman" w:hAnsi="Times New Roman" w:cs="Times New Roman"/>
        </w:rPr>
        <w:t>% in 201</w:t>
      </w:r>
      <w:r w:rsidR="000236DB">
        <w:rPr>
          <w:rFonts w:ascii="Times New Roman" w:hAnsi="Times New Roman" w:cs="Times New Roman"/>
        </w:rPr>
        <w:t xml:space="preserve">5 </w:t>
      </w:r>
      <w:r w:rsidRPr="005105B3">
        <w:rPr>
          <w:rFonts w:ascii="Times New Roman" w:hAnsi="Times New Roman" w:cs="Times New Roman"/>
        </w:rPr>
        <w:t>to a high of 11.6% by 2024.</w:t>
      </w:r>
    </w:p>
    <w:p w14:paraId="76E9ECAC" w14:textId="373C8A39" w:rsidR="000236DB" w:rsidRPr="005105B3" w:rsidRDefault="000236DB" w:rsidP="000236DB">
      <w:pPr>
        <w:jc w:val="center"/>
        <w:rPr>
          <w:rFonts w:ascii="Times New Roman" w:hAnsi="Times New Roman" w:cs="Times New Roman"/>
        </w:rPr>
      </w:pPr>
      <w:r>
        <w:rPr>
          <w:rFonts w:ascii="Times New Roman" w:hAnsi="Times New Roman" w:cs="Times New Roman"/>
          <w:noProof/>
        </w:rPr>
        <w:drawing>
          <wp:inline distT="0" distB="0" distL="0" distR="0" wp14:anchorId="7108D101" wp14:editId="767AFE7A">
            <wp:extent cx="4572000" cy="2834542"/>
            <wp:effectExtent l="0" t="0" r="0" b="4445"/>
            <wp:docPr id="428173191" name="Picture 2" descr="The diagram shows the percentage of non-private ownership, categorized into corporate and other, from 2015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73191" name="Picture 2" descr="The diagram shows the percentage of non-private ownership, categorized into corporate and other, from 2015 to 2024.&#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572000" cy="2834542"/>
                    </a:xfrm>
                    <a:prstGeom prst="rect">
                      <a:avLst/>
                    </a:prstGeom>
                  </pic:spPr>
                </pic:pic>
              </a:graphicData>
            </a:graphic>
          </wp:inline>
        </w:drawing>
      </w:r>
    </w:p>
    <w:p w14:paraId="20AC7ED9" w14:textId="087DD64C" w:rsidR="00BF2EBD" w:rsidRDefault="00B038D0" w:rsidP="00B038D0">
      <w:pPr>
        <w:pStyle w:val="Heading2"/>
        <w:ind w:left="0"/>
      </w:pPr>
      <w:r>
        <w:t>Crime Data</w:t>
      </w:r>
    </w:p>
    <w:p w14:paraId="3FA6F9F4" w14:textId="11C6A10B" w:rsidR="00B038D0" w:rsidRDefault="00B038D0" w:rsidP="00B038D0">
      <w:pPr>
        <w:rPr>
          <w:rFonts w:ascii="Times New Roman" w:hAnsi="Times New Roman" w:cs="Times New Roman"/>
        </w:rPr>
      </w:pPr>
      <w:r>
        <w:rPr>
          <w:rFonts w:ascii="Times New Roman" w:hAnsi="Times New Roman" w:cs="Times New Roman"/>
        </w:rPr>
        <w:t>The crime data from Missouri State Police’s “Crime in Missouri” dashboard and spans the period from 2018 and 2024 for Saint Louis County. The data is geographically identified with the latitude and longitude of each incident along with the type and the time. We limit our data to only crime labeled as “personal” or “property”</w:t>
      </w:r>
    </w:p>
    <w:p w14:paraId="103F4F5C" w14:textId="77777777" w:rsidR="00B038D0" w:rsidRDefault="00B038D0" w:rsidP="00B038D0">
      <w:pPr>
        <w:rPr>
          <w:rFonts w:ascii="Times New Roman" w:hAnsi="Times New Roman" w:cs="Times New Roman"/>
        </w:rPr>
      </w:pPr>
    </w:p>
    <w:p w14:paraId="55ADF4A7" w14:textId="77777777" w:rsidR="00B038D0" w:rsidRPr="005105B3" w:rsidRDefault="00B038D0" w:rsidP="00B038D0">
      <w:pPr>
        <w:rPr>
          <w:rFonts w:ascii="Times New Roman" w:hAnsi="Times New Roman" w:cs="Times New Roman"/>
        </w:rPr>
      </w:pPr>
    </w:p>
    <w:p w14:paraId="0A4091BE" w14:textId="77777777" w:rsidR="001D4C39" w:rsidRDefault="001D4C39"/>
    <w:sectPr w:rsidR="001D4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EBD"/>
    <w:rsid w:val="000236DB"/>
    <w:rsid w:val="001A3104"/>
    <w:rsid w:val="001D4C39"/>
    <w:rsid w:val="003E529A"/>
    <w:rsid w:val="003F2BD4"/>
    <w:rsid w:val="0044266A"/>
    <w:rsid w:val="00580B7A"/>
    <w:rsid w:val="00B038D0"/>
    <w:rsid w:val="00BF2EBD"/>
    <w:rsid w:val="00C47EF9"/>
    <w:rsid w:val="00CB186A"/>
    <w:rsid w:val="00DF7E91"/>
    <w:rsid w:val="00E821C0"/>
    <w:rsid w:val="00F915D6"/>
    <w:rsid w:val="00FB3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F324"/>
  <w15:chartTrackingRefBased/>
  <w15:docId w15:val="{1007EC1A-35A2-4DA5-BF7A-A57404CC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EBD"/>
    <w:pPr>
      <w:spacing w:after="160" w:line="259" w:lineRule="auto"/>
      <w:ind w:left="0"/>
      <w:jc w:val="left"/>
    </w:pPr>
  </w:style>
  <w:style w:type="paragraph" w:styleId="Heading1">
    <w:name w:val="heading 1"/>
    <w:basedOn w:val="Normal"/>
    <w:next w:val="Normal"/>
    <w:link w:val="Heading1Char"/>
    <w:autoRedefine/>
    <w:uiPriority w:val="9"/>
    <w:qFormat/>
    <w:rsid w:val="00DF7E91"/>
    <w:pPr>
      <w:keepNext/>
      <w:keepLines/>
      <w:spacing w:before="360" w:after="80" w:line="240" w:lineRule="auto"/>
      <w:jc w:val="both"/>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BF2EBD"/>
    <w:pPr>
      <w:keepNext/>
      <w:keepLines/>
      <w:spacing w:before="160" w:after="80" w:line="240" w:lineRule="auto"/>
      <w:ind w:left="360"/>
      <w:jc w:val="both"/>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2EBD"/>
    <w:pPr>
      <w:keepNext/>
      <w:keepLines/>
      <w:spacing w:before="160" w:after="80" w:line="240" w:lineRule="auto"/>
      <w:ind w:left="360"/>
      <w:jc w:val="both"/>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EBD"/>
    <w:pPr>
      <w:keepNext/>
      <w:keepLines/>
      <w:spacing w:before="80" w:after="40" w:line="240" w:lineRule="auto"/>
      <w:ind w:left="360"/>
      <w:jc w:val="both"/>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EBD"/>
    <w:pPr>
      <w:keepNext/>
      <w:keepLines/>
      <w:spacing w:before="80" w:after="40" w:line="240" w:lineRule="auto"/>
      <w:ind w:left="360"/>
      <w:jc w:val="both"/>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EBD"/>
    <w:pPr>
      <w:keepNext/>
      <w:keepLines/>
      <w:spacing w:before="40" w:after="0" w:line="240" w:lineRule="auto"/>
      <w:ind w:left="360"/>
      <w:jc w:val="both"/>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EBD"/>
    <w:pPr>
      <w:keepNext/>
      <w:keepLines/>
      <w:spacing w:before="40" w:after="0" w:line="240" w:lineRule="auto"/>
      <w:ind w:left="360"/>
      <w:jc w:val="both"/>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EBD"/>
    <w:pPr>
      <w:keepNext/>
      <w:keepLines/>
      <w:spacing w:after="0" w:line="240" w:lineRule="auto"/>
      <w:ind w:left="360"/>
      <w:jc w:val="both"/>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EBD"/>
    <w:pPr>
      <w:keepNext/>
      <w:keepLines/>
      <w:spacing w:after="0" w:line="240" w:lineRule="auto"/>
      <w:ind w:left="360"/>
      <w:jc w:val="both"/>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E91"/>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BF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EBD"/>
    <w:rPr>
      <w:rFonts w:eastAsiaTheme="majorEastAsia" w:cstheme="majorBidi"/>
      <w:color w:val="272727" w:themeColor="text1" w:themeTint="D8"/>
    </w:rPr>
  </w:style>
  <w:style w:type="paragraph" w:styleId="Title">
    <w:name w:val="Title"/>
    <w:basedOn w:val="Normal"/>
    <w:next w:val="Normal"/>
    <w:link w:val="TitleChar"/>
    <w:uiPriority w:val="10"/>
    <w:qFormat/>
    <w:rsid w:val="00BF2EBD"/>
    <w:pPr>
      <w:spacing w:after="80" w:line="240" w:lineRule="auto"/>
      <w:ind w:left="360"/>
      <w:contextualSpacing/>
      <w:jc w:val="both"/>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EBD"/>
    <w:pPr>
      <w:numPr>
        <w:ilvl w:val="1"/>
      </w:numPr>
      <w:spacing w:line="240" w:lineRule="auto"/>
      <w:ind w:left="360"/>
      <w:jc w:val="both"/>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EBD"/>
    <w:pPr>
      <w:spacing w:before="160" w:line="240" w:lineRule="auto"/>
      <w:ind w:left="360"/>
      <w:jc w:val="center"/>
    </w:pPr>
    <w:rPr>
      <w:i/>
      <w:iCs/>
      <w:color w:val="404040" w:themeColor="text1" w:themeTint="BF"/>
    </w:rPr>
  </w:style>
  <w:style w:type="character" w:customStyle="1" w:styleId="QuoteChar">
    <w:name w:val="Quote Char"/>
    <w:basedOn w:val="DefaultParagraphFont"/>
    <w:link w:val="Quote"/>
    <w:uiPriority w:val="29"/>
    <w:rsid w:val="00BF2EBD"/>
    <w:rPr>
      <w:i/>
      <w:iCs/>
      <w:color w:val="404040" w:themeColor="text1" w:themeTint="BF"/>
    </w:rPr>
  </w:style>
  <w:style w:type="paragraph" w:styleId="ListParagraph">
    <w:name w:val="List Paragraph"/>
    <w:basedOn w:val="Normal"/>
    <w:uiPriority w:val="34"/>
    <w:qFormat/>
    <w:rsid w:val="00BF2EBD"/>
    <w:pPr>
      <w:spacing w:after="0" w:line="240" w:lineRule="auto"/>
      <w:ind w:left="720"/>
      <w:contextualSpacing/>
      <w:jc w:val="both"/>
    </w:pPr>
  </w:style>
  <w:style w:type="character" w:styleId="IntenseEmphasis">
    <w:name w:val="Intense Emphasis"/>
    <w:basedOn w:val="DefaultParagraphFont"/>
    <w:uiPriority w:val="21"/>
    <w:qFormat/>
    <w:rsid w:val="00BF2EBD"/>
    <w:rPr>
      <w:i/>
      <w:iCs/>
      <w:color w:val="0F4761" w:themeColor="accent1" w:themeShade="BF"/>
    </w:rPr>
  </w:style>
  <w:style w:type="paragraph" w:styleId="IntenseQuote">
    <w:name w:val="Intense Quote"/>
    <w:basedOn w:val="Normal"/>
    <w:next w:val="Normal"/>
    <w:link w:val="IntenseQuoteChar"/>
    <w:uiPriority w:val="30"/>
    <w:qFormat/>
    <w:rsid w:val="00BF2EBD"/>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EBD"/>
    <w:rPr>
      <w:i/>
      <w:iCs/>
      <w:color w:val="0F4761" w:themeColor="accent1" w:themeShade="BF"/>
    </w:rPr>
  </w:style>
  <w:style w:type="character" w:styleId="IntenseReference">
    <w:name w:val="Intense Reference"/>
    <w:basedOn w:val="DefaultParagraphFont"/>
    <w:uiPriority w:val="32"/>
    <w:qFormat/>
    <w:rsid w:val="00BF2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719</Words>
  <Characters>3818</Characters>
  <Application>Microsoft Office Word</Application>
  <DocSecurity>0</DocSecurity>
  <Lines>636</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Groves</dc:creator>
  <cp:keywords/>
  <dc:description/>
  <cp:lastModifiedBy>Jeremy Groves</cp:lastModifiedBy>
  <cp:revision>5</cp:revision>
  <dcterms:created xsi:type="dcterms:W3CDTF">2026-04-02T21:09:00Z</dcterms:created>
  <dcterms:modified xsi:type="dcterms:W3CDTF">2026-04-06T16:27:00Z</dcterms:modified>
</cp:coreProperties>
</file>