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name"/>
        <w:spacing w:after="50"/>
        <w:jc w:val="center"/>
      </w:pPr>
      <w:r>
        <w:t xml:space="preserve">Jimmy Rhoades</w:t>
      </w:r>
    </w:p>
    <w:p>
      <w:pPr>
        <w:pStyle w:val="bodyText"/>
        <w:spacing w:after="50"/>
        <w:jc w:val="center"/>
      </w:pPr>
      <w:r>
        <w:t xml:space="preserve">770.331.7637 | jimmyrhoades1@gmail.com | West Palm Beach, FL</w:t>
      </w:r>
    </w:p>
    <w:p>
      <w:pPr>
        <w:pStyle w:val="bodyText"/>
        <w:spacing w:after="50"/>
        <w:jc w:val="center"/>
      </w:pPr>
      <w:r>
        <w:t xml:space="preserve">www.linkedin.com/in/jimmyrhoades1</w:t>
      </w:r>
    </w:p>
    <w:p>
      <w:pPr>
        <w:pStyle w:val="Heading1"/>
        <w:pStyle w:val="resumeSectionHeader"/>
        <w:pBdr>
          <w:bottom w:val="single" w:color="e5e7eb" w:sz="12" w:space="2"/>
        </w:pBdr>
      </w:pPr>
      <w:r>
        <w:t xml:space="preserve">SUMMARY</w:t>
      </w:r>
    </w:p>
    <w:p>
      <w:pPr>
        <w:pStyle w:val="bodyText"/>
        <w:spacing w:before="20" w:after="20"/>
      </w:pPr>
      <w:r>
        <w:rPr>
          <w:b w:val="false"/>
          <w:bCs w:val="false"/>
          <w:i w:val="false"/>
          <w:iCs w:val="false"/>
        </w:rPr>
        <w:t xml:space="preserve">Strategic technology leader with 20+ years of experience driving software engineering, product development, and healthcare IT initiatives. Expert in aligning technical roadmaps with business goals, scaling high-performing teams, and delivering patient-centric solutions using AI/ML, cloud platforms, and agile practices. Proven track record of enhancing operational efficiency, ensuring regulatory compliance (HIPAA, CMS), and mentoring engineers to achieve excellence in fast-paced, mission-driven environments.</w:t>
      </w:r>
    </w:p>
    <w:p>
      <w:pPr>
        <w:pStyle w:val="Heading1"/>
        <w:pStyle w:val="resumeSectionHeader"/>
        <w:pBdr>
          <w:bottom w:val="single" w:color="e5e7eb" w:sz="12" w:space="2"/>
        </w:pBdr>
      </w:pPr>
      <w:r>
        <w:t xml:space="preserve">WORK EXPERIENCE</w:t>
      </w:r>
    </w:p>
    <w:p>
      <w:pPr>
        <w:pStyle w:val="resumeSectionTitle"/>
        <w:tabs>
          <w:tab w:val="right" w:pos="10780"/>
        </w:tabs>
        <w:spacing w:before="0"/>
      </w:pPr>
      <w:r>
        <w:rPr>
          <w:b/>
          <w:bCs/>
        </w:rPr>
        <w:t xml:space="preserve">ilumed LLC</w:t>
      </w:r>
      <w:r>
        <w:tab/>
        <w:t xml:space="preserve">West Palm Beach, FL</w:t>
      </w:r>
    </w:p>
    <w:p>
      <w:pPr>
        <w:pStyle w:val="resumeSectionSubtitle"/>
        <w:tabs>
          <w:tab w:val="right" w:pos="10780"/>
        </w:tabs>
        <w:spacing w:before="40" w:after="40"/>
      </w:pPr>
      <w:r>
        <w:rPr>
          <w:i/>
          <w:iCs/>
        </w:rPr>
        <w:t xml:space="preserve">CHIEF TECHNOLOGY OFFICER (CTO)</w:t>
        <w:tab/>
        <w:t xml:space="preserve">Oct 2023 - Present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Lead technology strategy and innovation for a Value-Based Care provider, overseeing the development of scalable platforms to improve patient outcomes and operational efficiency.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Spearheaded AI/ML integration into healthcare workflows, reducing processing times and enhancing provider interoperability.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Overhauled system architecture for scalability and HIPAA compliance, achieving 99.9% uptime across cloud-based solutions.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Leveraged AI-driven optimizations to expand beneficiary coverage from 50,000 to 90,000, boosting accessibility, profitability, and efficiency in healthcare delivery.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Developed multi-quarter roadmaps with product leaders, driving 20% growth in operational efficiency.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Integrated clinical support features into the enterprise platform, enhancing decision-making for healthcare providers and improving patient outcomes across multiple facilities.</w:t>
      </w:r>
    </w:p>
    <w:p>
      <w:pPr>
        <w:pStyle w:val="resumeSectionTitle"/>
        <w:tabs>
          <w:tab w:val="right" w:pos="10780"/>
        </w:tabs>
        <w:spacing w:before="120"/>
      </w:pPr>
      <w:r>
        <w:rPr>
          <w:b/>
          <w:bCs/>
        </w:rPr>
        <w:t xml:space="preserve">Perceptive Solutions</w:t>
      </w:r>
    </w:p>
    <w:p>
      <w:pPr>
        <w:pStyle w:val="resumeSectionSubtitle"/>
        <w:tabs>
          <w:tab w:val="right" w:pos="10780"/>
        </w:tabs>
        <w:spacing w:before="40" w:after="40"/>
      </w:pPr>
      <w:r>
        <w:rPr>
          <w:i/>
          <w:iCs/>
        </w:rPr>
        <w:t xml:space="preserve">DIRECTOR OF SOFTWARE ENGINEERING</w:t>
        <w:tab/>
        <w:t xml:space="preserve">Aug 2022 - Sep 2023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Directed engineering strategy and product development, leading a team of 10 engineers to launch innovative healthcare applications in a startup environment.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Integrated AI into product offerings, slashing development cycles by 30% and boosting feature adoption by 40%.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Drove digital transformation by leading end-to-end software development, launching four mobile healthcare apps that enhanced user experience for production users.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Mentored engineers on agile best practices, increasing team velocity by 15% within 6 months.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Enhanced system scalability with cloud solutions (Aure), enabling the support of a 50% increase in user base.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Collaborated with operations to streamline workflows, reducing manual processes by 35%.</w:t>
      </w:r>
    </w:p>
    <w:p>
      <w:pPr>
        <w:pStyle w:val="resumeSectionTitle"/>
        <w:tabs>
          <w:tab w:val="right" w:pos="10780"/>
        </w:tabs>
        <w:spacing w:before="120"/>
      </w:pPr>
      <w:r>
        <w:rPr>
          <w:b/>
          <w:bCs/>
        </w:rPr>
        <w:t xml:space="preserve">Cognizant Softvision</w:t>
      </w:r>
    </w:p>
    <w:p>
      <w:pPr>
        <w:pStyle w:val="resumeSectionSubtitle"/>
        <w:tabs>
          <w:tab w:val="right" w:pos="10780"/>
        </w:tabs>
        <w:spacing w:before="40" w:after="40"/>
      </w:pPr>
      <w:r>
        <w:rPr>
          <w:i/>
          <w:iCs/>
        </w:rPr>
        <w:t xml:space="preserve">CHIEF ARCHITECT</w:t>
        <w:tab/>
        <w:t xml:space="preserve">Mar 2021 - Aug 2022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Scope: 50+ developers in US, Ukraine, and Central America.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Designed scalable microservices architecture for enterprise healthcare solutions, cutting latency by 20% across patient-facing platforms.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Led technical reviews ensuring compliance with healthtech standards (HL7, FHIR), improving data accuracy by 15%.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Transformed monolithic application into a scalable microservices and multi-tenant architecture, dramatically enhancing data ingestion efficiency system-wide.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Executed AWS integrations, accelerating deployment timelines by 25% for 5 key projects.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Partnered with product teams to align technical solutions with business goals, boosting client satisfaction by 30%.</w:t>
      </w:r>
    </w:p>
    <w:p>
      <w:pPr>
        <w:pStyle w:val="resumeSectionTitle"/>
        <w:tabs>
          <w:tab w:val="right" w:pos="10780"/>
        </w:tabs>
        <w:spacing w:before="120"/>
      </w:pPr>
      <w:r>
        <w:rPr>
          <w:b/>
          <w:bCs/>
        </w:rPr>
        <w:t xml:space="preserve">Red Spot Interactive</w:t>
      </w:r>
    </w:p>
    <w:p>
      <w:pPr>
        <w:pStyle w:val="resumeSectionSubtitle"/>
        <w:tabs>
          <w:tab w:val="right" w:pos="10780"/>
        </w:tabs>
        <w:spacing w:before="40" w:after="40"/>
      </w:pPr>
      <w:r>
        <w:rPr>
          <w:i/>
          <w:iCs/>
        </w:rPr>
        <w:t xml:space="preserve">CHIEF TECHNOLOGY OFFICER</w:t>
        <w:tab/>
        <w:t xml:space="preserve">Mar 2014 - Mar 2021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Built and scaled the team from inception to 15, adding key offshore resources.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Revamped a dysfunctional patient scheduling system by integrating AWS, Azure, and SaaS solutions, tailoring optimizations to client needs while enabling 200K+ appointments with a 40% revenue increase.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Instituted DevOps and CI/CD practices, improving system reliability by 35% and deployment frequency by 50%.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Led a team of motivated engineers, cultivating a high-performing culture that delivered 4 product launches annually.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Aligned technical roadmaps with business needs, growing the client base by 12% in 2 years.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Implemented AI-driven analytics, enhancing decision-making and cutting operational costs by 18%.</w:t>
      </w:r>
    </w:p>
    <w:p>
      <w:pPr>
        <w:pStyle w:val="resumeSectionTitle"/>
        <w:tabs>
          <w:tab w:val="right" w:pos="10780"/>
        </w:tabs>
        <w:spacing w:before="120"/>
      </w:pPr>
      <w:r>
        <w:rPr>
          <w:b/>
          <w:bCs/>
        </w:rPr>
        <w:t xml:space="preserve">MedQuest Associates</w:t>
      </w:r>
    </w:p>
    <w:p>
      <w:pPr>
        <w:pStyle w:val="resumeSectionSubtitle"/>
        <w:tabs>
          <w:tab w:val="right" w:pos="10780"/>
        </w:tabs>
        <w:spacing w:before="40" w:after="40"/>
      </w:pPr>
      <w:r>
        <w:rPr>
          <w:i/>
          <w:iCs/>
        </w:rPr>
        <w:t xml:space="preserve">DIRECTOR of SOFTWARE ENGINEERING</w:t>
        <w:tab/>
        <w:t xml:space="preserve">Jan 2003 - Mar 2014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Built and scaled the engineering team from inception to 22, including QA and Product, with added offshore resources.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Revamped a failing diagnostic imaging system to production-ready status across 100 centers in 13 states, streamlining operations and enhancing patient care delivery.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Pioneered a web-based scheduling platform, increasing appointment efficiency by 45% across 100+ centers.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Automated insurance verification processes, reducing errors by 60% and saving 500+ staff hours annually.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Oversaw a $2M annual budget, aligning resources to support scalable technology integrations.</w:t>
      </w:r>
    </w:p>
    <w:p>
      <w:pPr>
        <w:pStyle w:val="ListParagraph"/>
        <w:pStyle w:val="bodyText"/>
        <w:numPr>
          <w:ilvl w:val="0"/>
          <w:numId w:val="1"/>
        </w:numPr>
        <w:spacing w:before="40" w:after="40"/>
      </w:pPr>
      <w:r>
        <w:t xml:space="preserve">Enhanced service delivery through technical innovation, using internal data to more rapidly schedule patients, which drove patient care by 25%.</w:t>
      </w:r>
    </w:p>
    <w:p>
      <w:pPr>
        <w:pStyle w:val="Heading1"/>
        <w:pStyle w:val="resumeSectionHeader"/>
        <w:pBdr>
          <w:bottom w:val="single" w:color="e5e7eb" w:sz="12" w:space="2"/>
        </w:pBdr>
      </w:pPr>
      <w:r>
        <w:t xml:space="preserve">EDUCATION</w:t>
      </w:r>
    </w:p>
    <w:p>
      <w:pPr>
        <w:pStyle w:val="resumeSectionTitle"/>
        <w:tabs>
          <w:tab w:val="right" w:pos="10780"/>
        </w:tabs>
        <w:spacing w:before="0"/>
      </w:pPr>
      <w:r>
        <w:rPr>
          <w:b/>
          <w:bCs/>
        </w:rPr>
        <w:t xml:space="preserve">Shorter University</w:t>
      </w:r>
    </w:p>
    <w:p>
      <w:pPr>
        <w:pStyle w:val="bodyText"/>
        <w:spacing w:before="30"/>
      </w:pPr>
      <w:r>
        <w:t xml:space="preserve">Master of Business Administration</w:t>
      </w:r>
    </w:p>
    <w:p>
      <w:pPr>
        <w:pStyle w:val="resumeSectionTitle"/>
        <w:tabs>
          <w:tab w:val="right" w:pos="10780"/>
        </w:tabs>
        <w:spacing w:before="120"/>
      </w:pPr>
      <w:r>
        <w:rPr>
          <w:b/>
          <w:bCs/>
        </w:rPr>
        <w:t xml:space="preserve">University of Alabama Birmingham</w:t>
      </w:r>
    </w:p>
    <w:p>
      <w:pPr>
        <w:pStyle w:val="bodyText"/>
        <w:spacing w:before="30"/>
      </w:pPr>
      <w:r>
        <w:t xml:space="preserve">Bachelor of Science, Management Information Systems</w:t>
      </w:r>
    </w:p>
    <w:p>
      <w:pPr>
        <w:pStyle w:val="Heading1"/>
        <w:pStyle w:val="resumeSectionHeader"/>
        <w:pBdr>
          <w:bottom w:val="single" w:color="e5e7eb" w:sz="12" w:space="2"/>
        </w:pBdr>
      </w:pPr>
      <w:r>
        <w:t xml:space="preserve">SKILLS</w:t>
      </w:r>
    </w:p>
    <w:tbl>
      <w:tblPr>
        <w:tblW w:type="auto" w:w="107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3593"/>
        <w:gridCol w:w="3593"/>
        <w:gridCol w:w="3593"/>
      </w:tblGrid>
      <w:tr>
        <w:trPr>
          <w:trHeight w:val="320" w:hRule="atLeast"/>
        </w:trPr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Python</w:t>
            </w:r>
          </w:p>
        </w:tc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Java</w:t>
            </w:r>
          </w:p>
        </w:tc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SQL</w:t>
            </w:r>
          </w:p>
        </w:tc>
      </w:tr>
      <w:tr>
        <w:trPr>
          <w:trHeight w:val="320" w:hRule="atLeast"/>
        </w:trPr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C#</w:t>
            </w:r>
          </w:p>
        </w:tc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NodeJS</w:t>
            </w:r>
          </w:p>
        </w:tc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SQL Server</w:t>
            </w:r>
          </w:p>
        </w:tc>
      </w:tr>
      <w:tr>
        <w:trPr>
          <w:trHeight w:val="320" w:hRule="atLeast"/>
        </w:trPr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MySQL</w:t>
            </w:r>
          </w:p>
        </w:tc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Oracle</w:t>
            </w:r>
          </w:p>
        </w:tc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DynamoDB</w:t>
            </w:r>
          </w:p>
        </w:tc>
      </w:tr>
      <w:tr>
        <w:trPr>
          <w:trHeight w:val="320" w:hRule="atLeast"/>
        </w:trPr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AWS</w:t>
            </w:r>
          </w:p>
        </w:tc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Azure</w:t>
            </w:r>
          </w:p>
        </w:tc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Kubernetes</w:t>
            </w:r>
          </w:p>
        </w:tc>
      </w:tr>
      <w:tr>
        <w:trPr>
          <w:trHeight w:val="320" w:hRule="atLeast"/>
        </w:trPr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CI/CD</w:t>
            </w:r>
          </w:p>
        </w:tc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Microservices</w:t>
            </w:r>
          </w:p>
        </w:tc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API Development</w:t>
            </w:r>
          </w:p>
        </w:tc>
      </w:tr>
      <w:tr>
        <w:trPr>
          <w:trHeight w:val="320" w:hRule="atLeast"/>
        </w:trPr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AI/ML</w:t>
            </w:r>
          </w:p>
        </w:tc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EHR (Epic, HL7, FHIR)</w:t>
            </w:r>
          </w:p>
        </w:tc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Claims Processing</w:t>
            </w:r>
          </w:p>
        </w:tc>
      </w:tr>
      <w:tr>
        <w:trPr>
          <w:trHeight w:val="320" w:hRule="atLeast"/>
        </w:trPr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DICOM</w:t>
            </w:r>
          </w:p>
        </w:tc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Leadership in Value-Based Care IT Initiatives</w:t>
            </w:r>
          </w:p>
        </w:tc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AI/ML Integration in Healthcare Operations</w:t>
            </w:r>
          </w:p>
        </w:tc>
      </w:tr>
      <w:tr>
        <w:trPr>
          <w:trHeight w:val="320" w:hRule="atLeast"/>
        </w:trPr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EHR Systems &amp; Interoperability (Epic, HL7, FHIR)</w:t>
            </w:r>
          </w:p>
        </w:tc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Strategic Technology Roadmap Development</w:t>
            </w:r>
          </w:p>
        </w:tc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Agile/Scrum &amp; CI/CD Methodologies</w:t>
            </w:r>
          </w:p>
        </w:tc>
      </w:tr>
      <w:tr>
        <w:trPr>
          <w:trHeight w:val="320" w:hRule="atLeast"/>
        </w:trPr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Cloud Platforms (AWS, Azure, Google Cloud)</w:t>
            </w:r>
          </w:p>
        </w:tc>
        <w:tc>
          <w:tcPr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pStyle w:val="bodyText"/>
            </w:pPr>
            <w:r>
              <w:t xml:space="preserve">●   Vendor Contract Negotiation &amp; SLA Management</w:t>
            </w:r>
          </w:p>
        </w:tc>
      </w:tr>
    </w:tbl>
    <w:p>
      <w:pPr>
        <w:pStyle w:val="Heading1"/>
        <w:pStyle w:val="resumeSectionHeader"/>
        <w:pBdr>
          <w:bottom w:val="single" w:color="e5e7eb" w:sz="12" w:space="2"/>
        </w:pBdr>
      </w:pPr>
      <w:r>
        <w:t xml:space="preserve">HOBBIES &amp; INTERESTS</w:t>
      </w:r>
    </w:p>
    <w:p>
      <w:pPr>
        <w:pStyle w:val="ListParagraph"/>
        <w:pStyle w:val="bodyText"/>
        <w:numPr>
          <w:ilvl w:val="0"/>
          <w:numId w:val="1"/>
        </w:numPr>
        <w:tabs>
          <w:tab w:val="right" w:pos="10780"/>
        </w:tabs>
        <w:spacing w:before="0"/>
      </w:pPr>
      <w:r>
        <w:rPr>
          <w:b w:val="false"/>
          <w:bCs w:val="false"/>
          <w:i w:val="false"/>
          <w:iCs w:val="false"/>
        </w:rPr>
        <w:t xml:space="preserve">Formula 1 Geek. I love the sport, especially its technical and teamwork aspects.</w:t>
      </w:r>
    </w:p>
    <w:p>
      <w:pPr>
        <w:pStyle w:val="ListParagraph"/>
        <w:pStyle w:val="bodyText"/>
        <w:numPr>
          <w:ilvl w:val="0"/>
          <w:numId w:val="1"/>
        </w:numPr>
        <w:tabs>
          <w:tab w:val="right" w:pos="10780"/>
        </w:tabs>
        <w:spacing w:before="20"/>
      </w:pPr>
      <w:r>
        <w:rPr>
          <w:b w:val="false"/>
          <w:bCs w:val="false"/>
          <w:i w:val="false"/>
          <w:iCs w:val="false"/>
        </w:rPr>
        <w:t xml:space="preserve">Dedicated college football fan with in-depth knowledge of strategy, conference realignments, and NIL; avidly follow multiple conferences, attend select games when possible, and actively engage in online communities.</w:t>
      </w:r>
    </w:p>
    <w:p>
      <w:pPr>
        <w:pStyle w:val="ListParagraph"/>
        <w:pStyle w:val="bodyText"/>
        <w:numPr>
          <w:ilvl w:val="0"/>
          <w:numId w:val="1"/>
        </w:numPr>
        <w:tabs>
          <w:tab w:val="right" w:pos="10780"/>
        </w:tabs>
        <w:spacing w:before="20"/>
      </w:pPr>
      <w:r>
        <w:rPr>
          <w:b w:val="false"/>
          <w:bCs w:val="false"/>
          <w:i w:val="false"/>
          <w:iCs w:val="false"/>
        </w:rPr>
        <w:t xml:space="preserve">AI-Assisted Decipherment of Rongorongo Script</w:t>
      </w:r>
    </w:p>
    <w:p>
      <w:pPr>
        <w:pStyle w:val="ListParagraph"/>
        <w:pStyle w:val="bodyText"/>
        <w:numPr>
          <w:ilvl w:val="0"/>
          <w:numId w:val="1"/>
        </w:numPr>
        <w:tabs>
          <w:tab w:val="right" w:pos="10780"/>
        </w:tabs>
        <w:spacing w:before="20"/>
      </w:pPr>
      <w:r>
        <w:rPr>
          <w:b w:val="false"/>
          <w:bCs w:val="false"/>
          <w:i w:val="false"/>
          <w:iCs w:val="false"/>
        </w:rPr>
        <w:t xml:space="preserve">Applying NLP and machine learning to the undeciphered rongorongo glyphs of Easter Island; digitizing corpora, fine-tuning multilingual LLMs, and experimenting with statistical/neural methods for script analysis and Rapa Nui language translation..</w:t>
      </w:r>
      <w:r>
        <w:tab/>
      </w:r>
    </w:p>
    <w:sectPr>
      <w:pgSz w:w="8.5in" w:h="11in" w:orient="portrait"/>
      <w:pgMar w:top="0.5in" w:right="0.5in" w:bottom="0.5in" w:left="0.5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62C35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rPr>
      <w:b w:val="false"/>
      <w:bCs w:val="false"/>
      <w:color w:val="262C35"/>
      <w:sz w:val="36"/>
      <w:szCs w:val="36"/>
    </w:rPr>
  </w:style>
  <w:style w:type="paragraph" w:styleId="targetJobTitle">
    <w:name w:val="Target Job Title"/>
    <w:rPr>
      <w:b/>
      <w:bCs/>
      <w:color w:val="374151"/>
      <w:sz w:val="27"/>
      <w:szCs w:val="27"/>
    </w:rPr>
  </w:style>
  <w:style w:type="paragraph" w:styleId="resumeSectionHeader">
    <w:name w:val="Resume Section Header"/>
    <w:pPr>
      <w:spacing w:before="240" w:after="60"/>
    </w:pPr>
    <w:rPr>
      <w:color w:val="262C35"/>
      <w:sz w:val="22"/>
      <w:szCs w:val="22"/>
    </w:rPr>
  </w:style>
  <w:style w:type="paragraph" w:styleId="resumeSectionTitle">
    <w:name w:val="Resume Section Title"/>
    <w:rPr>
      <w:sz w:val="23"/>
      <w:szCs w:val="23"/>
    </w:rPr>
  </w:style>
  <w:style w:type="paragraph" w:styleId="resumeSectionSubtitle">
    <w:name w:val="Resume Section Subtitle"/>
    <w:rPr>
      <w:sz w:val="23"/>
      <w:szCs w:val="23"/>
    </w:rPr>
  </w:style>
  <w:style w:type="paragraph" w:styleId="bodyText">
    <w:name w:val="Body Text"/>
    <w:pPr>
      <w:spacing w:line="262.5"/>
    </w:pPr>
    <w:rPr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2026-02-24T13:41:39.819Z</dcterms:created>
  <dcterms:modified xsi:type="dcterms:W3CDTF">2026-02-24T13:41:39.819Z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