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  <w:rPr>
          <w:rFonts w:ascii="Calibri" w:cs="Calibri" w:eastAsia="Calibri" w:hAnsi="Calibri"/>
          <w:b/>
          <w:bCs/>
          <w:color w:val="1F2937"/>
          <w:sz w:val="32"/>
          <w:szCs w:val="32"/>
        </w:rPr>
      </w:pPr>
      <w:r>
        <w:t xml:space="preserve">Jimmy Rhoades</w:t>
      </w:r>
    </w:p>
    <w:p>
      <w:pPr>
        <w:pStyle w:val="Normal"/>
        <w:spacing w:after="40"/>
        <w:jc w:val="center"/>
        <w:rPr>
          <w:rFonts w:ascii="Calibri" w:cs="Calibri" w:eastAsia="Calibri" w:hAnsi="Calibri"/>
          <w:color w:val="374151"/>
          <w:sz w:val="20"/>
          <w:szCs w:val="20"/>
        </w:rPr>
      </w:pPr>
      <w:r>
        <w:t xml:space="preserve">Birmingham, AL | jimmyrhoades1@gmail.com | linkedin.com/in/jimmyrhoades</w:t>
      </w:r>
    </w:p>
    <w:p>
      <w:pPr>
        <w:pBdr>
          <w:bottom w:val="single" w:color="1F2937" w:sz="6" w:space="1"/>
        </w:pBdr>
        <w:spacing w:after="80"/>
      </w:pPr>
    </w:p>
    <w:p>
      <w:pPr>
        <w:pStyle w:val="Heading1"/>
        <w:pBdr>
          <w:bottom w:val="single" w:color="1F2937" w:sz="6" w:space="1"/>
        </w:pBdr>
        <w:spacing w:after="100" w:before="100"/>
        <w:rPr>
          <w:rFonts w:ascii="Calibri" w:cs="Calibri" w:eastAsia="Calibri" w:hAnsi="Calibri"/>
          <w:b/>
          <w:bCs/>
          <w:color w:val="1F2937"/>
          <w:sz w:val="24"/>
          <w:szCs w:val="24"/>
        </w:rPr>
      </w:pPr>
      <w:r>
        <w:t xml:space="preserve">Executive Profile</w:t>
      </w:r>
    </w:p>
    <w:p>
      <w:pPr>
        <w:spacing w:after="60" w:line="276"/>
        <w:rPr>
          <w:rFonts w:ascii="Calibri" w:cs="Calibri" w:eastAsia="Calibri" w:hAnsi="Calibri"/>
          <w:b w:val="false"/>
          <w:bCs w:val="false"/>
          <w:color w:val="374151"/>
          <w:sz w:val="21"/>
          <w:szCs w:val="21"/>
        </w:rPr>
      </w:pPr>
      <w:r>
        <w:t xml:space="preserve">Seasoned engineering leader with 20+ years scaling healthcare technology platforms. Expertise building high-performing teams (up to 50 engineers), designing distributed systems, and delivering GenAI/ML-powered consumer experiences. Track record modernizing legacy architectures, implementing automated CI/CD pipelines, and driving 30–50% improvements in system reliability and deployment velocity. Currently CTO at ilumed, directing ML-driven healthcare navigation and HIPAA-compliant infrastructure serving 90K beneficiaries.</w:t>
      </w:r>
    </w:p>
    <w:p>
      <w:pPr>
        <w:pStyle w:val="Heading1"/>
        <w:pBdr>
          <w:bottom w:val="single" w:color="1F2937" w:sz="6" w:space="1"/>
        </w:pBdr>
        <w:spacing w:after="100" w:before="100"/>
        <w:rPr>
          <w:rFonts w:ascii="Calibri" w:cs="Calibri" w:eastAsia="Calibri" w:hAnsi="Calibri"/>
          <w:b/>
          <w:bCs/>
          <w:color w:val="1F2937"/>
          <w:sz w:val="24"/>
          <w:szCs w:val="24"/>
        </w:rPr>
      </w:pPr>
      <w:r>
        <w:t xml:space="preserve">Experience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Chief Technology Officer — ilumed LLC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	Oct 2023 – Present</w:t>
      </w:r>
    </w:p>
    <w:p>
      <w:pPr>
        <w:pStyle w:val="List Bullet"/>
        <w:spacing w:after="60" w:line="276"/>
        <w:rPr>
          <w:rFonts w:ascii="Calibri" w:cs="Calibri" w:eastAsia="Calibri" w:hAnsi="Calibri"/>
          <w:color w:val="374151"/>
          <w:sz w:val="21"/>
          <w:szCs w:val="21"/>
        </w:rPr>
      </w:pPr>
      <w:r>
        <w:t xml:space="preserve">Spearheaded AI/ML integration into healthcare workflows, building ML-driven risk stratification models that generate prioritized work lists for nurse practitioners — determining who to contact, when, and by which modality (text, email, phone)</w:t>
      </w:r>
    </w:p>
    <w:p>
      <w:pPr>
        <w:pStyle w:val="List Bullet"/>
        <w:spacing w:after="60" w:line="276"/>
        <w:rPr>
          <w:rFonts w:ascii="Calibri" w:cs="Calibri" w:eastAsia="Calibri" w:hAnsi="Calibri"/>
          <w:color w:val="374151"/>
          <w:sz w:val="21"/>
          <w:szCs w:val="21"/>
        </w:rPr>
      </w:pPr>
      <w:r>
        <w:t xml:space="preserve">Designed and deployed multi-tenant microservices architecture achieving 99.9% uptime with HIPAA compliance; architected protocol-agnostic integration engine connecting to 18+ healthcare systems (Epic, Athena, CMS) via FHIR, HL7, REST APIs</w:t>
      </w:r>
    </w:p>
    <w:p>
      <w:pPr>
        <w:pStyle w:val="List Bullet"/>
        <w:spacing w:after="60" w:line="276"/>
        <w:rPr>
          <w:rFonts w:ascii="Calibri" w:cs="Calibri" w:eastAsia="Calibri" w:hAnsi="Calibri"/>
          <w:color w:val="374151"/>
          <w:sz w:val="21"/>
          <w:szCs w:val="21"/>
        </w:rPr>
      </w:pPr>
      <w:r>
        <w:t xml:space="preserve">Implemented fully automated CI/CD with zero developer production access; scaled engineering org from 4 to 25 as company grew from 140 to 200 headcount</w:t>
      </w:r>
    </w:p>
    <w:p>
      <w:pPr>
        <w:pStyle w:val="List Bullet"/>
        <w:spacing w:after="60" w:line="276"/>
        <w:rPr>
          <w:rFonts w:ascii="Calibri" w:cs="Calibri" w:eastAsia="Calibri" w:hAnsi="Calibri"/>
          <w:color w:val="374151"/>
          <w:sz w:val="21"/>
          <w:szCs w:val="21"/>
        </w:rPr>
      </w:pPr>
      <w:r>
        <w:t xml:space="preserve">Led SOC2/HITRUST certification on schedule; established compliance frameworks, controls, and audit preparation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Director of Software Engineering — Perceptive Solutions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	Aug 2022</w:t>
      </w:r>
    </w:p>
    <w:p>
      <w:pPr>
        <w:pStyle w:val="List Bullet"/>
        <w:spacing w:after="60" w:line="276"/>
        <w:rPr>
          <w:rFonts w:ascii="Calibri" w:cs="Calibri" w:eastAsia="Calibri" w:hAnsi="Calibri"/>
          <w:color w:val="374151"/>
          <w:sz w:val="21"/>
          <w:szCs w:val="21"/>
        </w:rPr>
      </w:pPr>
      <w:r>
        <w:t xml:space="preserve">Directed team of 10 engineers launching healthcare apps in startup environment; drove digital transformation launching four mobile healthcare apps</w:t>
      </w:r>
    </w:p>
    <w:p>
      <w:pPr>
        <w:pStyle w:val="List Bullet"/>
        <w:spacing w:after="60" w:line="276"/>
        <w:rPr>
          <w:rFonts w:ascii="Calibri" w:cs="Calibri" w:eastAsia="Calibri" w:hAnsi="Calibri"/>
          <w:color w:val="374151"/>
          <w:sz w:val="21"/>
          <w:szCs w:val="21"/>
        </w:rPr>
      </w:pPr>
      <w:r>
        <w:t xml:space="preserve">Integrated AI into product offerings, slashing development cycles by 30% and boosting feature adoption by 40%</w:t>
      </w:r>
    </w:p>
    <w:p>
      <w:pPr>
        <w:pStyle w:val="List Bullet"/>
        <w:spacing w:after="60" w:line="276"/>
        <w:rPr>
          <w:rFonts w:ascii="Calibri" w:cs="Calibri" w:eastAsia="Calibri" w:hAnsi="Calibri"/>
          <w:color w:val="374151"/>
          <w:sz w:val="21"/>
          <w:szCs w:val="21"/>
        </w:rPr>
      </w:pPr>
      <w:r>
        <w:t xml:space="preserve">Enhanced system scalability with cloud solutions enabling 50% increase in user base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Chief Architect — Cognizant Softvision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	Mar 2021</w:t>
      </w:r>
    </w:p>
    <w:p>
      <w:pPr>
        <w:pStyle w:val="List Bullet"/>
        <w:spacing w:after="60" w:line="276"/>
        <w:rPr>
          <w:rFonts w:ascii="Calibri" w:cs="Calibri" w:eastAsia="Calibri" w:hAnsi="Calibri"/>
          <w:color w:val="374151"/>
          <w:sz w:val="21"/>
          <w:szCs w:val="21"/>
        </w:rPr>
      </w:pPr>
      <w:r>
        <w:t xml:space="preserve">Managed 50+ developers across US, Ukraine, and Central America; managed managers with direct-line reporting</w:t>
      </w:r>
    </w:p>
    <w:p>
      <w:pPr>
        <w:pStyle w:val="List Bullet"/>
        <w:spacing w:after="60" w:line="276"/>
        <w:rPr>
          <w:rFonts w:ascii="Calibri" w:cs="Calibri" w:eastAsia="Calibri" w:hAnsi="Calibri"/>
          <w:color w:val="374151"/>
          <w:sz w:val="21"/>
          <w:szCs w:val="21"/>
        </w:rPr>
      </w:pPr>
      <w:r>
        <w:t xml:space="preserve">Transformed monolithic app into scalable microservices and multi-tenant architecture; designed microservices architecture cutting latency by 20%</w:t>
      </w:r>
    </w:p>
    <w:p>
      <w:pPr>
        <w:pStyle w:val="List Bullet"/>
        <w:spacing w:after="60" w:line="276"/>
        <w:rPr>
          <w:rFonts w:ascii="Calibri" w:cs="Calibri" w:eastAsia="Calibri" w:hAnsi="Calibri"/>
          <w:color w:val="374151"/>
          <w:sz w:val="21"/>
          <w:szCs w:val="21"/>
        </w:rPr>
      </w:pPr>
      <w:r>
        <w:t xml:space="preserve">Led technical reviews ensuring compliance with HL7, FHIR standards; executed AWS integrations accelerating deployment timelines by 25%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Chief Technology Officer — Red Spot Interactive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	Mar 2014</w:t>
      </w:r>
    </w:p>
    <w:p>
      <w:pPr>
        <w:pStyle w:val="List Bullet"/>
        <w:spacing w:after="60" w:line="276"/>
        <w:rPr>
          <w:rFonts w:ascii="Calibri" w:cs="Calibri" w:eastAsia="Calibri" w:hAnsi="Calibri"/>
          <w:color w:val="374151"/>
          <w:sz w:val="21"/>
          <w:szCs w:val="21"/>
        </w:rPr>
      </w:pPr>
      <w:r>
        <w:t xml:space="preserve">Built and scaled team from inception to 15 with key offshore resources; instituted DevOps and CI/CD practices, improving reliability by 35% and deployment frequency by 50%</w:t>
      </w:r>
    </w:p>
    <w:p>
      <w:pPr>
        <w:pStyle w:val="List Bullet"/>
        <w:spacing w:after="60" w:line="276"/>
        <w:rPr>
          <w:rFonts w:ascii="Calibri" w:cs="Calibri" w:eastAsia="Calibri" w:hAnsi="Calibri"/>
          <w:color w:val="374151"/>
          <w:sz w:val="21"/>
          <w:szCs w:val="21"/>
        </w:rPr>
      </w:pPr>
      <w:r>
        <w:t xml:space="preserve">Revamped patient scheduling system integrating AWS, Azure, and SaaS — enabled 200K+ appointments with 40% revenue increase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Director of Software Engineering — MedQuest Associates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	Jan 2003</w:t>
      </w:r>
    </w:p>
    <w:p>
      <w:pPr>
        <w:pStyle w:val="List Bullet"/>
        <w:spacing w:after="60" w:line="276"/>
        <w:rPr>
          <w:rFonts w:ascii="Calibri" w:cs="Calibri" w:eastAsia="Calibri" w:hAnsi="Calibri"/>
          <w:color w:val="374151"/>
          <w:sz w:val="21"/>
          <w:szCs w:val="21"/>
        </w:rPr>
      </w:pPr>
      <w:r>
        <w:t xml:space="preserve">Built engineering team from zero to 22, including QA, Product, and offshore resources; oversaw $2M annual budget</w:t>
      </w:r>
    </w:p>
    <w:p>
      <w:pPr>
        <w:pStyle w:val="List Bullet"/>
        <w:spacing w:after="60" w:line="276"/>
        <w:rPr>
          <w:rFonts w:ascii="Calibri" w:cs="Calibri" w:eastAsia="Calibri" w:hAnsi="Calibri"/>
          <w:color w:val="374151"/>
          <w:sz w:val="21"/>
          <w:szCs w:val="21"/>
        </w:rPr>
      </w:pPr>
      <w:r>
        <w:t xml:space="preserve">Revamped failing diagnostic imaging system to production-ready across 100 centers in 13 states; pioneered web-based scheduling platform increasing appointment efficiency by 45%</w:t>
      </w:r>
    </w:p>
    <w:p>
      <w:pPr>
        <w:pStyle w:val="Heading1"/>
        <w:pBdr>
          <w:bottom w:val="single" w:color="1F2937" w:sz="6" w:space="1"/>
        </w:pBdr>
        <w:spacing w:after="100" w:before="100"/>
        <w:rPr>
          <w:rFonts w:ascii="Calibri" w:cs="Calibri" w:eastAsia="Calibri" w:hAnsi="Calibri"/>
          <w:b/>
          <w:bCs/>
          <w:color w:val="1F2937"/>
          <w:sz w:val="24"/>
          <w:szCs w:val="24"/>
        </w:rPr>
      </w:pPr>
      <w: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Python, Java, C#/.NET Core, NodeJS/TypeScript, SQL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Cloud &amp; Infrastructure: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Azure (primary), AWS, Google Cloud, Kubernetes, CI/CD, Microservices, API Development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Healthcare Domain: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EHR (Epic, Athena), HL7, FHIR, Claims Processing, HIPAA, Compliance</w:t>
      </w:r>
    </w:p>
    <w:p>
      <w:pPr>
        <w:pStyle w:val="Heading1"/>
        <w:pBdr>
          <w:bottom w:val="single" w:color="1F2937" w:sz="6" w:space="1"/>
        </w:pBdr>
        <w:spacing w:after="100" w:before="100"/>
        <w:rPr>
          <w:rFonts w:ascii="Calibri" w:cs="Calibri" w:eastAsia="Calibri" w:hAnsi="Calibri"/>
          <w:b/>
          <w:bCs/>
          <w:color w:val="1F2937"/>
          <w:sz w:val="24"/>
          <w:szCs w:val="24"/>
        </w:rPr>
      </w:pPr>
      <w: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MBA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— Shorter University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BS Management Information Systems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— University of Alabama Birmingham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2026-03-26T21:49:44.607Z</dcterms:created>
  <dcterms:modified xsi:type="dcterms:W3CDTF">2026-03-26T21:49:44.607Z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