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C9ED37" w14:textId="77777777" w:rsidR="00F95B95" w:rsidRDefault="00000000">
      <w:pPr>
        <w:spacing w:before="2200"/>
      </w:pPr>
      <w:r>
        <w:rPr>
          <w:b/>
          <w:bCs/>
          <w:caps/>
          <w:color w:val="007A3D"/>
          <w:sz w:val="26"/>
          <w:szCs w:val="26"/>
        </w:rPr>
        <w:t>VEEAM KASTEN</w:t>
      </w:r>
    </w:p>
    <w:p w14:paraId="489E3B4F" w14:textId="77777777" w:rsidR="00F95B95" w:rsidRDefault="00000000">
      <w:pPr>
        <w:spacing w:before="120"/>
      </w:pPr>
      <w:r>
        <w:rPr>
          <w:b/>
          <w:bCs/>
          <w:color w:val="0B1118"/>
          <w:sz w:val="56"/>
          <w:szCs w:val="56"/>
        </w:rPr>
        <w:t>The Kasten Resilience Playbook</w:t>
      </w:r>
    </w:p>
    <w:p w14:paraId="795627DA" w14:textId="77777777" w:rsidR="00F95B95" w:rsidRDefault="00000000">
      <w:pPr>
        <w:spacing w:before="180"/>
      </w:pPr>
      <w:r>
        <w:rPr>
          <w:b/>
          <w:bCs/>
          <w:color w:val="007A3D"/>
          <w:sz w:val="26"/>
          <w:szCs w:val="26"/>
        </w:rPr>
        <w:t>A Maturity Model, Day-2 Operating Guide &amp; Reference Architecture</w:t>
      </w:r>
    </w:p>
    <w:p w14:paraId="7943D472" w14:textId="77777777" w:rsidR="00F95B95" w:rsidRDefault="00000000">
      <w:pPr>
        <w:spacing w:before="220"/>
      </w:pPr>
      <w:r>
        <w:rPr>
          <w:color w:val="3C4854"/>
          <w:sz w:val="24"/>
          <w:szCs w:val="24"/>
        </w:rPr>
        <w:t>A reference framework for measuring, operating, and advancing the maturity of Kubernetes data protection with Veeam Kasten.</w:t>
      </w:r>
    </w:p>
    <w:p w14:paraId="3A3A1C2A" w14:textId="77777777" w:rsidR="00F95B95" w:rsidRDefault="00F95B95">
      <w:pPr>
        <w:pBdr>
          <w:top w:val="single" w:sz="12" w:space="8" w:color="00A550"/>
        </w:pBdr>
        <w:spacing w:before="1400"/>
      </w:pPr>
    </w:p>
    <w:p w14:paraId="62574FBF" w14:textId="77777777" w:rsidR="00F95B95" w:rsidRDefault="00000000">
      <w:pPr>
        <w:spacing w:before="200"/>
      </w:pPr>
      <w:r>
        <w:rPr>
          <w:b/>
          <w:bCs/>
          <w:color w:val="3C4854"/>
          <w:sz w:val="20"/>
          <w:szCs w:val="20"/>
        </w:rPr>
        <w:t>Covers:</w:t>
      </w:r>
    </w:p>
    <w:p w14:paraId="4A9B4015" w14:textId="77777777" w:rsidR="00F95B95" w:rsidRDefault="00000000">
      <w:pPr>
        <w:pStyle w:val="ListParagraph"/>
        <w:numPr>
          <w:ilvl w:val="0"/>
          <w:numId w:val="2"/>
        </w:numPr>
        <w:spacing w:after="90" w:line="276" w:lineRule="auto"/>
      </w:pPr>
      <w:r>
        <w:rPr>
          <w:color w:val="0B1118"/>
        </w:rPr>
        <w:t>A 5-level, 7-dimension maturity model for Kasten deployments</w:t>
      </w:r>
    </w:p>
    <w:p w14:paraId="40F63C79" w14:textId="77777777" w:rsidR="00F95B95" w:rsidRDefault="00000000">
      <w:pPr>
        <w:pStyle w:val="ListParagraph"/>
        <w:numPr>
          <w:ilvl w:val="0"/>
          <w:numId w:val="2"/>
        </w:numPr>
        <w:spacing w:after="90" w:line="276" w:lineRule="auto"/>
      </w:pPr>
      <w:r>
        <w:rPr>
          <w:color w:val="0B1118"/>
        </w:rPr>
        <w:t>The day-2 operating model — cadences, roles, and governance</w:t>
      </w:r>
    </w:p>
    <w:p w14:paraId="417AB570" w14:textId="77777777" w:rsidR="00F95B95" w:rsidRDefault="00000000">
      <w:pPr>
        <w:pStyle w:val="ListParagraph"/>
        <w:numPr>
          <w:ilvl w:val="0"/>
          <w:numId w:val="2"/>
        </w:numPr>
        <w:spacing w:after="90" w:line="276" w:lineRule="auto"/>
      </w:pPr>
      <w:r>
        <w:rPr>
          <w:color w:val="0B1118"/>
        </w:rPr>
        <w:t>A reference architecture for policy, storage, and disaster recovery</w:t>
      </w:r>
    </w:p>
    <w:p w14:paraId="1B8F6E78" w14:textId="77777777" w:rsidR="00F95B95" w:rsidRDefault="00000000">
      <w:pPr>
        <w:pStyle w:val="ListParagraph"/>
        <w:numPr>
          <w:ilvl w:val="0"/>
          <w:numId w:val="2"/>
        </w:numPr>
        <w:spacing w:after="90" w:line="276" w:lineRule="auto"/>
      </w:pPr>
      <w:r>
        <w:rPr>
          <w:color w:val="0B1118"/>
        </w:rPr>
        <w:t>A roadmap connecting the first 100 days to long-term maturity</w:t>
      </w:r>
    </w:p>
    <w:p w14:paraId="688DB0D5" w14:textId="77777777" w:rsidR="00F95B95" w:rsidRDefault="00000000">
      <w:pPr>
        <w:spacing w:before="1600"/>
      </w:pPr>
      <w:r>
        <w:rPr>
          <w:i/>
          <w:iCs/>
          <w:color w:val="4C5865"/>
          <w:sz w:val="18"/>
          <w:szCs w:val="18"/>
        </w:rPr>
        <w:t>Prepared for internal use — Kasten deployment planning and operations.</w:t>
      </w:r>
    </w:p>
    <w:p w14:paraId="1EC5C0E9" w14:textId="77777777" w:rsidR="00F95B95" w:rsidRDefault="00000000">
      <w:r>
        <w:rPr>
          <w:color w:val="4C5865"/>
          <w:sz w:val="18"/>
          <w:szCs w:val="18"/>
        </w:rPr>
        <w:t>July 24, 2026</w:t>
      </w:r>
    </w:p>
    <w:p w14:paraId="238662D8" w14:textId="77777777" w:rsidR="00F95B95" w:rsidRDefault="00000000">
      <w:r>
        <w:br w:type="page"/>
      </w:r>
    </w:p>
    <w:p w14:paraId="758AB4C8" w14:textId="77777777" w:rsidR="00F95B95" w:rsidRDefault="00F95B95">
      <w:pPr>
        <w:sectPr w:rsidR="00F95B95">
          <w:pgSz w:w="12240" w:h="15840"/>
          <w:pgMar w:top="900" w:right="1080" w:bottom="900" w:left="1080" w:header="708" w:footer="708" w:gutter="0"/>
          <w:cols w:space="720"/>
          <w:docGrid w:linePitch="360"/>
        </w:sectPr>
      </w:pPr>
    </w:p>
    <w:p w14:paraId="65466553" w14:textId="77777777" w:rsidR="00F95B95" w:rsidRDefault="00000000">
      <w:pPr>
        <w:pStyle w:val="Heading1"/>
        <w:pBdr>
          <w:bottom w:val="single" w:sz="12" w:space="4" w:color="00A550"/>
        </w:pBdr>
        <w:spacing w:before="360" w:after="200"/>
      </w:pPr>
      <w:r>
        <w:rPr>
          <w:b/>
          <w:bCs/>
          <w:color w:val="0B1118"/>
        </w:rPr>
        <w:lastRenderedPageBreak/>
        <w:t>Contents</w:t>
      </w:r>
    </w:p>
    <w:p w14:paraId="58AA06FB" w14:textId="77777777" w:rsidR="00F95B95" w:rsidRDefault="00000000">
      <w:pPr>
        <w:tabs>
          <w:tab w:val="right" w:leader="dot" w:pos="9026"/>
        </w:tabs>
        <w:spacing w:after="140"/>
      </w:pPr>
      <w:r>
        <w:rPr>
          <w:b/>
          <w:bCs/>
          <w:color w:val="0B1118"/>
        </w:rPr>
        <w:t>1. Introduction</w:t>
      </w:r>
      <w:r>
        <w:rPr>
          <w:b/>
          <w:bCs/>
          <w:color w:val="0B1118"/>
        </w:rPr>
        <w:tab/>
        <w:t>3</w:t>
      </w:r>
    </w:p>
    <w:p w14:paraId="0DDA9F42" w14:textId="517AA013" w:rsidR="00F95B95" w:rsidRDefault="00240B94">
      <w:pPr>
        <w:tabs>
          <w:tab w:val="right" w:leader="dot" w:pos="9026"/>
        </w:tabs>
        <w:spacing w:after="70"/>
      </w:pPr>
      <w:r>
        <w:rPr>
          <w:color w:val="3C4854"/>
          <w:sz w:val="20"/>
          <w:szCs w:val="20"/>
        </w:rPr>
        <w:t>1.1 Who</w:t>
      </w:r>
      <w:r w:rsidR="00000000">
        <w:rPr>
          <w:color w:val="3C4854"/>
          <w:sz w:val="20"/>
          <w:szCs w:val="20"/>
        </w:rPr>
        <w:t xml:space="preserve"> this is for</w:t>
      </w:r>
      <w:r w:rsidR="00000000">
        <w:rPr>
          <w:color w:val="3C4854"/>
          <w:sz w:val="20"/>
          <w:szCs w:val="20"/>
        </w:rPr>
        <w:tab/>
        <w:t>3</w:t>
      </w:r>
    </w:p>
    <w:p w14:paraId="171C52D0" w14:textId="2956CAAB" w:rsidR="00F95B95" w:rsidRDefault="00240B94">
      <w:pPr>
        <w:tabs>
          <w:tab w:val="right" w:leader="dot" w:pos="9026"/>
        </w:tabs>
        <w:spacing w:after="70"/>
      </w:pPr>
      <w:r>
        <w:rPr>
          <w:color w:val="3C4854"/>
          <w:sz w:val="20"/>
          <w:szCs w:val="20"/>
        </w:rPr>
        <w:t>1.2 How</w:t>
      </w:r>
      <w:r w:rsidR="00000000">
        <w:rPr>
          <w:color w:val="3C4854"/>
          <w:sz w:val="20"/>
          <w:szCs w:val="20"/>
        </w:rPr>
        <w:t xml:space="preserve"> this guide is organized</w:t>
      </w:r>
      <w:r w:rsidR="00000000">
        <w:rPr>
          <w:color w:val="3C4854"/>
          <w:sz w:val="20"/>
          <w:szCs w:val="20"/>
        </w:rPr>
        <w:tab/>
        <w:t>3</w:t>
      </w:r>
    </w:p>
    <w:p w14:paraId="34A1B301" w14:textId="77777777" w:rsidR="00F95B95" w:rsidRDefault="00000000">
      <w:pPr>
        <w:tabs>
          <w:tab w:val="right" w:leader="dot" w:pos="9026"/>
        </w:tabs>
        <w:spacing w:after="140"/>
      </w:pPr>
      <w:r>
        <w:rPr>
          <w:b/>
          <w:bCs/>
          <w:color w:val="0B1118"/>
        </w:rPr>
        <w:t>2. The Kasten Maturity Model</w:t>
      </w:r>
      <w:r>
        <w:rPr>
          <w:b/>
          <w:bCs/>
          <w:color w:val="0B1118"/>
        </w:rPr>
        <w:tab/>
        <w:t>4</w:t>
      </w:r>
    </w:p>
    <w:p w14:paraId="3A5D051B" w14:textId="67189B35" w:rsidR="00F95B95" w:rsidRDefault="00240B94">
      <w:pPr>
        <w:tabs>
          <w:tab w:val="right" w:leader="dot" w:pos="9026"/>
        </w:tabs>
        <w:spacing w:after="70"/>
      </w:pPr>
      <w:r>
        <w:rPr>
          <w:color w:val="3C4854"/>
          <w:sz w:val="20"/>
          <w:szCs w:val="20"/>
        </w:rPr>
        <w:t>2.1 The</w:t>
      </w:r>
      <w:r w:rsidR="00000000">
        <w:rPr>
          <w:color w:val="3C4854"/>
          <w:sz w:val="20"/>
          <w:szCs w:val="20"/>
        </w:rPr>
        <w:t xml:space="preserve"> seven dimensions</w:t>
      </w:r>
      <w:r w:rsidR="00000000">
        <w:rPr>
          <w:color w:val="3C4854"/>
          <w:sz w:val="20"/>
          <w:szCs w:val="20"/>
        </w:rPr>
        <w:tab/>
        <w:t>4</w:t>
      </w:r>
    </w:p>
    <w:p w14:paraId="1D99AB30" w14:textId="4E1892F6" w:rsidR="00F95B95" w:rsidRDefault="00240B94">
      <w:pPr>
        <w:tabs>
          <w:tab w:val="right" w:leader="dot" w:pos="9026"/>
        </w:tabs>
        <w:spacing w:after="70"/>
      </w:pPr>
      <w:r>
        <w:rPr>
          <w:color w:val="3C4854"/>
          <w:sz w:val="20"/>
          <w:szCs w:val="20"/>
        </w:rPr>
        <w:t>2.2 Quick</w:t>
      </w:r>
      <w:r w:rsidR="00000000">
        <w:rPr>
          <w:color w:val="3C4854"/>
          <w:sz w:val="20"/>
          <w:szCs w:val="20"/>
        </w:rPr>
        <w:t>-reference summary</w:t>
      </w:r>
      <w:r w:rsidR="00000000">
        <w:rPr>
          <w:color w:val="3C4854"/>
          <w:sz w:val="20"/>
          <w:szCs w:val="20"/>
        </w:rPr>
        <w:tab/>
        <w:t>5</w:t>
      </w:r>
    </w:p>
    <w:p w14:paraId="2B4903C4" w14:textId="77777777" w:rsidR="00F95B95" w:rsidRDefault="00000000">
      <w:pPr>
        <w:tabs>
          <w:tab w:val="right" w:leader="dot" w:pos="9026"/>
        </w:tabs>
        <w:spacing w:after="70"/>
      </w:pPr>
      <w:r>
        <w:rPr>
          <w:color w:val="3C4854"/>
          <w:sz w:val="20"/>
          <w:szCs w:val="20"/>
        </w:rPr>
        <w:t xml:space="preserve">      Maturity model — quick reference (landscape)</w:t>
      </w:r>
      <w:r>
        <w:rPr>
          <w:color w:val="3C4854"/>
          <w:sz w:val="20"/>
          <w:szCs w:val="20"/>
        </w:rPr>
        <w:tab/>
        <w:t>6</w:t>
      </w:r>
    </w:p>
    <w:p w14:paraId="2B2239F1" w14:textId="3F7CEA46" w:rsidR="00F95B95" w:rsidRDefault="00240B94">
      <w:pPr>
        <w:tabs>
          <w:tab w:val="right" w:leader="dot" w:pos="9026"/>
        </w:tabs>
        <w:spacing w:after="70"/>
      </w:pPr>
      <w:r>
        <w:rPr>
          <w:color w:val="3C4854"/>
          <w:sz w:val="20"/>
          <w:szCs w:val="20"/>
        </w:rPr>
        <w:t>2.3 Level</w:t>
      </w:r>
      <w:r w:rsidR="00000000">
        <w:rPr>
          <w:color w:val="3C4854"/>
          <w:sz w:val="20"/>
          <w:szCs w:val="20"/>
        </w:rPr>
        <w:t xml:space="preserve"> detail</w:t>
      </w:r>
      <w:r w:rsidR="00000000">
        <w:rPr>
          <w:color w:val="3C4854"/>
          <w:sz w:val="20"/>
          <w:szCs w:val="20"/>
        </w:rPr>
        <w:tab/>
        <w:t>7</w:t>
      </w:r>
    </w:p>
    <w:p w14:paraId="5B158DD1" w14:textId="77777777" w:rsidR="00F95B95" w:rsidRDefault="00000000">
      <w:pPr>
        <w:tabs>
          <w:tab w:val="right" w:leader="dot" w:pos="9026"/>
        </w:tabs>
        <w:spacing w:after="140"/>
      </w:pPr>
      <w:r>
        <w:rPr>
          <w:b/>
          <w:bCs/>
          <w:color w:val="0B1118"/>
        </w:rPr>
        <w:t>3. The Day-2 Operating Model</w:t>
      </w:r>
      <w:r>
        <w:rPr>
          <w:b/>
          <w:bCs/>
          <w:color w:val="0B1118"/>
        </w:rPr>
        <w:tab/>
        <w:t>10</w:t>
      </w:r>
    </w:p>
    <w:p w14:paraId="64EE7EC3" w14:textId="0EEA596B" w:rsidR="00F95B95" w:rsidRDefault="00240B94">
      <w:pPr>
        <w:tabs>
          <w:tab w:val="right" w:leader="dot" w:pos="9026"/>
        </w:tabs>
        <w:spacing w:after="70"/>
      </w:pPr>
      <w:r>
        <w:rPr>
          <w:color w:val="3C4854"/>
          <w:sz w:val="20"/>
          <w:szCs w:val="20"/>
        </w:rPr>
        <w:t>3.1 Operating</w:t>
      </w:r>
      <w:r w:rsidR="00000000">
        <w:rPr>
          <w:color w:val="3C4854"/>
          <w:sz w:val="20"/>
          <w:szCs w:val="20"/>
        </w:rPr>
        <w:t xml:space="preserve"> cadence</w:t>
      </w:r>
      <w:r w:rsidR="00000000">
        <w:rPr>
          <w:color w:val="3C4854"/>
          <w:sz w:val="20"/>
          <w:szCs w:val="20"/>
        </w:rPr>
        <w:tab/>
        <w:t>10</w:t>
      </w:r>
    </w:p>
    <w:p w14:paraId="2C81F800" w14:textId="5904D68E" w:rsidR="00F95B95" w:rsidRDefault="00240B94">
      <w:pPr>
        <w:tabs>
          <w:tab w:val="right" w:leader="dot" w:pos="9026"/>
        </w:tabs>
        <w:spacing w:after="70"/>
      </w:pPr>
      <w:r>
        <w:rPr>
          <w:color w:val="3C4854"/>
          <w:sz w:val="20"/>
          <w:szCs w:val="20"/>
        </w:rPr>
        <w:t>3.2 Roles</w:t>
      </w:r>
      <w:r w:rsidR="00000000">
        <w:rPr>
          <w:color w:val="3C4854"/>
          <w:sz w:val="20"/>
          <w:szCs w:val="20"/>
        </w:rPr>
        <w:t xml:space="preserve"> and responsibilities</w:t>
      </w:r>
      <w:r w:rsidR="00000000">
        <w:rPr>
          <w:color w:val="3C4854"/>
          <w:sz w:val="20"/>
          <w:szCs w:val="20"/>
        </w:rPr>
        <w:tab/>
        <w:t>10</w:t>
      </w:r>
    </w:p>
    <w:p w14:paraId="1113E6D4" w14:textId="29CB57E8" w:rsidR="00F95B95" w:rsidRDefault="00240B94">
      <w:pPr>
        <w:tabs>
          <w:tab w:val="right" w:leader="dot" w:pos="9026"/>
        </w:tabs>
        <w:spacing w:after="70"/>
      </w:pPr>
      <w:r>
        <w:rPr>
          <w:color w:val="3C4854"/>
          <w:sz w:val="20"/>
          <w:szCs w:val="20"/>
        </w:rPr>
        <w:t>3.3 Core</w:t>
      </w:r>
      <w:r w:rsidR="00000000">
        <w:rPr>
          <w:color w:val="3C4854"/>
          <w:sz w:val="20"/>
          <w:szCs w:val="20"/>
        </w:rPr>
        <w:t xml:space="preserve"> operating practices</w:t>
      </w:r>
      <w:r w:rsidR="00000000">
        <w:rPr>
          <w:color w:val="3C4854"/>
          <w:sz w:val="20"/>
          <w:szCs w:val="20"/>
        </w:rPr>
        <w:tab/>
        <w:t>11</w:t>
      </w:r>
    </w:p>
    <w:p w14:paraId="438B09CA" w14:textId="77777777" w:rsidR="00F95B95" w:rsidRDefault="00000000">
      <w:pPr>
        <w:tabs>
          <w:tab w:val="right" w:leader="dot" w:pos="9026"/>
        </w:tabs>
        <w:spacing w:after="140"/>
      </w:pPr>
      <w:r>
        <w:rPr>
          <w:b/>
          <w:bCs/>
          <w:color w:val="0B1118"/>
        </w:rPr>
        <w:t>4. Reference Architecture</w:t>
      </w:r>
      <w:r>
        <w:rPr>
          <w:b/>
          <w:bCs/>
          <w:color w:val="0B1118"/>
        </w:rPr>
        <w:tab/>
        <w:t>12</w:t>
      </w:r>
    </w:p>
    <w:p w14:paraId="48035BC1" w14:textId="642D3D85" w:rsidR="00F95B95" w:rsidRDefault="00240B94">
      <w:pPr>
        <w:tabs>
          <w:tab w:val="right" w:leader="dot" w:pos="9026"/>
        </w:tabs>
        <w:spacing w:after="70"/>
      </w:pPr>
      <w:r>
        <w:rPr>
          <w:color w:val="3C4854"/>
          <w:sz w:val="20"/>
          <w:szCs w:val="20"/>
        </w:rPr>
        <w:t>4.1 Architecture</w:t>
      </w:r>
      <w:r w:rsidR="00000000">
        <w:rPr>
          <w:color w:val="3C4854"/>
          <w:sz w:val="20"/>
          <w:szCs w:val="20"/>
        </w:rPr>
        <w:t xml:space="preserve"> principles</w:t>
      </w:r>
      <w:r w:rsidR="00000000">
        <w:rPr>
          <w:color w:val="3C4854"/>
          <w:sz w:val="20"/>
          <w:szCs w:val="20"/>
        </w:rPr>
        <w:tab/>
        <w:t>12</w:t>
      </w:r>
    </w:p>
    <w:p w14:paraId="43E3DEFE" w14:textId="67A8F5A1" w:rsidR="00F95B95" w:rsidRDefault="00240B94">
      <w:pPr>
        <w:tabs>
          <w:tab w:val="right" w:leader="dot" w:pos="9026"/>
        </w:tabs>
        <w:spacing w:after="70"/>
      </w:pPr>
      <w:r>
        <w:rPr>
          <w:color w:val="3C4854"/>
          <w:sz w:val="20"/>
          <w:szCs w:val="20"/>
        </w:rPr>
        <w:t>4.2 Core</w:t>
      </w:r>
      <w:r w:rsidR="00000000">
        <w:rPr>
          <w:color w:val="3C4854"/>
          <w:sz w:val="20"/>
          <w:szCs w:val="20"/>
        </w:rPr>
        <w:t xml:space="preserve"> components</w:t>
      </w:r>
      <w:r w:rsidR="00000000">
        <w:rPr>
          <w:color w:val="3C4854"/>
          <w:sz w:val="20"/>
          <w:szCs w:val="20"/>
        </w:rPr>
        <w:tab/>
        <w:t>13</w:t>
      </w:r>
    </w:p>
    <w:p w14:paraId="17EE94FC" w14:textId="60DA0F6D" w:rsidR="00F95B95" w:rsidRDefault="00240B94">
      <w:pPr>
        <w:tabs>
          <w:tab w:val="right" w:leader="dot" w:pos="9026"/>
        </w:tabs>
        <w:spacing w:after="70"/>
      </w:pPr>
      <w:r>
        <w:rPr>
          <w:color w:val="3C4854"/>
          <w:sz w:val="20"/>
          <w:szCs w:val="20"/>
        </w:rPr>
        <w:t>4.3 Disaster</w:t>
      </w:r>
      <w:r w:rsidR="00000000">
        <w:rPr>
          <w:color w:val="3C4854"/>
          <w:sz w:val="20"/>
          <w:szCs w:val="20"/>
        </w:rPr>
        <w:t xml:space="preserve"> recovery topology</w:t>
      </w:r>
      <w:r w:rsidR="00000000">
        <w:rPr>
          <w:color w:val="3C4854"/>
          <w:sz w:val="20"/>
          <w:szCs w:val="20"/>
        </w:rPr>
        <w:tab/>
        <w:t>13</w:t>
      </w:r>
    </w:p>
    <w:p w14:paraId="36D651CD" w14:textId="06199069" w:rsidR="00F95B95" w:rsidRDefault="00240B94">
      <w:pPr>
        <w:tabs>
          <w:tab w:val="right" w:leader="dot" w:pos="9026"/>
        </w:tabs>
        <w:spacing w:after="70"/>
      </w:pPr>
      <w:r>
        <w:rPr>
          <w:color w:val="3C4854"/>
          <w:sz w:val="20"/>
          <w:szCs w:val="20"/>
        </w:rPr>
        <w:t>4.4 Edge</w:t>
      </w:r>
      <w:r w:rsidR="00000000">
        <w:rPr>
          <w:color w:val="3C4854"/>
          <w:sz w:val="20"/>
          <w:szCs w:val="20"/>
        </w:rPr>
        <w:t xml:space="preserve"> and air-gapped patterns</w:t>
      </w:r>
      <w:r w:rsidR="00000000">
        <w:rPr>
          <w:color w:val="3C4854"/>
          <w:sz w:val="20"/>
          <w:szCs w:val="20"/>
        </w:rPr>
        <w:tab/>
        <w:t>13</w:t>
      </w:r>
    </w:p>
    <w:p w14:paraId="570CFF89" w14:textId="470D0028" w:rsidR="00F95B95" w:rsidRDefault="00240B94">
      <w:pPr>
        <w:tabs>
          <w:tab w:val="right" w:leader="dot" w:pos="9026"/>
        </w:tabs>
        <w:spacing w:after="70"/>
      </w:pPr>
      <w:r>
        <w:rPr>
          <w:color w:val="3C4854"/>
          <w:sz w:val="20"/>
          <w:szCs w:val="20"/>
        </w:rPr>
        <w:t>4.5 Non</w:t>
      </w:r>
      <w:r w:rsidR="00000000">
        <w:rPr>
          <w:color w:val="3C4854"/>
          <w:sz w:val="20"/>
          <w:szCs w:val="20"/>
        </w:rPr>
        <w:t>-functional considerations</w:t>
      </w:r>
      <w:r w:rsidR="00000000">
        <w:rPr>
          <w:color w:val="3C4854"/>
          <w:sz w:val="20"/>
          <w:szCs w:val="20"/>
        </w:rPr>
        <w:tab/>
        <w:t>14</w:t>
      </w:r>
    </w:p>
    <w:p w14:paraId="28B41159" w14:textId="11DC39CE" w:rsidR="00F95B95" w:rsidRDefault="00240B94">
      <w:pPr>
        <w:tabs>
          <w:tab w:val="right" w:leader="dot" w:pos="9026"/>
        </w:tabs>
        <w:spacing w:after="70"/>
      </w:pPr>
      <w:r>
        <w:rPr>
          <w:color w:val="3C4854"/>
          <w:sz w:val="20"/>
          <w:szCs w:val="20"/>
        </w:rPr>
        <w:t>4.6 Data</w:t>
      </w:r>
      <w:r w:rsidR="00000000">
        <w:rPr>
          <w:color w:val="3C4854"/>
          <w:sz w:val="20"/>
          <w:szCs w:val="20"/>
        </w:rPr>
        <w:t xml:space="preserve"> Protection Architecture Principles</w:t>
      </w:r>
      <w:r w:rsidR="00000000">
        <w:rPr>
          <w:color w:val="3C4854"/>
          <w:sz w:val="20"/>
          <w:szCs w:val="20"/>
        </w:rPr>
        <w:tab/>
        <w:t>14</w:t>
      </w:r>
    </w:p>
    <w:p w14:paraId="1F0A505C" w14:textId="48A24AC2" w:rsidR="00F95B95" w:rsidRDefault="00240B94">
      <w:pPr>
        <w:tabs>
          <w:tab w:val="right" w:leader="dot" w:pos="9026"/>
        </w:tabs>
        <w:spacing w:after="70"/>
      </w:pPr>
      <w:r>
        <w:rPr>
          <w:color w:val="3C4854"/>
          <w:sz w:val="20"/>
          <w:szCs w:val="20"/>
        </w:rPr>
        <w:t>4.7 Disaster</w:t>
      </w:r>
      <w:r w:rsidR="00000000">
        <w:rPr>
          <w:color w:val="3C4854"/>
          <w:sz w:val="20"/>
          <w:szCs w:val="20"/>
        </w:rPr>
        <w:t xml:space="preserve"> Recovery Patterns</w:t>
      </w:r>
      <w:r w:rsidR="00000000">
        <w:rPr>
          <w:color w:val="3C4854"/>
          <w:sz w:val="20"/>
          <w:szCs w:val="20"/>
        </w:rPr>
        <w:tab/>
        <w:t>15</w:t>
      </w:r>
    </w:p>
    <w:p w14:paraId="69B9A8C5" w14:textId="77777777" w:rsidR="00F95B95" w:rsidRDefault="00000000">
      <w:pPr>
        <w:tabs>
          <w:tab w:val="right" w:leader="dot" w:pos="9026"/>
        </w:tabs>
        <w:spacing w:after="140"/>
      </w:pPr>
      <w:r>
        <w:rPr>
          <w:b/>
          <w:bCs/>
          <w:color w:val="0B1118"/>
        </w:rPr>
        <w:t>5. Roadmap: From Day 1 to Level 5</w:t>
      </w:r>
      <w:r>
        <w:rPr>
          <w:b/>
          <w:bCs/>
          <w:color w:val="0B1118"/>
        </w:rPr>
        <w:tab/>
        <w:t>17</w:t>
      </w:r>
    </w:p>
    <w:p w14:paraId="128C751F" w14:textId="77777777" w:rsidR="00F95B95" w:rsidRDefault="00000000">
      <w:pPr>
        <w:tabs>
          <w:tab w:val="right" w:leader="dot" w:pos="9026"/>
        </w:tabs>
        <w:spacing w:after="140"/>
      </w:pPr>
      <w:r>
        <w:rPr>
          <w:b/>
          <w:bCs/>
          <w:color w:val="0B1118"/>
        </w:rPr>
        <w:t>6. Using the Companion Self-Assessment</w:t>
      </w:r>
      <w:r>
        <w:rPr>
          <w:b/>
          <w:bCs/>
          <w:color w:val="0B1118"/>
        </w:rPr>
        <w:tab/>
        <w:t>18</w:t>
      </w:r>
    </w:p>
    <w:p w14:paraId="3175DACA" w14:textId="77777777" w:rsidR="00F95B95" w:rsidRDefault="00000000">
      <w:pPr>
        <w:tabs>
          <w:tab w:val="right" w:leader="dot" w:pos="9026"/>
        </w:tabs>
        <w:spacing w:after="140"/>
      </w:pPr>
      <w:r>
        <w:rPr>
          <w:b/>
          <w:bCs/>
          <w:color w:val="0B1118"/>
        </w:rPr>
        <w:t>7. Run the K10 Production Checklist</w:t>
      </w:r>
      <w:r>
        <w:rPr>
          <w:b/>
          <w:bCs/>
          <w:color w:val="0B1118"/>
        </w:rPr>
        <w:tab/>
        <w:t>19</w:t>
      </w:r>
    </w:p>
    <w:p w14:paraId="11573786" w14:textId="5BB63187" w:rsidR="00F95B95" w:rsidRDefault="00240B94">
      <w:pPr>
        <w:tabs>
          <w:tab w:val="right" w:leader="dot" w:pos="9026"/>
        </w:tabs>
        <w:spacing w:after="70"/>
      </w:pPr>
      <w:r>
        <w:rPr>
          <w:color w:val="3C4854"/>
          <w:sz w:val="20"/>
          <w:szCs w:val="20"/>
        </w:rPr>
        <w:t>7.1 What</w:t>
      </w:r>
      <w:r w:rsidR="00000000">
        <w:rPr>
          <w:color w:val="3C4854"/>
          <w:sz w:val="20"/>
          <w:szCs w:val="20"/>
        </w:rPr>
        <w:t xml:space="preserve"> it is</w:t>
      </w:r>
      <w:r w:rsidR="00000000">
        <w:rPr>
          <w:color w:val="3C4854"/>
          <w:sz w:val="20"/>
          <w:szCs w:val="20"/>
        </w:rPr>
        <w:tab/>
        <w:t>19</w:t>
      </w:r>
    </w:p>
    <w:p w14:paraId="59F9D5BD" w14:textId="727B6BBC" w:rsidR="00F95B95" w:rsidRDefault="00240B94">
      <w:pPr>
        <w:tabs>
          <w:tab w:val="right" w:leader="dot" w:pos="9026"/>
        </w:tabs>
        <w:spacing w:after="70"/>
      </w:pPr>
      <w:r>
        <w:rPr>
          <w:color w:val="3C4854"/>
          <w:sz w:val="20"/>
          <w:szCs w:val="20"/>
        </w:rPr>
        <w:t>7.2 Pull</w:t>
      </w:r>
      <w:r w:rsidR="00000000">
        <w:rPr>
          <w:color w:val="3C4854"/>
          <w:sz w:val="20"/>
          <w:szCs w:val="20"/>
        </w:rPr>
        <w:t xml:space="preserve"> the latest release and deploy it</w:t>
      </w:r>
      <w:r w:rsidR="00000000">
        <w:rPr>
          <w:color w:val="3C4854"/>
          <w:sz w:val="20"/>
          <w:szCs w:val="20"/>
        </w:rPr>
        <w:tab/>
        <w:t>19</w:t>
      </w:r>
    </w:p>
    <w:p w14:paraId="60898721" w14:textId="6C40B6B5" w:rsidR="00F95B95" w:rsidRDefault="00240B94">
      <w:pPr>
        <w:tabs>
          <w:tab w:val="right" w:leader="dot" w:pos="9026"/>
        </w:tabs>
        <w:spacing w:after="70"/>
      </w:pPr>
      <w:r>
        <w:rPr>
          <w:color w:val="3C4854"/>
          <w:sz w:val="20"/>
          <w:szCs w:val="20"/>
        </w:rPr>
        <w:t>7.3 Attaching</w:t>
      </w:r>
      <w:r w:rsidR="00000000">
        <w:rPr>
          <w:color w:val="3C4854"/>
          <w:sz w:val="20"/>
          <w:szCs w:val="20"/>
        </w:rPr>
        <w:t xml:space="preserve"> a cluster architecture diagram (optional)</w:t>
      </w:r>
      <w:r w:rsidR="00000000">
        <w:rPr>
          <w:color w:val="3C4854"/>
          <w:sz w:val="20"/>
          <w:szCs w:val="20"/>
        </w:rPr>
        <w:tab/>
        <w:t>19</w:t>
      </w:r>
    </w:p>
    <w:p w14:paraId="1711E42B" w14:textId="77777777" w:rsidR="00F95B95" w:rsidRDefault="00000000">
      <w:pPr>
        <w:tabs>
          <w:tab w:val="right" w:leader="dot" w:pos="9026"/>
        </w:tabs>
        <w:spacing w:after="140"/>
      </w:pPr>
      <w:r>
        <w:rPr>
          <w:b/>
          <w:bCs/>
          <w:color w:val="0B1118"/>
        </w:rPr>
        <w:t>Appendix — Glossary</w:t>
      </w:r>
      <w:r>
        <w:rPr>
          <w:b/>
          <w:bCs/>
          <w:color w:val="0B1118"/>
        </w:rPr>
        <w:tab/>
        <w:t>21</w:t>
      </w:r>
    </w:p>
    <w:p w14:paraId="246AFDAB" w14:textId="77777777" w:rsidR="00F95B95" w:rsidRDefault="00000000">
      <w:r>
        <w:br w:type="page"/>
      </w:r>
    </w:p>
    <w:p w14:paraId="37925DDE" w14:textId="77777777" w:rsidR="00F95B95" w:rsidRDefault="00000000">
      <w:pPr>
        <w:pStyle w:val="Heading1"/>
        <w:pBdr>
          <w:bottom w:val="single" w:sz="12" w:space="4" w:color="00A550"/>
        </w:pBdr>
        <w:spacing w:before="360" w:after="200"/>
      </w:pPr>
      <w:r>
        <w:rPr>
          <w:b/>
          <w:bCs/>
          <w:color w:val="0B1118"/>
        </w:rPr>
        <w:lastRenderedPageBreak/>
        <w:t>1. Introduction</w:t>
      </w:r>
    </w:p>
    <w:p w14:paraId="0527D1D6" w14:textId="151AD3CA" w:rsidR="00F95B95" w:rsidRDefault="00000000">
      <w:pPr>
        <w:spacing w:after="160" w:line="288" w:lineRule="auto"/>
      </w:pPr>
      <w:r>
        <w:rPr>
          <w:color w:val="0B1118"/>
        </w:rPr>
        <w:t xml:space="preserve">This guide gives platform, infrastructure, and application teams a shared way to understand, measure, and improve how Veeam Kasten is deployed and operated over time. </w:t>
      </w:r>
    </w:p>
    <w:p w14:paraId="63A9BD75" w14:textId="77777777" w:rsidR="00F95B95" w:rsidRDefault="00000000">
      <w:pPr>
        <w:spacing w:after="160" w:line="288" w:lineRule="auto"/>
      </w:pPr>
      <w:r>
        <w:rPr>
          <w:color w:val="0B1118"/>
        </w:rPr>
        <w:t>Deploying Kasten is a starting point, not an end state. The difference between an organization that survives a cluster loss or a ransomware event and one that doesn't is rarely the backup tool itself — it is whether backup policy, application awareness, immutability, disaster recovery, and recovery testing have matured into a dependable, repeatable operating model.</w:t>
      </w:r>
    </w:p>
    <w:p w14:paraId="01D60C9F" w14:textId="77777777" w:rsidR="00F95B95" w:rsidRDefault="00000000">
      <w:pPr>
        <w:pStyle w:val="Heading2"/>
        <w:spacing w:before="280" w:after="140"/>
      </w:pPr>
      <w:r>
        <w:rPr>
          <w:b/>
          <w:bCs/>
          <w:color w:val="007A3D"/>
        </w:rPr>
        <w:t>1.1 Who this is for</w:t>
      </w:r>
    </w:p>
    <w:p w14:paraId="0BAEDE72" w14:textId="09B5EDE5" w:rsidR="00F95B95" w:rsidRDefault="00000000">
      <w:pPr>
        <w:spacing w:after="160" w:line="288" w:lineRule="auto"/>
      </w:pPr>
      <w:r>
        <w:rPr>
          <w:color w:val="0B1118"/>
        </w:rPr>
        <w:t xml:space="preserve">Platform engineers and infrastructure architects responsible for Kubernetes data protection and business continuity; application teams whose stateful workloads depend on Kasten; and security, compliance, and leadership stakeholders who need a common language to describe how protected the organization </w:t>
      </w:r>
      <w:r w:rsidR="00240B94">
        <w:rPr>
          <w:color w:val="0B1118"/>
        </w:rPr>
        <w:t>is</w:t>
      </w:r>
      <w:r>
        <w:rPr>
          <w:color w:val="0B1118"/>
        </w:rPr>
        <w:t>.</w:t>
      </w:r>
    </w:p>
    <w:p w14:paraId="4E98751C" w14:textId="77777777" w:rsidR="00F95B95" w:rsidRDefault="00000000">
      <w:pPr>
        <w:pStyle w:val="Heading2"/>
        <w:spacing w:before="280" w:after="140"/>
      </w:pPr>
      <w:r>
        <w:rPr>
          <w:b/>
          <w:bCs/>
          <w:color w:val="007A3D"/>
        </w:rPr>
        <w:t>1.2 How this guide is organized</w:t>
      </w:r>
    </w:p>
    <w:p w14:paraId="49D19EC2" w14:textId="77777777" w:rsidR="00F95B95" w:rsidRDefault="00000000">
      <w:pPr>
        <w:pStyle w:val="ListParagraph"/>
        <w:numPr>
          <w:ilvl w:val="0"/>
          <w:numId w:val="2"/>
        </w:numPr>
        <w:spacing w:after="90" w:line="276" w:lineRule="auto"/>
      </w:pPr>
      <w:r>
        <w:rPr>
          <w:color w:val="0B1118"/>
        </w:rPr>
        <w:t>Section 2 — The Kasten Maturity Model: five levels across seven dimensions, from ad hoc protection to a continuously adaptive program.</w:t>
      </w:r>
    </w:p>
    <w:p w14:paraId="09C4631A" w14:textId="77777777" w:rsidR="00F95B95" w:rsidRDefault="00000000">
      <w:pPr>
        <w:pStyle w:val="ListParagraph"/>
        <w:numPr>
          <w:ilvl w:val="0"/>
          <w:numId w:val="2"/>
        </w:numPr>
        <w:spacing w:after="90" w:line="276" w:lineRule="auto"/>
      </w:pPr>
      <w:r>
        <w:rPr>
          <w:color w:val="0B1118"/>
        </w:rPr>
        <w:t>Section 3 — The Day-2 Operating Model: the recurring cadence, roles, and practices that sustain and advance maturity.</w:t>
      </w:r>
    </w:p>
    <w:p w14:paraId="4E1AA221" w14:textId="77777777" w:rsidR="00F95B95" w:rsidRDefault="00000000">
      <w:pPr>
        <w:pStyle w:val="ListParagraph"/>
        <w:numPr>
          <w:ilvl w:val="0"/>
          <w:numId w:val="2"/>
        </w:numPr>
        <w:spacing w:after="90" w:line="276" w:lineRule="auto"/>
      </w:pPr>
      <w:r>
        <w:rPr>
          <w:color w:val="0B1118"/>
        </w:rPr>
        <w:t>Section 4 — Reference Architecture: how policy, storage, immutability, and disaster recovery fit together.</w:t>
      </w:r>
    </w:p>
    <w:p w14:paraId="6ECAA2FA" w14:textId="77777777" w:rsidR="00F95B95" w:rsidRDefault="00000000">
      <w:pPr>
        <w:pStyle w:val="ListParagraph"/>
        <w:numPr>
          <w:ilvl w:val="0"/>
          <w:numId w:val="2"/>
        </w:numPr>
        <w:spacing w:after="90" w:line="276" w:lineRule="auto"/>
      </w:pPr>
      <w:r>
        <w:rPr>
          <w:color w:val="0B1118"/>
        </w:rPr>
        <w:t>Section 5 — Roadmap: how Veeam's first 100-day rollout maps onto the maturity levels, and what comes after.</w:t>
      </w:r>
    </w:p>
    <w:p w14:paraId="6EDB4C99" w14:textId="77777777" w:rsidR="00F95B95" w:rsidRDefault="00000000">
      <w:pPr>
        <w:pStyle w:val="ListParagraph"/>
        <w:numPr>
          <w:ilvl w:val="0"/>
          <w:numId w:val="2"/>
        </w:numPr>
        <w:spacing w:after="90" w:line="276" w:lineRule="auto"/>
      </w:pPr>
      <w:r>
        <w:rPr>
          <w:color w:val="0B1118"/>
        </w:rPr>
        <w:t>Section 6 — Using the companion self-assessment scorecard.</w:t>
      </w:r>
    </w:p>
    <w:p w14:paraId="6E168C7B" w14:textId="77777777" w:rsidR="00F95B95" w:rsidRDefault="00000000">
      <w:pPr>
        <w:pStyle w:val="ListParagraph"/>
        <w:numPr>
          <w:ilvl w:val="0"/>
          <w:numId w:val="2"/>
        </w:numPr>
        <w:spacing w:after="90" w:line="276" w:lineRule="auto"/>
      </w:pPr>
      <w:r>
        <w:rPr>
          <w:color w:val="0B1118"/>
        </w:rPr>
        <w:t>Section 7 — Running the k10-checklist production readiness tool from GitHub.</w:t>
      </w:r>
    </w:p>
    <w:p w14:paraId="7218311C" w14:textId="77777777" w:rsidR="00F95B95" w:rsidRDefault="00000000">
      <w:pPr>
        <w:pStyle w:val="ListParagraph"/>
        <w:numPr>
          <w:ilvl w:val="0"/>
          <w:numId w:val="2"/>
        </w:numPr>
        <w:spacing w:after="90" w:line="276" w:lineRule="auto"/>
      </w:pPr>
      <w:r>
        <w:rPr>
          <w:color w:val="0B1118"/>
        </w:rPr>
        <w:t>Appendix — Glossary.</w:t>
      </w:r>
    </w:p>
    <w:p w14:paraId="2520E4B4" w14:textId="77777777" w:rsidR="00F95B95" w:rsidRDefault="00000000">
      <w:r>
        <w:br w:type="page"/>
      </w:r>
    </w:p>
    <w:p w14:paraId="79F285A9" w14:textId="77777777" w:rsidR="00F95B95" w:rsidRDefault="00000000">
      <w:pPr>
        <w:pStyle w:val="Heading1"/>
        <w:pBdr>
          <w:bottom w:val="single" w:sz="12" w:space="4" w:color="00A550"/>
        </w:pBdr>
        <w:spacing w:before="360" w:after="200"/>
      </w:pPr>
      <w:r>
        <w:rPr>
          <w:b/>
          <w:bCs/>
          <w:color w:val="0B1118"/>
        </w:rPr>
        <w:lastRenderedPageBreak/>
        <w:t>2. The Kasten Maturity Model</w:t>
      </w:r>
    </w:p>
    <w:p w14:paraId="67FE8E0B" w14:textId="3738CB17" w:rsidR="00F95B95" w:rsidRDefault="00000000">
      <w:pPr>
        <w:spacing w:after="160" w:line="288" w:lineRule="auto"/>
      </w:pPr>
      <w:r>
        <w:rPr>
          <w:color w:val="0B1118"/>
        </w:rPr>
        <w:t xml:space="preserve">Maturity is assessed across seven dimensions that together determine whether an organization can </w:t>
      </w:r>
      <w:r w:rsidR="00240B94">
        <w:rPr>
          <w:color w:val="0B1118"/>
        </w:rPr>
        <w:t>recover</w:t>
      </w:r>
      <w:r>
        <w:rPr>
          <w:color w:val="0B1118"/>
        </w:rPr>
        <w:t xml:space="preserve"> — not just whether backups are running. A workload, a cluster, or an entire fleet can sit at different levels simultaneously; the model is meant to be applied per workload tier (production, non-production, edge) rather than as a single fleet-wide score.</w:t>
      </w:r>
    </w:p>
    <w:p w14:paraId="2B9C1A2F" w14:textId="77777777" w:rsidR="00F95B95" w:rsidRDefault="00000000">
      <w:pPr>
        <w:spacing w:after="200"/>
        <w:jc w:val="center"/>
      </w:pPr>
      <w:r>
        <w:rPr>
          <w:noProof/>
        </w:rPr>
        <w:drawing>
          <wp:inline distT="0" distB="0" distL="0" distR="0" wp14:anchorId="57E5875F" wp14:editId="1B873941">
            <wp:extent cx="5943600" cy="2867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867025"/>
                    </a:xfrm>
                    <a:prstGeom prst="rect">
                      <a:avLst/>
                    </a:prstGeom>
                  </pic:spPr>
                </pic:pic>
              </a:graphicData>
            </a:graphic>
          </wp:inline>
        </w:drawing>
      </w:r>
    </w:p>
    <w:p w14:paraId="1EA53CEA" w14:textId="77777777" w:rsidR="00F95B95" w:rsidRDefault="00000000">
      <w:pPr>
        <w:pStyle w:val="Heading2"/>
        <w:spacing w:before="280" w:after="140"/>
      </w:pPr>
      <w:r>
        <w:rPr>
          <w:b/>
          <w:bCs/>
          <w:color w:val="007A3D"/>
        </w:rPr>
        <w:t>2.1 The seven dimensions</w:t>
      </w:r>
    </w:p>
    <w:tbl>
      <w:tblPr>
        <w:tblW w:w="936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900"/>
        <w:gridCol w:w="6460"/>
      </w:tblGrid>
      <w:tr w:rsidR="00F95B95" w14:paraId="3DBC07D0" w14:textId="77777777">
        <w:tblPrEx>
          <w:tblCellMar>
            <w:top w:w="0" w:type="dxa"/>
            <w:bottom w:w="0" w:type="dxa"/>
          </w:tblCellMar>
        </w:tblPrEx>
        <w:trPr>
          <w:tblHeader/>
        </w:trPr>
        <w:tc>
          <w:tcPr>
            <w:tcW w:w="2900" w:type="dxa"/>
            <w:shd w:val="clear" w:color="auto" w:fill="1B1F23"/>
            <w:tcMar>
              <w:top w:w="90" w:type="dxa"/>
              <w:left w:w="110" w:type="dxa"/>
              <w:bottom w:w="90" w:type="dxa"/>
              <w:right w:w="110" w:type="dxa"/>
            </w:tcMar>
            <w:vAlign w:val="center"/>
          </w:tcPr>
          <w:p w14:paraId="441EAD8E" w14:textId="77777777" w:rsidR="00F95B95" w:rsidRDefault="00000000">
            <w:pPr>
              <w:spacing w:line="317" w:lineRule="auto"/>
            </w:pPr>
            <w:r>
              <w:rPr>
                <w:b/>
                <w:bCs/>
                <w:color w:val="FFFFFF"/>
                <w:sz w:val="19"/>
                <w:szCs w:val="19"/>
              </w:rPr>
              <w:t>Dimension</w:t>
            </w:r>
          </w:p>
        </w:tc>
        <w:tc>
          <w:tcPr>
            <w:tcW w:w="6460" w:type="dxa"/>
            <w:shd w:val="clear" w:color="auto" w:fill="1B1F23"/>
            <w:tcMar>
              <w:top w:w="90" w:type="dxa"/>
              <w:left w:w="110" w:type="dxa"/>
              <w:bottom w:w="90" w:type="dxa"/>
              <w:right w:w="110" w:type="dxa"/>
            </w:tcMar>
            <w:vAlign w:val="center"/>
          </w:tcPr>
          <w:p w14:paraId="67F5048A" w14:textId="77777777" w:rsidR="00F95B95" w:rsidRDefault="00000000">
            <w:pPr>
              <w:spacing w:line="317" w:lineRule="auto"/>
            </w:pPr>
            <w:r>
              <w:rPr>
                <w:b/>
                <w:bCs/>
                <w:color w:val="FFFFFF"/>
                <w:sz w:val="19"/>
                <w:szCs w:val="19"/>
              </w:rPr>
              <w:t>What it measures</w:t>
            </w:r>
          </w:p>
        </w:tc>
      </w:tr>
      <w:tr w:rsidR="00F95B95" w14:paraId="4B082F93"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71847CB1" w14:textId="77777777" w:rsidR="00F95B95" w:rsidRDefault="00000000">
            <w:pPr>
              <w:spacing w:line="317" w:lineRule="auto"/>
            </w:pPr>
            <w:r>
              <w:rPr>
                <w:b/>
                <w:bCs/>
                <w:color w:val="0B1118"/>
                <w:sz w:val="19"/>
                <w:szCs w:val="19"/>
              </w:rPr>
              <w:t>Coverage &amp; Policy Automation</w:t>
            </w:r>
          </w:p>
        </w:tc>
        <w:tc>
          <w:tcPr>
            <w:tcW w:w="6460" w:type="dxa"/>
            <w:shd w:val="clear" w:color="auto" w:fill="FFFFFF"/>
            <w:tcMar>
              <w:top w:w="90" w:type="dxa"/>
              <w:left w:w="110" w:type="dxa"/>
              <w:bottom w:w="90" w:type="dxa"/>
              <w:right w:w="110" w:type="dxa"/>
            </w:tcMar>
            <w:vAlign w:val="center"/>
          </w:tcPr>
          <w:p w14:paraId="02B0931B" w14:textId="7D018C5F" w:rsidR="00F95B95" w:rsidRDefault="00000000">
            <w:pPr>
              <w:spacing w:line="317" w:lineRule="auto"/>
            </w:pPr>
            <w:r>
              <w:rPr>
                <w:color w:val="0B1118"/>
                <w:sz w:val="19"/>
                <w:szCs w:val="19"/>
              </w:rPr>
              <w:t>Whether protection is manual and workload-by-</w:t>
            </w:r>
            <w:r w:rsidR="00240B94">
              <w:rPr>
                <w:color w:val="0B1118"/>
                <w:sz w:val="19"/>
                <w:szCs w:val="19"/>
              </w:rPr>
              <w:t>workload or</w:t>
            </w:r>
            <w:r>
              <w:rPr>
                <w:color w:val="0B1118"/>
                <w:sz w:val="19"/>
                <w:szCs w:val="19"/>
              </w:rPr>
              <w:t xml:space="preserve"> automatically applied to anything matching a policy.</w:t>
            </w:r>
          </w:p>
        </w:tc>
      </w:tr>
      <w:tr w:rsidR="00F95B95" w14:paraId="41D35477" w14:textId="77777777">
        <w:tblPrEx>
          <w:tblCellMar>
            <w:top w:w="0" w:type="dxa"/>
            <w:bottom w:w="0" w:type="dxa"/>
          </w:tblCellMar>
        </w:tblPrEx>
        <w:tc>
          <w:tcPr>
            <w:tcW w:w="2900" w:type="dxa"/>
            <w:shd w:val="clear" w:color="auto" w:fill="EEF2F1"/>
            <w:tcMar>
              <w:top w:w="90" w:type="dxa"/>
              <w:left w:w="110" w:type="dxa"/>
              <w:bottom w:w="90" w:type="dxa"/>
              <w:right w:w="110" w:type="dxa"/>
            </w:tcMar>
            <w:vAlign w:val="center"/>
          </w:tcPr>
          <w:p w14:paraId="14160029" w14:textId="77777777" w:rsidR="00F95B95" w:rsidRDefault="00000000">
            <w:pPr>
              <w:spacing w:line="317" w:lineRule="auto"/>
            </w:pPr>
            <w:r>
              <w:rPr>
                <w:b/>
                <w:bCs/>
                <w:color w:val="0B1118"/>
                <w:sz w:val="19"/>
                <w:szCs w:val="19"/>
              </w:rPr>
              <w:t>Application Consistency</w:t>
            </w:r>
          </w:p>
        </w:tc>
        <w:tc>
          <w:tcPr>
            <w:tcW w:w="6460" w:type="dxa"/>
            <w:shd w:val="clear" w:color="auto" w:fill="EEF2F1"/>
            <w:tcMar>
              <w:top w:w="90" w:type="dxa"/>
              <w:left w:w="110" w:type="dxa"/>
              <w:bottom w:w="90" w:type="dxa"/>
              <w:right w:w="110" w:type="dxa"/>
            </w:tcMar>
            <w:vAlign w:val="center"/>
          </w:tcPr>
          <w:p w14:paraId="2B10E2A3" w14:textId="3B23B1B3" w:rsidR="00F95B95" w:rsidRDefault="00000000">
            <w:pPr>
              <w:spacing w:line="317" w:lineRule="auto"/>
            </w:pPr>
            <w:r>
              <w:rPr>
                <w:color w:val="0B1118"/>
                <w:sz w:val="19"/>
                <w:szCs w:val="19"/>
              </w:rPr>
              <w:t xml:space="preserve">Whether backups merely capture a crash-consistent volume </w:t>
            </w:r>
            <w:r w:rsidR="00240B94">
              <w:rPr>
                <w:color w:val="0B1118"/>
                <w:sz w:val="19"/>
                <w:szCs w:val="19"/>
              </w:rPr>
              <w:t>state or</w:t>
            </w:r>
            <w:r>
              <w:rPr>
                <w:color w:val="0B1118"/>
                <w:sz w:val="19"/>
                <w:szCs w:val="19"/>
              </w:rPr>
              <w:t xml:space="preserve"> use Kanister Blueprints to quiesce databases and applications correctly.</w:t>
            </w:r>
          </w:p>
        </w:tc>
      </w:tr>
      <w:tr w:rsidR="00F95B95" w14:paraId="3F966ECF"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635C3D7C" w14:textId="77777777" w:rsidR="00F95B95" w:rsidRDefault="00000000">
            <w:pPr>
              <w:spacing w:line="317" w:lineRule="auto"/>
            </w:pPr>
            <w:r>
              <w:rPr>
                <w:b/>
                <w:bCs/>
                <w:color w:val="0B1118"/>
                <w:sz w:val="19"/>
                <w:szCs w:val="19"/>
              </w:rPr>
              <w:t>Storage, Immutability &amp; Security</w:t>
            </w:r>
          </w:p>
        </w:tc>
        <w:tc>
          <w:tcPr>
            <w:tcW w:w="6460" w:type="dxa"/>
            <w:shd w:val="clear" w:color="auto" w:fill="FFFFFF"/>
            <w:tcMar>
              <w:top w:w="90" w:type="dxa"/>
              <w:left w:w="110" w:type="dxa"/>
              <w:bottom w:w="90" w:type="dxa"/>
              <w:right w:w="110" w:type="dxa"/>
            </w:tcMar>
            <w:vAlign w:val="center"/>
          </w:tcPr>
          <w:p w14:paraId="64AF993C" w14:textId="77777777" w:rsidR="00F95B95" w:rsidRDefault="00000000">
            <w:pPr>
              <w:spacing w:line="317" w:lineRule="auto"/>
            </w:pPr>
            <w:r>
              <w:rPr>
                <w:color w:val="0B1118"/>
                <w:sz w:val="19"/>
                <w:szCs w:val="19"/>
              </w:rPr>
              <w:t>Where backup data lives, whether it is offsite, and whether it is protected against tampering or deletion — including by a compromised administrator account.</w:t>
            </w:r>
          </w:p>
        </w:tc>
      </w:tr>
      <w:tr w:rsidR="00F95B95" w14:paraId="26FAC8AA" w14:textId="77777777">
        <w:tblPrEx>
          <w:tblCellMar>
            <w:top w:w="0" w:type="dxa"/>
            <w:bottom w:w="0" w:type="dxa"/>
          </w:tblCellMar>
        </w:tblPrEx>
        <w:tc>
          <w:tcPr>
            <w:tcW w:w="2900" w:type="dxa"/>
            <w:shd w:val="clear" w:color="auto" w:fill="EEF2F1"/>
            <w:tcMar>
              <w:top w:w="90" w:type="dxa"/>
              <w:left w:w="110" w:type="dxa"/>
              <w:bottom w:w="90" w:type="dxa"/>
              <w:right w:w="110" w:type="dxa"/>
            </w:tcMar>
            <w:vAlign w:val="center"/>
          </w:tcPr>
          <w:p w14:paraId="0925D724" w14:textId="77777777" w:rsidR="00F95B95" w:rsidRDefault="00000000">
            <w:pPr>
              <w:spacing w:line="317" w:lineRule="auto"/>
            </w:pPr>
            <w:r>
              <w:rPr>
                <w:b/>
                <w:bCs/>
                <w:color w:val="0B1118"/>
                <w:sz w:val="19"/>
                <w:szCs w:val="19"/>
              </w:rPr>
              <w:t>Centralized Management &amp; Multi-Cluster</w:t>
            </w:r>
          </w:p>
        </w:tc>
        <w:tc>
          <w:tcPr>
            <w:tcW w:w="6460" w:type="dxa"/>
            <w:shd w:val="clear" w:color="auto" w:fill="EEF2F1"/>
            <w:tcMar>
              <w:top w:w="90" w:type="dxa"/>
              <w:left w:w="110" w:type="dxa"/>
              <w:bottom w:w="90" w:type="dxa"/>
              <w:right w:w="110" w:type="dxa"/>
            </w:tcMar>
            <w:vAlign w:val="center"/>
          </w:tcPr>
          <w:p w14:paraId="0BBB2EB0" w14:textId="3311F3FC" w:rsidR="00F95B95" w:rsidRDefault="00000000">
            <w:pPr>
              <w:spacing w:line="317" w:lineRule="auto"/>
            </w:pPr>
            <w:r>
              <w:rPr>
                <w:color w:val="0B1118"/>
                <w:sz w:val="19"/>
                <w:szCs w:val="19"/>
              </w:rPr>
              <w:t xml:space="preserve">Whether each cluster is configured </w:t>
            </w:r>
            <w:r w:rsidR="00240B94">
              <w:rPr>
                <w:color w:val="0B1118"/>
                <w:sz w:val="19"/>
                <w:szCs w:val="19"/>
              </w:rPr>
              <w:t>independently or</w:t>
            </w:r>
            <w:r>
              <w:rPr>
                <w:color w:val="0B1118"/>
                <w:sz w:val="19"/>
                <w:szCs w:val="19"/>
              </w:rPr>
              <w:t xml:space="preserve"> governed centrally through Kasten's Multi-Cluster Manager.</w:t>
            </w:r>
          </w:p>
        </w:tc>
      </w:tr>
      <w:tr w:rsidR="00F95B95" w14:paraId="5FD0D8B7"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7DF0FA78" w14:textId="77777777" w:rsidR="00F95B95" w:rsidRDefault="00000000">
            <w:pPr>
              <w:spacing w:line="317" w:lineRule="auto"/>
            </w:pPr>
            <w:r>
              <w:rPr>
                <w:b/>
                <w:bCs/>
                <w:color w:val="0B1118"/>
                <w:sz w:val="19"/>
                <w:szCs w:val="19"/>
              </w:rPr>
              <w:t>Disaster Recovery</w:t>
            </w:r>
          </w:p>
        </w:tc>
        <w:tc>
          <w:tcPr>
            <w:tcW w:w="6460" w:type="dxa"/>
            <w:shd w:val="clear" w:color="auto" w:fill="FFFFFF"/>
            <w:tcMar>
              <w:top w:w="90" w:type="dxa"/>
              <w:left w:w="110" w:type="dxa"/>
              <w:bottom w:w="90" w:type="dxa"/>
              <w:right w:w="110" w:type="dxa"/>
            </w:tcMar>
            <w:vAlign w:val="center"/>
          </w:tcPr>
          <w:p w14:paraId="20C5D032" w14:textId="77777777" w:rsidR="00F95B95" w:rsidRDefault="00000000">
            <w:pPr>
              <w:spacing w:line="317" w:lineRule="auto"/>
            </w:pPr>
            <w:r>
              <w:rPr>
                <w:color w:val="0B1118"/>
                <w:sz w:val="19"/>
                <w:szCs w:val="19"/>
              </w:rPr>
              <w:t>Whether a documented, tiered DR plan exists and is tested, from export-only rebuild to warm-standby with continuous import.</w:t>
            </w:r>
          </w:p>
        </w:tc>
      </w:tr>
      <w:tr w:rsidR="00F95B95" w14:paraId="0E85A242" w14:textId="77777777">
        <w:tblPrEx>
          <w:tblCellMar>
            <w:top w:w="0" w:type="dxa"/>
            <w:bottom w:w="0" w:type="dxa"/>
          </w:tblCellMar>
        </w:tblPrEx>
        <w:tc>
          <w:tcPr>
            <w:tcW w:w="2900" w:type="dxa"/>
            <w:shd w:val="clear" w:color="auto" w:fill="EEF2F1"/>
            <w:tcMar>
              <w:top w:w="90" w:type="dxa"/>
              <w:left w:w="110" w:type="dxa"/>
              <w:bottom w:w="90" w:type="dxa"/>
              <w:right w:w="110" w:type="dxa"/>
            </w:tcMar>
            <w:vAlign w:val="center"/>
          </w:tcPr>
          <w:p w14:paraId="6A16DA6A" w14:textId="77777777" w:rsidR="00F95B95" w:rsidRDefault="00000000">
            <w:pPr>
              <w:spacing w:line="317" w:lineRule="auto"/>
            </w:pPr>
            <w:r>
              <w:rPr>
                <w:b/>
                <w:bCs/>
                <w:color w:val="0B1118"/>
                <w:sz w:val="19"/>
                <w:szCs w:val="19"/>
              </w:rPr>
              <w:t>Observability, Compliance &amp; Reporting</w:t>
            </w:r>
          </w:p>
        </w:tc>
        <w:tc>
          <w:tcPr>
            <w:tcW w:w="6460" w:type="dxa"/>
            <w:shd w:val="clear" w:color="auto" w:fill="EEF2F1"/>
            <w:tcMar>
              <w:top w:w="90" w:type="dxa"/>
              <w:left w:w="110" w:type="dxa"/>
              <w:bottom w:w="90" w:type="dxa"/>
              <w:right w:w="110" w:type="dxa"/>
            </w:tcMar>
            <w:vAlign w:val="center"/>
          </w:tcPr>
          <w:p w14:paraId="09C610F8" w14:textId="77777777" w:rsidR="00F95B95" w:rsidRDefault="00000000">
            <w:pPr>
              <w:spacing w:line="317" w:lineRule="auto"/>
            </w:pPr>
            <w:r>
              <w:rPr>
                <w:color w:val="0B1118"/>
                <w:sz w:val="19"/>
                <w:szCs w:val="19"/>
              </w:rPr>
              <w:t>Whether job health, RPO compliance, and coverage are actively monitored and reportable to auditors and leadership.</w:t>
            </w:r>
          </w:p>
        </w:tc>
      </w:tr>
      <w:tr w:rsidR="00F95B95" w14:paraId="03B660D7"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37AE7F3D" w14:textId="77777777" w:rsidR="00F95B95" w:rsidRDefault="00000000">
            <w:pPr>
              <w:spacing w:line="317" w:lineRule="auto"/>
            </w:pPr>
            <w:r>
              <w:rPr>
                <w:b/>
                <w:bCs/>
                <w:color w:val="0B1118"/>
                <w:sz w:val="19"/>
                <w:szCs w:val="19"/>
              </w:rPr>
              <w:t>People, Process &amp; Continuous Validation</w:t>
            </w:r>
          </w:p>
        </w:tc>
        <w:tc>
          <w:tcPr>
            <w:tcW w:w="6460" w:type="dxa"/>
            <w:shd w:val="clear" w:color="auto" w:fill="FFFFFF"/>
            <w:tcMar>
              <w:top w:w="90" w:type="dxa"/>
              <w:left w:w="110" w:type="dxa"/>
              <w:bottom w:w="90" w:type="dxa"/>
              <w:right w:w="110" w:type="dxa"/>
            </w:tcMar>
            <w:vAlign w:val="center"/>
          </w:tcPr>
          <w:p w14:paraId="3C542904" w14:textId="77777777" w:rsidR="00F95B95" w:rsidRDefault="00000000">
            <w:pPr>
              <w:spacing w:line="317" w:lineRule="auto"/>
            </w:pPr>
            <w:r>
              <w:rPr>
                <w:color w:val="0B1118"/>
                <w:sz w:val="19"/>
                <w:szCs w:val="19"/>
              </w:rPr>
              <w:t>Whether restore procedures are documented, tested on a schedule, and whose results feed back into ongoing improvement.</w:t>
            </w:r>
          </w:p>
        </w:tc>
      </w:tr>
    </w:tbl>
    <w:p w14:paraId="06ADB82E" w14:textId="77777777" w:rsidR="00F95B95" w:rsidRDefault="00F95B95">
      <w:pPr>
        <w:spacing w:after="120"/>
      </w:pPr>
    </w:p>
    <w:p w14:paraId="517F664C" w14:textId="77777777" w:rsidR="00F95B95" w:rsidRDefault="00000000">
      <w:pPr>
        <w:pStyle w:val="Heading2"/>
        <w:spacing w:before="280" w:after="140"/>
      </w:pPr>
      <w:r>
        <w:rPr>
          <w:b/>
          <w:bCs/>
          <w:color w:val="007A3D"/>
        </w:rPr>
        <w:t>2.2 Quick-reference summary</w:t>
      </w:r>
    </w:p>
    <w:p w14:paraId="1F84442F" w14:textId="77777777" w:rsidR="00F95B95" w:rsidRDefault="00000000">
      <w:pPr>
        <w:spacing w:after="160" w:line="288" w:lineRule="auto"/>
      </w:pPr>
      <w:r>
        <w:rPr>
          <w:color w:val="0B1118"/>
        </w:rPr>
        <w:lastRenderedPageBreak/>
        <w:t>A condensed view of all five levels across all seven dimensions follows on the next page in landscape orientation. Detailed narratives for each level begin in section 2.3.</w:t>
      </w:r>
    </w:p>
    <w:p w14:paraId="303878FF" w14:textId="77777777" w:rsidR="00F95B95" w:rsidRDefault="00000000">
      <w:r>
        <w:br w:type="page"/>
      </w:r>
    </w:p>
    <w:p w14:paraId="018691C7" w14:textId="77777777" w:rsidR="00F95B95" w:rsidRDefault="00F95B95">
      <w:pPr>
        <w:sectPr w:rsidR="00F95B95">
          <w:headerReference w:type="default" r:id="rId8"/>
          <w:footerReference w:type="default" r:id="rId9"/>
          <w:pgSz w:w="12240" w:h="15840"/>
          <w:pgMar w:top="900" w:right="1080" w:bottom="900" w:left="1080" w:header="708" w:footer="708" w:gutter="0"/>
          <w:cols w:space="720"/>
          <w:docGrid w:linePitch="360"/>
        </w:sectPr>
      </w:pPr>
    </w:p>
    <w:p w14:paraId="2293292E" w14:textId="77777777" w:rsidR="00F95B95" w:rsidRDefault="00000000">
      <w:pPr>
        <w:spacing w:after="160"/>
      </w:pPr>
      <w:r>
        <w:rPr>
          <w:b/>
          <w:bCs/>
          <w:color w:val="0B1118"/>
          <w:sz w:val="26"/>
          <w:szCs w:val="26"/>
        </w:rPr>
        <w:lastRenderedPageBreak/>
        <w:t>Maturity Model — Quick Reference</w:t>
      </w:r>
    </w:p>
    <w:tbl>
      <w:tblPr>
        <w:tblW w:w="1472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200"/>
        <w:gridCol w:w="2504"/>
        <w:gridCol w:w="2504"/>
        <w:gridCol w:w="2504"/>
        <w:gridCol w:w="2504"/>
        <w:gridCol w:w="2504"/>
      </w:tblGrid>
      <w:tr w:rsidR="00F95B95" w14:paraId="0ECD3A97" w14:textId="77777777">
        <w:tblPrEx>
          <w:tblCellMar>
            <w:top w:w="0" w:type="dxa"/>
            <w:bottom w:w="0" w:type="dxa"/>
          </w:tblCellMar>
        </w:tblPrEx>
        <w:trPr>
          <w:tblHeader/>
        </w:trPr>
        <w:tc>
          <w:tcPr>
            <w:tcW w:w="2200" w:type="dxa"/>
            <w:shd w:val="clear" w:color="auto" w:fill="1B1F23"/>
            <w:tcMar>
              <w:top w:w="90" w:type="dxa"/>
              <w:left w:w="110" w:type="dxa"/>
              <w:bottom w:w="90" w:type="dxa"/>
              <w:right w:w="110" w:type="dxa"/>
            </w:tcMar>
            <w:vAlign w:val="center"/>
          </w:tcPr>
          <w:p w14:paraId="029F91CC" w14:textId="77777777" w:rsidR="00F95B95" w:rsidRDefault="00000000">
            <w:pPr>
              <w:spacing w:line="317" w:lineRule="auto"/>
            </w:pPr>
            <w:r>
              <w:rPr>
                <w:b/>
                <w:bCs/>
                <w:color w:val="FFFFFF"/>
                <w:sz w:val="18"/>
                <w:szCs w:val="18"/>
              </w:rPr>
              <w:t>Dimension</w:t>
            </w:r>
          </w:p>
        </w:tc>
        <w:tc>
          <w:tcPr>
            <w:tcW w:w="2504" w:type="dxa"/>
            <w:shd w:val="clear" w:color="auto" w:fill="1B1F23"/>
            <w:tcMar>
              <w:top w:w="90" w:type="dxa"/>
              <w:left w:w="110" w:type="dxa"/>
              <w:bottom w:w="90" w:type="dxa"/>
              <w:right w:w="110" w:type="dxa"/>
            </w:tcMar>
            <w:vAlign w:val="center"/>
          </w:tcPr>
          <w:p w14:paraId="3EA8F40C" w14:textId="77777777" w:rsidR="00F95B95" w:rsidRDefault="00000000">
            <w:pPr>
              <w:spacing w:line="317" w:lineRule="auto"/>
            </w:pPr>
            <w:r>
              <w:rPr>
                <w:b/>
                <w:bCs/>
                <w:color w:val="FFFFFF"/>
                <w:sz w:val="18"/>
                <w:szCs w:val="18"/>
              </w:rPr>
              <w:t>L1 — Ad Hoc</w:t>
            </w:r>
          </w:p>
        </w:tc>
        <w:tc>
          <w:tcPr>
            <w:tcW w:w="2504" w:type="dxa"/>
            <w:shd w:val="clear" w:color="auto" w:fill="1B1F23"/>
            <w:tcMar>
              <w:top w:w="90" w:type="dxa"/>
              <w:left w:w="110" w:type="dxa"/>
              <w:bottom w:w="90" w:type="dxa"/>
              <w:right w:w="110" w:type="dxa"/>
            </w:tcMar>
            <w:vAlign w:val="center"/>
          </w:tcPr>
          <w:p w14:paraId="72A743A4" w14:textId="77777777" w:rsidR="00F95B95" w:rsidRDefault="00000000">
            <w:pPr>
              <w:spacing w:line="317" w:lineRule="auto"/>
            </w:pPr>
            <w:r>
              <w:rPr>
                <w:b/>
                <w:bCs/>
                <w:color w:val="FFFFFF"/>
                <w:sz w:val="18"/>
                <w:szCs w:val="18"/>
              </w:rPr>
              <w:t>L2 — Foundational</w:t>
            </w:r>
          </w:p>
        </w:tc>
        <w:tc>
          <w:tcPr>
            <w:tcW w:w="2504" w:type="dxa"/>
            <w:shd w:val="clear" w:color="auto" w:fill="1B1F23"/>
            <w:tcMar>
              <w:top w:w="90" w:type="dxa"/>
              <w:left w:w="110" w:type="dxa"/>
              <w:bottom w:w="90" w:type="dxa"/>
              <w:right w:w="110" w:type="dxa"/>
            </w:tcMar>
            <w:vAlign w:val="center"/>
          </w:tcPr>
          <w:p w14:paraId="15DAEA7C" w14:textId="77777777" w:rsidR="00F95B95" w:rsidRDefault="00000000">
            <w:pPr>
              <w:spacing w:line="317" w:lineRule="auto"/>
            </w:pPr>
            <w:r>
              <w:rPr>
                <w:b/>
                <w:bCs/>
                <w:color w:val="FFFFFF"/>
                <w:sz w:val="18"/>
                <w:szCs w:val="18"/>
              </w:rPr>
              <w:t>L3 — Managed</w:t>
            </w:r>
          </w:p>
        </w:tc>
        <w:tc>
          <w:tcPr>
            <w:tcW w:w="2504" w:type="dxa"/>
            <w:shd w:val="clear" w:color="auto" w:fill="1B1F23"/>
            <w:tcMar>
              <w:top w:w="90" w:type="dxa"/>
              <w:left w:w="110" w:type="dxa"/>
              <w:bottom w:w="90" w:type="dxa"/>
              <w:right w:w="110" w:type="dxa"/>
            </w:tcMar>
            <w:vAlign w:val="center"/>
          </w:tcPr>
          <w:p w14:paraId="0A624CED" w14:textId="77777777" w:rsidR="00F95B95" w:rsidRDefault="00000000">
            <w:pPr>
              <w:spacing w:line="317" w:lineRule="auto"/>
            </w:pPr>
            <w:r>
              <w:rPr>
                <w:b/>
                <w:bCs/>
                <w:color w:val="FFFFFF"/>
                <w:sz w:val="18"/>
                <w:szCs w:val="18"/>
              </w:rPr>
              <w:t>L4 — Resilient</w:t>
            </w:r>
          </w:p>
        </w:tc>
        <w:tc>
          <w:tcPr>
            <w:tcW w:w="2504" w:type="dxa"/>
            <w:shd w:val="clear" w:color="auto" w:fill="1B1F23"/>
            <w:tcMar>
              <w:top w:w="90" w:type="dxa"/>
              <w:left w:w="110" w:type="dxa"/>
              <w:bottom w:w="90" w:type="dxa"/>
              <w:right w:w="110" w:type="dxa"/>
            </w:tcMar>
            <w:vAlign w:val="center"/>
          </w:tcPr>
          <w:p w14:paraId="782DC436" w14:textId="77777777" w:rsidR="00F95B95" w:rsidRDefault="00000000">
            <w:pPr>
              <w:spacing w:line="317" w:lineRule="auto"/>
            </w:pPr>
            <w:r>
              <w:rPr>
                <w:b/>
                <w:bCs/>
                <w:color w:val="FFFFFF"/>
                <w:sz w:val="18"/>
                <w:szCs w:val="18"/>
              </w:rPr>
              <w:t>L5 — Adaptive</w:t>
            </w:r>
          </w:p>
        </w:tc>
      </w:tr>
      <w:tr w:rsidR="00F95B95" w14:paraId="012F7759"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724D66C7" w14:textId="77777777" w:rsidR="00F95B95" w:rsidRDefault="00000000">
            <w:pPr>
              <w:spacing w:line="317" w:lineRule="auto"/>
            </w:pPr>
            <w:r>
              <w:rPr>
                <w:b/>
                <w:bCs/>
                <w:color w:val="0B1118"/>
                <w:sz w:val="16"/>
                <w:szCs w:val="16"/>
              </w:rPr>
              <w:t>Coverage &amp; Policy Automation</w:t>
            </w:r>
          </w:p>
        </w:tc>
        <w:tc>
          <w:tcPr>
            <w:tcW w:w="2504" w:type="dxa"/>
            <w:shd w:val="clear" w:color="auto" w:fill="FFFFFF"/>
            <w:tcMar>
              <w:top w:w="90" w:type="dxa"/>
              <w:left w:w="110" w:type="dxa"/>
              <w:bottom w:w="90" w:type="dxa"/>
              <w:right w:w="110" w:type="dxa"/>
            </w:tcMar>
            <w:vAlign w:val="center"/>
          </w:tcPr>
          <w:p w14:paraId="1E6CDBC7" w14:textId="77777777" w:rsidR="00F95B95" w:rsidRDefault="00000000">
            <w:pPr>
              <w:spacing w:line="317" w:lineRule="auto"/>
            </w:pPr>
            <w:r>
              <w:rPr>
                <w:color w:val="0B1118"/>
                <w:sz w:val="16"/>
                <w:szCs w:val="16"/>
              </w:rPr>
              <w:t>Manual, single cluster, no policy</w:t>
            </w:r>
          </w:p>
        </w:tc>
        <w:tc>
          <w:tcPr>
            <w:tcW w:w="2504" w:type="dxa"/>
            <w:shd w:val="clear" w:color="auto" w:fill="FFFFFF"/>
            <w:tcMar>
              <w:top w:w="90" w:type="dxa"/>
              <w:left w:w="110" w:type="dxa"/>
              <w:bottom w:w="90" w:type="dxa"/>
              <w:right w:w="110" w:type="dxa"/>
            </w:tcMar>
            <w:vAlign w:val="center"/>
          </w:tcPr>
          <w:p w14:paraId="513821F5" w14:textId="77777777" w:rsidR="00F95B95" w:rsidRDefault="00000000">
            <w:pPr>
              <w:spacing w:line="317" w:lineRule="auto"/>
            </w:pPr>
            <w:r>
              <w:rPr>
                <w:color w:val="0B1118"/>
                <w:sz w:val="16"/>
                <w:szCs w:val="16"/>
              </w:rPr>
              <w:t>Scheduled policies, manual selection</w:t>
            </w:r>
          </w:p>
        </w:tc>
        <w:tc>
          <w:tcPr>
            <w:tcW w:w="2504" w:type="dxa"/>
            <w:shd w:val="clear" w:color="auto" w:fill="FFFFFF"/>
            <w:tcMar>
              <w:top w:w="90" w:type="dxa"/>
              <w:left w:w="110" w:type="dxa"/>
              <w:bottom w:w="90" w:type="dxa"/>
              <w:right w:w="110" w:type="dxa"/>
            </w:tcMar>
            <w:vAlign w:val="center"/>
          </w:tcPr>
          <w:p w14:paraId="717B8479" w14:textId="77777777" w:rsidR="00F95B95" w:rsidRDefault="00000000">
            <w:pPr>
              <w:spacing w:line="317" w:lineRule="auto"/>
            </w:pPr>
            <w:r>
              <w:rPr>
                <w:color w:val="0B1118"/>
                <w:sz w:val="16"/>
                <w:szCs w:val="16"/>
              </w:rPr>
              <w:t>Label/namespace-driven automatic coverage</w:t>
            </w:r>
          </w:p>
        </w:tc>
        <w:tc>
          <w:tcPr>
            <w:tcW w:w="2504" w:type="dxa"/>
            <w:shd w:val="clear" w:color="auto" w:fill="FFFFFF"/>
            <w:tcMar>
              <w:top w:w="90" w:type="dxa"/>
              <w:left w:w="110" w:type="dxa"/>
              <w:bottom w:w="90" w:type="dxa"/>
              <w:right w:w="110" w:type="dxa"/>
            </w:tcMar>
            <w:vAlign w:val="center"/>
          </w:tcPr>
          <w:p w14:paraId="2A96194F" w14:textId="77777777" w:rsidR="00F95B95" w:rsidRDefault="00000000">
            <w:pPr>
              <w:spacing w:line="317" w:lineRule="auto"/>
            </w:pPr>
            <w:r>
              <w:rPr>
                <w:color w:val="0B1118"/>
                <w:sz w:val="16"/>
                <w:szCs w:val="16"/>
              </w:rPr>
              <w:t>Fleet-wide, tier-based standardization</w:t>
            </w:r>
          </w:p>
        </w:tc>
        <w:tc>
          <w:tcPr>
            <w:tcW w:w="2504" w:type="dxa"/>
            <w:shd w:val="clear" w:color="auto" w:fill="FFFFFF"/>
            <w:tcMar>
              <w:top w:w="90" w:type="dxa"/>
              <w:left w:w="110" w:type="dxa"/>
              <w:bottom w:w="90" w:type="dxa"/>
              <w:right w:w="110" w:type="dxa"/>
            </w:tcMar>
            <w:vAlign w:val="center"/>
          </w:tcPr>
          <w:p w14:paraId="5B55AF35" w14:textId="77777777" w:rsidR="00F95B95" w:rsidRDefault="00000000">
            <w:pPr>
              <w:spacing w:line="317" w:lineRule="auto"/>
            </w:pPr>
            <w:r>
              <w:rPr>
                <w:color w:val="0B1118"/>
                <w:sz w:val="16"/>
                <w:szCs w:val="16"/>
              </w:rPr>
              <w:t>Zero-touch onboarding, continuously tuned</w:t>
            </w:r>
          </w:p>
        </w:tc>
      </w:tr>
      <w:tr w:rsidR="00F95B95" w14:paraId="7516286A" w14:textId="77777777">
        <w:tblPrEx>
          <w:tblCellMar>
            <w:top w:w="0" w:type="dxa"/>
            <w:bottom w:w="0" w:type="dxa"/>
          </w:tblCellMar>
        </w:tblPrEx>
        <w:tc>
          <w:tcPr>
            <w:tcW w:w="2200" w:type="dxa"/>
            <w:shd w:val="clear" w:color="auto" w:fill="EEF2F1"/>
            <w:tcMar>
              <w:top w:w="90" w:type="dxa"/>
              <w:left w:w="110" w:type="dxa"/>
              <w:bottom w:w="90" w:type="dxa"/>
              <w:right w:w="110" w:type="dxa"/>
            </w:tcMar>
            <w:vAlign w:val="center"/>
          </w:tcPr>
          <w:p w14:paraId="150244D0" w14:textId="77777777" w:rsidR="00F95B95" w:rsidRDefault="00000000">
            <w:pPr>
              <w:spacing w:line="317" w:lineRule="auto"/>
            </w:pPr>
            <w:r>
              <w:rPr>
                <w:b/>
                <w:bCs/>
                <w:color w:val="0B1118"/>
                <w:sz w:val="16"/>
                <w:szCs w:val="16"/>
              </w:rPr>
              <w:t>Application Consistency</w:t>
            </w:r>
          </w:p>
        </w:tc>
        <w:tc>
          <w:tcPr>
            <w:tcW w:w="2504" w:type="dxa"/>
            <w:shd w:val="clear" w:color="auto" w:fill="EEF2F1"/>
            <w:tcMar>
              <w:top w:w="90" w:type="dxa"/>
              <w:left w:w="110" w:type="dxa"/>
              <w:bottom w:w="90" w:type="dxa"/>
              <w:right w:w="110" w:type="dxa"/>
            </w:tcMar>
            <w:vAlign w:val="center"/>
          </w:tcPr>
          <w:p w14:paraId="13168AE0" w14:textId="77777777" w:rsidR="00F95B95" w:rsidRDefault="00000000">
            <w:pPr>
              <w:spacing w:line="317" w:lineRule="auto"/>
            </w:pPr>
            <w:r>
              <w:rPr>
                <w:color w:val="0B1118"/>
                <w:sz w:val="16"/>
                <w:szCs w:val="16"/>
              </w:rPr>
              <w:t>Crash-consistent only</w:t>
            </w:r>
          </w:p>
        </w:tc>
        <w:tc>
          <w:tcPr>
            <w:tcW w:w="2504" w:type="dxa"/>
            <w:shd w:val="clear" w:color="auto" w:fill="EEF2F1"/>
            <w:tcMar>
              <w:top w:w="90" w:type="dxa"/>
              <w:left w:w="110" w:type="dxa"/>
              <w:bottom w:w="90" w:type="dxa"/>
              <w:right w:w="110" w:type="dxa"/>
            </w:tcMar>
            <w:vAlign w:val="center"/>
          </w:tcPr>
          <w:p w14:paraId="62DA71E7" w14:textId="77777777" w:rsidR="00F95B95" w:rsidRDefault="00000000">
            <w:pPr>
              <w:spacing w:line="317" w:lineRule="auto"/>
            </w:pPr>
            <w:r>
              <w:rPr>
                <w:color w:val="0B1118"/>
                <w:sz w:val="16"/>
                <w:szCs w:val="16"/>
              </w:rPr>
              <w:t>Awareness, not yet applied</w:t>
            </w:r>
          </w:p>
        </w:tc>
        <w:tc>
          <w:tcPr>
            <w:tcW w:w="2504" w:type="dxa"/>
            <w:shd w:val="clear" w:color="auto" w:fill="EEF2F1"/>
            <w:tcMar>
              <w:top w:w="90" w:type="dxa"/>
              <w:left w:w="110" w:type="dxa"/>
              <w:bottom w:w="90" w:type="dxa"/>
              <w:right w:w="110" w:type="dxa"/>
            </w:tcMar>
            <w:vAlign w:val="center"/>
          </w:tcPr>
          <w:p w14:paraId="715087CA" w14:textId="77777777" w:rsidR="00F95B95" w:rsidRDefault="00000000">
            <w:pPr>
              <w:spacing w:line="317" w:lineRule="auto"/>
            </w:pPr>
            <w:r>
              <w:rPr>
                <w:color w:val="0B1118"/>
                <w:sz w:val="16"/>
                <w:szCs w:val="16"/>
              </w:rPr>
              <w:t>Kanister Blueprints on key databases</w:t>
            </w:r>
          </w:p>
        </w:tc>
        <w:tc>
          <w:tcPr>
            <w:tcW w:w="2504" w:type="dxa"/>
            <w:shd w:val="clear" w:color="auto" w:fill="EEF2F1"/>
            <w:tcMar>
              <w:top w:w="90" w:type="dxa"/>
              <w:left w:w="110" w:type="dxa"/>
              <w:bottom w:w="90" w:type="dxa"/>
              <w:right w:w="110" w:type="dxa"/>
            </w:tcMar>
            <w:vAlign w:val="center"/>
          </w:tcPr>
          <w:p w14:paraId="397642F3" w14:textId="77777777" w:rsidR="00F95B95" w:rsidRDefault="00000000">
            <w:pPr>
              <w:spacing w:line="317" w:lineRule="auto"/>
            </w:pPr>
            <w:r>
              <w:rPr>
                <w:color w:val="0B1118"/>
                <w:sz w:val="16"/>
                <w:szCs w:val="16"/>
              </w:rPr>
              <w:t>App-consistent is the default, tested end-to-end</w:t>
            </w:r>
          </w:p>
        </w:tc>
        <w:tc>
          <w:tcPr>
            <w:tcW w:w="2504" w:type="dxa"/>
            <w:shd w:val="clear" w:color="auto" w:fill="EEF2F1"/>
            <w:tcMar>
              <w:top w:w="90" w:type="dxa"/>
              <w:left w:w="110" w:type="dxa"/>
              <w:bottom w:w="90" w:type="dxa"/>
              <w:right w:w="110" w:type="dxa"/>
            </w:tcMar>
            <w:vAlign w:val="center"/>
          </w:tcPr>
          <w:p w14:paraId="08F333C8" w14:textId="77777777" w:rsidR="00F95B95" w:rsidRDefault="00000000">
            <w:pPr>
              <w:spacing w:line="317" w:lineRule="auto"/>
            </w:pPr>
            <w:r>
              <w:rPr>
                <w:color w:val="0B1118"/>
                <w:sz w:val="16"/>
                <w:szCs w:val="16"/>
              </w:rPr>
              <w:t>In-house Blueprint library, custom apps onboarded</w:t>
            </w:r>
          </w:p>
        </w:tc>
      </w:tr>
      <w:tr w:rsidR="00F95B95" w14:paraId="32CF5F78"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6E196384" w14:textId="77777777" w:rsidR="00F95B95" w:rsidRDefault="00000000">
            <w:pPr>
              <w:spacing w:line="317" w:lineRule="auto"/>
            </w:pPr>
            <w:r>
              <w:rPr>
                <w:b/>
                <w:bCs/>
                <w:color w:val="0B1118"/>
                <w:sz w:val="16"/>
                <w:szCs w:val="16"/>
              </w:rPr>
              <w:t>Storage, Immutability &amp; Security</w:t>
            </w:r>
          </w:p>
        </w:tc>
        <w:tc>
          <w:tcPr>
            <w:tcW w:w="2504" w:type="dxa"/>
            <w:shd w:val="clear" w:color="auto" w:fill="FFFFFF"/>
            <w:tcMar>
              <w:top w:w="90" w:type="dxa"/>
              <w:left w:w="110" w:type="dxa"/>
              <w:bottom w:w="90" w:type="dxa"/>
              <w:right w:w="110" w:type="dxa"/>
            </w:tcMar>
            <w:vAlign w:val="center"/>
          </w:tcPr>
          <w:p w14:paraId="5F0BA647" w14:textId="77777777" w:rsidR="00F95B95" w:rsidRDefault="00000000">
            <w:pPr>
              <w:spacing w:line="317" w:lineRule="auto"/>
            </w:pPr>
            <w:r>
              <w:rPr>
                <w:color w:val="0B1118"/>
                <w:sz w:val="16"/>
                <w:szCs w:val="16"/>
              </w:rPr>
              <w:t>Local only, no offsite copy</w:t>
            </w:r>
          </w:p>
        </w:tc>
        <w:tc>
          <w:tcPr>
            <w:tcW w:w="2504" w:type="dxa"/>
            <w:shd w:val="clear" w:color="auto" w:fill="FFFFFF"/>
            <w:tcMar>
              <w:top w:w="90" w:type="dxa"/>
              <w:left w:w="110" w:type="dxa"/>
              <w:bottom w:w="90" w:type="dxa"/>
              <w:right w:w="110" w:type="dxa"/>
            </w:tcMar>
            <w:vAlign w:val="center"/>
          </w:tcPr>
          <w:p w14:paraId="5CF6DE36" w14:textId="77777777" w:rsidR="00F95B95" w:rsidRDefault="00000000">
            <w:pPr>
              <w:spacing w:line="317" w:lineRule="auto"/>
            </w:pPr>
            <w:r>
              <w:rPr>
                <w:color w:val="0B1118"/>
                <w:sz w:val="16"/>
                <w:szCs w:val="16"/>
              </w:rPr>
              <w:t>One offsite, immutable target</w:t>
            </w:r>
          </w:p>
        </w:tc>
        <w:tc>
          <w:tcPr>
            <w:tcW w:w="2504" w:type="dxa"/>
            <w:shd w:val="clear" w:color="auto" w:fill="FFFFFF"/>
            <w:tcMar>
              <w:top w:w="90" w:type="dxa"/>
              <w:left w:w="110" w:type="dxa"/>
              <w:bottom w:w="90" w:type="dxa"/>
              <w:right w:w="110" w:type="dxa"/>
            </w:tcMar>
            <w:vAlign w:val="center"/>
          </w:tcPr>
          <w:p w14:paraId="05B7B774" w14:textId="77777777" w:rsidR="00F95B95" w:rsidRDefault="00000000">
            <w:pPr>
              <w:spacing w:line="317" w:lineRule="auto"/>
            </w:pPr>
            <w:r>
              <w:rPr>
                <w:color w:val="0B1118"/>
                <w:sz w:val="16"/>
                <w:szCs w:val="16"/>
              </w:rPr>
              <w:t>Multiple profiles, fleet-wide immutability</w:t>
            </w:r>
          </w:p>
        </w:tc>
        <w:tc>
          <w:tcPr>
            <w:tcW w:w="2504" w:type="dxa"/>
            <w:shd w:val="clear" w:color="auto" w:fill="FFFFFF"/>
            <w:tcMar>
              <w:top w:w="90" w:type="dxa"/>
              <w:left w:w="110" w:type="dxa"/>
              <w:bottom w:w="90" w:type="dxa"/>
              <w:right w:w="110" w:type="dxa"/>
            </w:tcMar>
            <w:vAlign w:val="center"/>
          </w:tcPr>
          <w:p w14:paraId="74059DF3" w14:textId="77777777" w:rsidR="00F95B95" w:rsidRDefault="00000000">
            <w:pPr>
              <w:spacing w:line="317" w:lineRule="auto"/>
            </w:pPr>
            <w:r>
              <w:rPr>
                <w:color w:val="0B1118"/>
                <w:sz w:val="16"/>
                <w:szCs w:val="16"/>
              </w:rPr>
              <w:t>BYOK/CMEK, lifecycle cost management</w:t>
            </w:r>
          </w:p>
        </w:tc>
        <w:tc>
          <w:tcPr>
            <w:tcW w:w="2504" w:type="dxa"/>
            <w:shd w:val="clear" w:color="auto" w:fill="FFFFFF"/>
            <w:tcMar>
              <w:top w:w="90" w:type="dxa"/>
              <w:left w:w="110" w:type="dxa"/>
              <w:bottom w:w="90" w:type="dxa"/>
              <w:right w:w="110" w:type="dxa"/>
            </w:tcMar>
            <w:vAlign w:val="center"/>
          </w:tcPr>
          <w:p w14:paraId="1689780E" w14:textId="77777777" w:rsidR="00F95B95" w:rsidRDefault="00000000">
            <w:pPr>
              <w:spacing w:line="317" w:lineRule="auto"/>
            </w:pPr>
            <w:r>
              <w:rPr>
                <w:color w:val="0B1118"/>
                <w:sz w:val="16"/>
                <w:szCs w:val="16"/>
              </w:rPr>
              <w:t>SIEM anomaly detection, FinOps-optimized</w:t>
            </w:r>
          </w:p>
        </w:tc>
      </w:tr>
      <w:tr w:rsidR="00F95B95" w14:paraId="6CD1EE72" w14:textId="77777777">
        <w:tblPrEx>
          <w:tblCellMar>
            <w:top w:w="0" w:type="dxa"/>
            <w:bottom w:w="0" w:type="dxa"/>
          </w:tblCellMar>
        </w:tblPrEx>
        <w:tc>
          <w:tcPr>
            <w:tcW w:w="2200" w:type="dxa"/>
            <w:shd w:val="clear" w:color="auto" w:fill="EEF2F1"/>
            <w:tcMar>
              <w:top w:w="90" w:type="dxa"/>
              <w:left w:w="110" w:type="dxa"/>
              <w:bottom w:w="90" w:type="dxa"/>
              <w:right w:w="110" w:type="dxa"/>
            </w:tcMar>
            <w:vAlign w:val="center"/>
          </w:tcPr>
          <w:p w14:paraId="588E42C7" w14:textId="77777777" w:rsidR="00F95B95" w:rsidRDefault="00000000">
            <w:pPr>
              <w:spacing w:line="317" w:lineRule="auto"/>
            </w:pPr>
            <w:r>
              <w:rPr>
                <w:b/>
                <w:bCs/>
                <w:color w:val="0B1118"/>
                <w:sz w:val="16"/>
                <w:szCs w:val="16"/>
              </w:rPr>
              <w:t>Centralized Management &amp; Multi-Cluster</w:t>
            </w:r>
          </w:p>
        </w:tc>
        <w:tc>
          <w:tcPr>
            <w:tcW w:w="2504" w:type="dxa"/>
            <w:shd w:val="clear" w:color="auto" w:fill="EEF2F1"/>
            <w:tcMar>
              <w:top w:w="90" w:type="dxa"/>
              <w:left w:w="110" w:type="dxa"/>
              <w:bottom w:w="90" w:type="dxa"/>
              <w:right w:w="110" w:type="dxa"/>
            </w:tcMar>
            <w:vAlign w:val="center"/>
          </w:tcPr>
          <w:p w14:paraId="64A4B15F" w14:textId="77777777" w:rsidR="00F95B95" w:rsidRDefault="00000000">
            <w:pPr>
              <w:spacing w:line="317" w:lineRule="auto"/>
            </w:pPr>
            <w:r>
              <w:rPr>
                <w:color w:val="0B1118"/>
                <w:sz w:val="16"/>
                <w:szCs w:val="16"/>
              </w:rPr>
              <w:t>Single K10 instance</w:t>
            </w:r>
          </w:p>
        </w:tc>
        <w:tc>
          <w:tcPr>
            <w:tcW w:w="2504" w:type="dxa"/>
            <w:shd w:val="clear" w:color="auto" w:fill="EEF2F1"/>
            <w:tcMar>
              <w:top w:w="90" w:type="dxa"/>
              <w:left w:w="110" w:type="dxa"/>
              <w:bottom w:w="90" w:type="dxa"/>
              <w:right w:w="110" w:type="dxa"/>
            </w:tcMar>
            <w:vAlign w:val="center"/>
          </w:tcPr>
          <w:p w14:paraId="1D3564A1" w14:textId="77777777" w:rsidR="00F95B95" w:rsidRDefault="00000000">
            <w:pPr>
              <w:spacing w:line="317" w:lineRule="auto"/>
            </w:pPr>
            <w:r>
              <w:rPr>
                <w:color w:val="0B1118"/>
                <w:sz w:val="16"/>
                <w:szCs w:val="16"/>
              </w:rPr>
              <w:t>Single-cluster, independently operated</w:t>
            </w:r>
          </w:p>
        </w:tc>
        <w:tc>
          <w:tcPr>
            <w:tcW w:w="2504" w:type="dxa"/>
            <w:shd w:val="clear" w:color="auto" w:fill="EEF2F1"/>
            <w:tcMar>
              <w:top w:w="90" w:type="dxa"/>
              <w:left w:w="110" w:type="dxa"/>
              <w:bottom w:w="90" w:type="dxa"/>
              <w:right w:w="110" w:type="dxa"/>
            </w:tcMar>
            <w:vAlign w:val="center"/>
          </w:tcPr>
          <w:p w14:paraId="2462232C" w14:textId="77777777" w:rsidR="00F95B95" w:rsidRDefault="00000000">
            <w:pPr>
              <w:spacing w:line="317" w:lineRule="auto"/>
            </w:pPr>
            <w:r>
              <w:rPr>
                <w:color w:val="0B1118"/>
                <w:sz w:val="16"/>
                <w:szCs w:val="16"/>
              </w:rPr>
              <w:t>MCM deployed, global policies/profiles</w:t>
            </w:r>
          </w:p>
        </w:tc>
        <w:tc>
          <w:tcPr>
            <w:tcW w:w="2504" w:type="dxa"/>
            <w:shd w:val="clear" w:color="auto" w:fill="EEF2F1"/>
            <w:tcMar>
              <w:top w:w="90" w:type="dxa"/>
              <w:left w:w="110" w:type="dxa"/>
              <w:bottom w:w="90" w:type="dxa"/>
              <w:right w:w="110" w:type="dxa"/>
            </w:tcMar>
            <w:vAlign w:val="center"/>
          </w:tcPr>
          <w:p w14:paraId="63EC08AD" w14:textId="77777777" w:rsidR="00F95B95" w:rsidRDefault="00000000">
            <w:pPr>
              <w:spacing w:line="317" w:lineRule="auto"/>
            </w:pPr>
            <w:r>
              <w:rPr>
                <w:color w:val="0B1118"/>
                <w:sz w:val="16"/>
                <w:szCs w:val="16"/>
              </w:rPr>
              <w:t>Full fleet incl. edge/air-gapped, centrally governed</w:t>
            </w:r>
          </w:p>
        </w:tc>
        <w:tc>
          <w:tcPr>
            <w:tcW w:w="2504" w:type="dxa"/>
            <w:shd w:val="clear" w:color="auto" w:fill="EEF2F1"/>
            <w:tcMar>
              <w:top w:w="90" w:type="dxa"/>
              <w:left w:w="110" w:type="dxa"/>
              <w:bottom w:w="90" w:type="dxa"/>
              <w:right w:w="110" w:type="dxa"/>
            </w:tcMar>
            <w:vAlign w:val="center"/>
          </w:tcPr>
          <w:p w14:paraId="7115CFCD" w14:textId="77777777" w:rsidR="00F95B95" w:rsidRDefault="00000000">
            <w:pPr>
              <w:spacing w:line="317" w:lineRule="auto"/>
            </w:pPr>
            <w:r>
              <w:rPr>
                <w:color w:val="0B1118"/>
                <w:sz w:val="16"/>
                <w:szCs w:val="16"/>
              </w:rPr>
              <w:t>Self-service, namespace-scoped restore</w:t>
            </w:r>
          </w:p>
        </w:tc>
      </w:tr>
      <w:tr w:rsidR="00F95B95" w14:paraId="3C0D26A9"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4CB578BC" w14:textId="77777777" w:rsidR="00F95B95" w:rsidRDefault="00000000">
            <w:pPr>
              <w:spacing w:line="317" w:lineRule="auto"/>
            </w:pPr>
            <w:r>
              <w:rPr>
                <w:b/>
                <w:bCs/>
                <w:color w:val="0B1118"/>
                <w:sz w:val="16"/>
                <w:szCs w:val="16"/>
              </w:rPr>
              <w:t>Disaster Recovery</w:t>
            </w:r>
          </w:p>
        </w:tc>
        <w:tc>
          <w:tcPr>
            <w:tcW w:w="2504" w:type="dxa"/>
            <w:shd w:val="clear" w:color="auto" w:fill="FFFFFF"/>
            <w:tcMar>
              <w:top w:w="90" w:type="dxa"/>
              <w:left w:w="110" w:type="dxa"/>
              <w:bottom w:w="90" w:type="dxa"/>
              <w:right w:w="110" w:type="dxa"/>
            </w:tcMar>
            <w:vAlign w:val="center"/>
          </w:tcPr>
          <w:p w14:paraId="68E59EBC" w14:textId="77777777" w:rsidR="00F95B95" w:rsidRDefault="00000000">
            <w:pPr>
              <w:spacing w:line="317" w:lineRule="auto"/>
            </w:pPr>
            <w:r>
              <w:rPr>
                <w:color w:val="0B1118"/>
                <w:sz w:val="16"/>
                <w:szCs w:val="16"/>
              </w:rPr>
              <w:t>No DR plan</w:t>
            </w:r>
          </w:p>
        </w:tc>
        <w:tc>
          <w:tcPr>
            <w:tcW w:w="2504" w:type="dxa"/>
            <w:shd w:val="clear" w:color="auto" w:fill="FFFFFF"/>
            <w:tcMar>
              <w:top w:w="90" w:type="dxa"/>
              <w:left w:w="110" w:type="dxa"/>
              <w:bottom w:w="90" w:type="dxa"/>
              <w:right w:w="110" w:type="dxa"/>
            </w:tcMar>
            <w:vAlign w:val="center"/>
          </w:tcPr>
          <w:p w14:paraId="4C07755A" w14:textId="77777777" w:rsidR="00F95B95" w:rsidRDefault="00000000">
            <w:pPr>
              <w:spacing w:line="317" w:lineRule="auto"/>
            </w:pPr>
            <w:r>
              <w:rPr>
                <w:color w:val="0B1118"/>
                <w:sz w:val="16"/>
                <w:szCs w:val="16"/>
              </w:rPr>
              <w:t>Export-only rebuild-and-restore</w:t>
            </w:r>
          </w:p>
        </w:tc>
        <w:tc>
          <w:tcPr>
            <w:tcW w:w="2504" w:type="dxa"/>
            <w:shd w:val="clear" w:color="auto" w:fill="FFFFFF"/>
            <w:tcMar>
              <w:top w:w="90" w:type="dxa"/>
              <w:left w:w="110" w:type="dxa"/>
              <w:bottom w:w="90" w:type="dxa"/>
              <w:right w:w="110" w:type="dxa"/>
            </w:tcMar>
            <w:vAlign w:val="center"/>
          </w:tcPr>
          <w:p w14:paraId="552DDC7B" w14:textId="77777777" w:rsidR="00F95B95" w:rsidRDefault="00000000">
            <w:pPr>
              <w:spacing w:line="317" w:lineRule="auto"/>
            </w:pPr>
            <w:r>
              <w:rPr>
                <w:color w:val="0B1118"/>
                <w:sz w:val="16"/>
                <w:szCs w:val="16"/>
              </w:rPr>
              <w:t>DR environment with Import Policy</w:t>
            </w:r>
          </w:p>
        </w:tc>
        <w:tc>
          <w:tcPr>
            <w:tcW w:w="2504" w:type="dxa"/>
            <w:shd w:val="clear" w:color="auto" w:fill="FFFFFF"/>
            <w:tcMar>
              <w:top w:w="90" w:type="dxa"/>
              <w:left w:w="110" w:type="dxa"/>
              <w:bottom w:w="90" w:type="dxa"/>
              <w:right w:w="110" w:type="dxa"/>
            </w:tcMar>
            <w:vAlign w:val="center"/>
          </w:tcPr>
          <w:p w14:paraId="5B702BE8" w14:textId="77777777" w:rsidR="00F95B95" w:rsidRDefault="00000000">
            <w:pPr>
              <w:spacing w:line="317" w:lineRule="auto"/>
            </w:pPr>
            <w:r>
              <w:rPr>
                <w:color w:val="0B1118"/>
                <w:sz w:val="16"/>
                <w:szCs w:val="16"/>
              </w:rPr>
              <w:t>KDR enabled, tiered cold/warm standby, drills scheduled</w:t>
            </w:r>
          </w:p>
        </w:tc>
        <w:tc>
          <w:tcPr>
            <w:tcW w:w="2504" w:type="dxa"/>
            <w:shd w:val="clear" w:color="auto" w:fill="FFFFFF"/>
            <w:tcMar>
              <w:top w:w="90" w:type="dxa"/>
              <w:left w:w="110" w:type="dxa"/>
              <w:bottom w:w="90" w:type="dxa"/>
              <w:right w:w="110" w:type="dxa"/>
            </w:tcMar>
            <w:vAlign w:val="center"/>
          </w:tcPr>
          <w:p w14:paraId="79513939" w14:textId="77777777" w:rsidR="00F95B95" w:rsidRDefault="00000000">
            <w:pPr>
              <w:spacing w:line="317" w:lineRule="auto"/>
            </w:pPr>
            <w:r>
              <w:rPr>
                <w:color w:val="0B1118"/>
                <w:sz w:val="16"/>
                <w:szCs w:val="16"/>
              </w:rPr>
              <w:t>Automated game-days, continuous RTO/RPO benchmarking</w:t>
            </w:r>
          </w:p>
        </w:tc>
      </w:tr>
      <w:tr w:rsidR="00F95B95" w14:paraId="539CAF6F" w14:textId="77777777">
        <w:tblPrEx>
          <w:tblCellMar>
            <w:top w:w="0" w:type="dxa"/>
            <w:bottom w:w="0" w:type="dxa"/>
          </w:tblCellMar>
        </w:tblPrEx>
        <w:tc>
          <w:tcPr>
            <w:tcW w:w="2200" w:type="dxa"/>
            <w:shd w:val="clear" w:color="auto" w:fill="EEF2F1"/>
            <w:tcMar>
              <w:top w:w="90" w:type="dxa"/>
              <w:left w:w="110" w:type="dxa"/>
              <w:bottom w:w="90" w:type="dxa"/>
              <w:right w:w="110" w:type="dxa"/>
            </w:tcMar>
            <w:vAlign w:val="center"/>
          </w:tcPr>
          <w:p w14:paraId="5F90EAE6" w14:textId="77777777" w:rsidR="00F95B95" w:rsidRDefault="00000000">
            <w:pPr>
              <w:spacing w:line="317" w:lineRule="auto"/>
            </w:pPr>
            <w:r>
              <w:rPr>
                <w:b/>
                <w:bCs/>
                <w:color w:val="0B1118"/>
                <w:sz w:val="16"/>
                <w:szCs w:val="16"/>
              </w:rPr>
              <w:t>Observability, Compliance &amp; Reporting</w:t>
            </w:r>
          </w:p>
        </w:tc>
        <w:tc>
          <w:tcPr>
            <w:tcW w:w="2504" w:type="dxa"/>
            <w:shd w:val="clear" w:color="auto" w:fill="EEF2F1"/>
            <w:tcMar>
              <w:top w:w="90" w:type="dxa"/>
              <w:left w:w="110" w:type="dxa"/>
              <w:bottom w:w="90" w:type="dxa"/>
              <w:right w:w="110" w:type="dxa"/>
            </w:tcMar>
            <w:vAlign w:val="center"/>
          </w:tcPr>
          <w:p w14:paraId="55905AA9" w14:textId="77777777" w:rsidR="00F95B95" w:rsidRDefault="00000000">
            <w:pPr>
              <w:spacing w:line="317" w:lineRule="auto"/>
            </w:pPr>
            <w:r>
              <w:rPr>
                <w:color w:val="0B1118"/>
                <w:sz w:val="16"/>
                <w:szCs w:val="16"/>
              </w:rPr>
              <w:t>No monitoring</w:t>
            </w:r>
          </w:p>
        </w:tc>
        <w:tc>
          <w:tcPr>
            <w:tcW w:w="2504" w:type="dxa"/>
            <w:shd w:val="clear" w:color="auto" w:fill="EEF2F1"/>
            <w:tcMar>
              <w:top w:w="90" w:type="dxa"/>
              <w:left w:w="110" w:type="dxa"/>
              <w:bottom w:w="90" w:type="dxa"/>
              <w:right w:w="110" w:type="dxa"/>
            </w:tcMar>
            <w:vAlign w:val="center"/>
          </w:tcPr>
          <w:p w14:paraId="1DF2EED2" w14:textId="77777777" w:rsidR="00F95B95" w:rsidRDefault="00000000">
            <w:pPr>
              <w:spacing w:line="317" w:lineRule="auto"/>
            </w:pPr>
            <w:r>
              <w:rPr>
                <w:color w:val="0B1118"/>
                <w:sz w:val="16"/>
                <w:szCs w:val="16"/>
              </w:rPr>
              <w:t>Manual dashboard review</w:t>
            </w:r>
          </w:p>
        </w:tc>
        <w:tc>
          <w:tcPr>
            <w:tcW w:w="2504" w:type="dxa"/>
            <w:shd w:val="clear" w:color="auto" w:fill="EEF2F1"/>
            <w:tcMar>
              <w:top w:w="90" w:type="dxa"/>
              <w:left w:w="110" w:type="dxa"/>
              <w:bottom w:w="90" w:type="dxa"/>
              <w:right w:w="110" w:type="dxa"/>
            </w:tcMar>
            <w:vAlign w:val="center"/>
          </w:tcPr>
          <w:p w14:paraId="0BC0B793" w14:textId="77777777" w:rsidR="00F95B95" w:rsidRDefault="00000000">
            <w:pPr>
              <w:spacing w:line="317" w:lineRule="auto"/>
            </w:pPr>
            <w:r>
              <w:rPr>
                <w:color w:val="0B1118"/>
                <w:sz w:val="16"/>
                <w:szCs w:val="16"/>
              </w:rPr>
              <w:t>Metrics + alerting integrated, coverage audits</w:t>
            </w:r>
          </w:p>
        </w:tc>
        <w:tc>
          <w:tcPr>
            <w:tcW w:w="2504" w:type="dxa"/>
            <w:shd w:val="clear" w:color="auto" w:fill="EEF2F1"/>
            <w:tcMar>
              <w:top w:w="90" w:type="dxa"/>
              <w:left w:w="110" w:type="dxa"/>
              <w:bottom w:w="90" w:type="dxa"/>
              <w:right w:w="110" w:type="dxa"/>
            </w:tcMar>
            <w:vAlign w:val="center"/>
          </w:tcPr>
          <w:p w14:paraId="7B4F283D" w14:textId="77777777" w:rsidR="00F95B95" w:rsidRDefault="00000000">
            <w:pPr>
              <w:spacing w:line="317" w:lineRule="auto"/>
            </w:pPr>
            <w:r>
              <w:rPr>
                <w:color w:val="0B1118"/>
                <w:sz w:val="16"/>
                <w:szCs w:val="16"/>
              </w:rPr>
              <w:t>Compliance reporting, coverage as governance metric</w:t>
            </w:r>
          </w:p>
        </w:tc>
        <w:tc>
          <w:tcPr>
            <w:tcW w:w="2504" w:type="dxa"/>
            <w:shd w:val="clear" w:color="auto" w:fill="EEF2F1"/>
            <w:tcMar>
              <w:top w:w="90" w:type="dxa"/>
              <w:left w:w="110" w:type="dxa"/>
              <w:bottom w:w="90" w:type="dxa"/>
              <w:right w:w="110" w:type="dxa"/>
            </w:tcMar>
            <w:vAlign w:val="center"/>
          </w:tcPr>
          <w:p w14:paraId="26C7A1F3" w14:textId="77777777" w:rsidR="00F95B95" w:rsidRDefault="00000000">
            <w:pPr>
              <w:spacing w:line="317" w:lineRule="auto"/>
            </w:pPr>
            <w:r>
              <w:rPr>
                <w:color w:val="0B1118"/>
                <w:sz w:val="16"/>
                <w:szCs w:val="16"/>
              </w:rPr>
              <w:t>Real-time compliance dashboards, proactive licensing</w:t>
            </w:r>
          </w:p>
        </w:tc>
      </w:tr>
      <w:tr w:rsidR="00F95B95" w14:paraId="2E3746E8" w14:textId="77777777">
        <w:tblPrEx>
          <w:tblCellMar>
            <w:top w:w="0" w:type="dxa"/>
            <w:bottom w:w="0" w:type="dxa"/>
          </w:tblCellMar>
        </w:tblPrEx>
        <w:tc>
          <w:tcPr>
            <w:tcW w:w="2200" w:type="dxa"/>
            <w:shd w:val="clear" w:color="auto" w:fill="FFFFFF"/>
            <w:tcMar>
              <w:top w:w="90" w:type="dxa"/>
              <w:left w:w="110" w:type="dxa"/>
              <w:bottom w:w="90" w:type="dxa"/>
              <w:right w:w="110" w:type="dxa"/>
            </w:tcMar>
            <w:vAlign w:val="center"/>
          </w:tcPr>
          <w:p w14:paraId="3D030C17" w14:textId="77777777" w:rsidR="00F95B95" w:rsidRDefault="00000000">
            <w:pPr>
              <w:spacing w:line="317" w:lineRule="auto"/>
            </w:pPr>
            <w:r>
              <w:rPr>
                <w:b/>
                <w:bCs/>
                <w:color w:val="0B1118"/>
                <w:sz w:val="16"/>
                <w:szCs w:val="16"/>
              </w:rPr>
              <w:t>People, Process &amp; Continuous Validation</w:t>
            </w:r>
          </w:p>
        </w:tc>
        <w:tc>
          <w:tcPr>
            <w:tcW w:w="2504" w:type="dxa"/>
            <w:shd w:val="clear" w:color="auto" w:fill="FFFFFF"/>
            <w:tcMar>
              <w:top w:w="90" w:type="dxa"/>
              <w:left w:w="110" w:type="dxa"/>
              <w:bottom w:w="90" w:type="dxa"/>
              <w:right w:w="110" w:type="dxa"/>
            </w:tcMar>
            <w:vAlign w:val="center"/>
          </w:tcPr>
          <w:p w14:paraId="38F3B53C" w14:textId="77777777" w:rsidR="00F95B95" w:rsidRDefault="00000000">
            <w:pPr>
              <w:spacing w:line="317" w:lineRule="auto"/>
            </w:pPr>
            <w:r>
              <w:rPr>
                <w:color w:val="0B1118"/>
                <w:sz w:val="16"/>
                <w:szCs w:val="16"/>
              </w:rPr>
              <w:t>No runbook, never restored</w:t>
            </w:r>
          </w:p>
        </w:tc>
        <w:tc>
          <w:tcPr>
            <w:tcW w:w="2504" w:type="dxa"/>
            <w:shd w:val="clear" w:color="auto" w:fill="FFFFFF"/>
            <w:tcMar>
              <w:top w:w="90" w:type="dxa"/>
              <w:left w:w="110" w:type="dxa"/>
              <w:bottom w:w="90" w:type="dxa"/>
              <w:right w:w="110" w:type="dxa"/>
            </w:tcMar>
            <w:vAlign w:val="center"/>
          </w:tcPr>
          <w:p w14:paraId="787C8155" w14:textId="77777777" w:rsidR="00F95B95" w:rsidRDefault="00000000">
            <w:pPr>
              <w:spacing w:line="317" w:lineRule="auto"/>
            </w:pPr>
            <w:r>
              <w:rPr>
                <w:color w:val="0B1118"/>
                <w:sz w:val="16"/>
                <w:szCs w:val="16"/>
              </w:rPr>
              <w:t>Owner identified, first restore proven</w:t>
            </w:r>
          </w:p>
        </w:tc>
        <w:tc>
          <w:tcPr>
            <w:tcW w:w="2504" w:type="dxa"/>
            <w:shd w:val="clear" w:color="auto" w:fill="FFFFFF"/>
            <w:tcMar>
              <w:top w:w="90" w:type="dxa"/>
              <w:left w:w="110" w:type="dxa"/>
              <w:bottom w:w="90" w:type="dxa"/>
              <w:right w:w="110" w:type="dxa"/>
            </w:tcMar>
            <w:vAlign w:val="center"/>
          </w:tcPr>
          <w:p w14:paraId="5B7A7F1B" w14:textId="77777777" w:rsidR="00F95B95" w:rsidRDefault="00000000">
            <w:pPr>
              <w:spacing w:line="317" w:lineRule="auto"/>
            </w:pPr>
            <w:r>
              <w:rPr>
                <w:color w:val="0B1118"/>
                <w:sz w:val="16"/>
                <w:szCs w:val="16"/>
              </w:rPr>
              <w:t>Documented, emerging review cadence</w:t>
            </w:r>
          </w:p>
        </w:tc>
        <w:tc>
          <w:tcPr>
            <w:tcW w:w="2504" w:type="dxa"/>
            <w:shd w:val="clear" w:color="auto" w:fill="FFFFFF"/>
            <w:tcMar>
              <w:top w:w="90" w:type="dxa"/>
              <w:left w:w="110" w:type="dxa"/>
              <w:bottom w:w="90" w:type="dxa"/>
              <w:right w:w="110" w:type="dxa"/>
            </w:tcMar>
            <w:vAlign w:val="center"/>
          </w:tcPr>
          <w:p w14:paraId="056B17F0" w14:textId="77777777" w:rsidR="00F95B95" w:rsidRDefault="00000000">
            <w:pPr>
              <w:spacing w:line="317" w:lineRule="auto"/>
            </w:pPr>
            <w:r>
              <w:rPr>
                <w:color w:val="0B1118"/>
                <w:sz w:val="16"/>
                <w:szCs w:val="16"/>
              </w:rPr>
              <w:t>Scheduled, documented recovery testing</w:t>
            </w:r>
          </w:p>
        </w:tc>
        <w:tc>
          <w:tcPr>
            <w:tcW w:w="2504" w:type="dxa"/>
            <w:shd w:val="clear" w:color="auto" w:fill="FFFFFF"/>
            <w:tcMar>
              <w:top w:w="90" w:type="dxa"/>
              <w:left w:w="110" w:type="dxa"/>
              <w:bottom w:w="90" w:type="dxa"/>
              <w:right w:w="110" w:type="dxa"/>
            </w:tcMar>
            <w:vAlign w:val="center"/>
          </w:tcPr>
          <w:p w14:paraId="7881FF97" w14:textId="77777777" w:rsidR="00F95B95" w:rsidRDefault="00000000">
            <w:pPr>
              <w:spacing w:line="317" w:lineRule="auto"/>
            </w:pPr>
            <w:r>
              <w:rPr>
                <w:color w:val="0B1118"/>
                <w:sz w:val="16"/>
                <w:szCs w:val="16"/>
              </w:rPr>
              <w:t>Continuous improvement loop, annual reassessment</w:t>
            </w:r>
          </w:p>
        </w:tc>
      </w:tr>
    </w:tbl>
    <w:p w14:paraId="19A80049" w14:textId="77777777" w:rsidR="00F95B95" w:rsidRDefault="00F95B95">
      <w:pPr>
        <w:sectPr w:rsidR="00F95B95">
          <w:pgSz w:w="15840" w:h="12240" w:orient="landscape"/>
          <w:pgMar w:top="720" w:right="560" w:bottom="720" w:left="560" w:header="708" w:footer="708" w:gutter="0"/>
          <w:cols w:space="720"/>
          <w:docGrid w:linePitch="360"/>
        </w:sectPr>
      </w:pPr>
    </w:p>
    <w:p w14:paraId="5D1FA75E" w14:textId="77777777" w:rsidR="00F95B95" w:rsidRDefault="00000000">
      <w:pPr>
        <w:pStyle w:val="Heading2"/>
        <w:spacing w:before="280" w:after="140"/>
      </w:pPr>
      <w:r>
        <w:rPr>
          <w:b/>
          <w:bCs/>
          <w:color w:val="007A3D"/>
        </w:rPr>
        <w:lastRenderedPageBreak/>
        <w:t>2.3 Level detail</w:t>
      </w:r>
    </w:p>
    <w:tbl>
      <w:tblPr>
        <w:tblW w:w="9360" w:type="dxa"/>
        <w:tblCellMar>
          <w:left w:w="10" w:type="dxa"/>
          <w:right w:w="10" w:type="dxa"/>
        </w:tblCellMar>
        <w:tblLook w:val="04A0" w:firstRow="1" w:lastRow="0" w:firstColumn="1" w:lastColumn="0" w:noHBand="0" w:noVBand="1"/>
      </w:tblPr>
      <w:tblGrid>
        <w:gridCol w:w="9360"/>
      </w:tblGrid>
      <w:tr w:rsidR="00F95B95" w14:paraId="1381C0B5" w14:textId="77777777">
        <w:tblPrEx>
          <w:tblCellMar>
            <w:top w:w="0" w:type="dxa"/>
            <w:bottom w:w="0" w:type="dxa"/>
          </w:tblCellMar>
        </w:tblPrEx>
        <w:tc>
          <w:tcPr>
            <w:tcW w:w="9360" w:type="dxa"/>
            <w:shd w:val="clear" w:color="auto" w:fill="D9E8E0"/>
            <w:tcMar>
              <w:top w:w="160" w:type="dxa"/>
              <w:left w:w="220" w:type="dxa"/>
              <w:bottom w:w="160" w:type="dxa"/>
              <w:right w:w="220" w:type="dxa"/>
            </w:tcMar>
          </w:tcPr>
          <w:p w14:paraId="2264997E" w14:textId="77777777" w:rsidR="00F95B95" w:rsidRDefault="00000000">
            <w:pPr>
              <w:spacing w:line="317" w:lineRule="auto"/>
            </w:pPr>
            <w:r>
              <w:rPr>
                <w:b/>
                <w:bCs/>
                <w:color w:val="0B1118"/>
                <w:sz w:val="28"/>
                <w:szCs w:val="28"/>
              </w:rPr>
              <w:t>Level 1 — Ad Hoc</w:t>
            </w:r>
          </w:p>
          <w:p w14:paraId="0861302C" w14:textId="77777777" w:rsidR="00F95B95" w:rsidRDefault="00000000">
            <w:pPr>
              <w:spacing w:before="60" w:line="317" w:lineRule="auto"/>
            </w:pPr>
            <w:r>
              <w:rPr>
                <w:i/>
                <w:iCs/>
                <w:color w:val="0B1118"/>
                <w:sz w:val="20"/>
                <w:szCs w:val="20"/>
              </w:rPr>
              <w:t>A Kasten instance exists, but protection is manual, inconsistent, and unproven. This is expected on day one — it becomes a risk if it persists.</w:t>
            </w:r>
          </w:p>
        </w:tc>
      </w:tr>
    </w:tbl>
    <w:p w14:paraId="73CAA67C" w14:textId="77777777" w:rsidR="00F95B95" w:rsidRDefault="00F95B95">
      <w:pPr>
        <w:spacing w:after="160"/>
      </w:pPr>
    </w:p>
    <w:tbl>
      <w:tblPr>
        <w:tblW w:w="936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600"/>
        <w:gridCol w:w="6760"/>
      </w:tblGrid>
      <w:tr w:rsidR="00F95B95" w14:paraId="496897BC" w14:textId="77777777">
        <w:tblPrEx>
          <w:tblCellMar>
            <w:top w:w="0" w:type="dxa"/>
            <w:bottom w:w="0" w:type="dxa"/>
          </w:tblCellMar>
        </w:tblPrEx>
        <w:trPr>
          <w:tblHeader/>
        </w:trPr>
        <w:tc>
          <w:tcPr>
            <w:tcW w:w="2600" w:type="dxa"/>
            <w:shd w:val="clear" w:color="auto" w:fill="1B1F23"/>
            <w:tcMar>
              <w:top w:w="90" w:type="dxa"/>
              <w:left w:w="110" w:type="dxa"/>
              <w:bottom w:w="90" w:type="dxa"/>
              <w:right w:w="110" w:type="dxa"/>
            </w:tcMar>
            <w:vAlign w:val="center"/>
          </w:tcPr>
          <w:p w14:paraId="4061CEDE" w14:textId="77777777" w:rsidR="00F95B95" w:rsidRDefault="00000000">
            <w:pPr>
              <w:spacing w:line="317" w:lineRule="auto"/>
            </w:pPr>
            <w:r>
              <w:rPr>
                <w:b/>
                <w:bCs/>
                <w:color w:val="FFFFFF"/>
                <w:sz w:val="19"/>
                <w:szCs w:val="19"/>
              </w:rPr>
              <w:t>Dimension</w:t>
            </w:r>
          </w:p>
        </w:tc>
        <w:tc>
          <w:tcPr>
            <w:tcW w:w="6760" w:type="dxa"/>
            <w:shd w:val="clear" w:color="auto" w:fill="1B1F23"/>
            <w:tcMar>
              <w:top w:w="90" w:type="dxa"/>
              <w:left w:w="110" w:type="dxa"/>
              <w:bottom w:w="90" w:type="dxa"/>
              <w:right w:w="110" w:type="dxa"/>
            </w:tcMar>
            <w:vAlign w:val="center"/>
          </w:tcPr>
          <w:p w14:paraId="034A032D" w14:textId="77777777" w:rsidR="00F95B95" w:rsidRDefault="00000000">
            <w:pPr>
              <w:spacing w:line="317" w:lineRule="auto"/>
            </w:pPr>
            <w:r>
              <w:rPr>
                <w:b/>
                <w:bCs/>
                <w:color w:val="FFFFFF"/>
                <w:sz w:val="19"/>
                <w:szCs w:val="19"/>
              </w:rPr>
              <w:t>What it looks like at this level</w:t>
            </w:r>
          </w:p>
        </w:tc>
      </w:tr>
      <w:tr w:rsidR="00F95B95" w14:paraId="2DCA905F"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4C91DE97" w14:textId="77777777" w:rsidR="00F95B95" w:rsidRDefault="00000000">
            <w:pPr>
              <w:spacing w:line="317" w:lineRule="auto"/>
            </w:pPr>
            <w:r>
              <w:rPr>
                <w:b/>
                <w:bCs/>
                <w:color w:val="0B1118"/>
                <w:sz w:val="19"/>
                <w:szCs w:val="19"/>
              </w:rPr>
              <w:t>Coverage &amp; Policy Automation</w:t>
            </w:r>
          </w:p>
        </w:tc>
        <w:tc>
          <w:tcPr>
            <w:tcW w:w="6760" w:type="dxa"/>
            <w:shd w:val="clear" w:color="auto" w:fill="FFFFFF"/>
            <w:tcMar>
              <w:top w:w="90" w:type="dxa"/>
              <w:left w:w="110" w:type="dxa"/>
              <w:bottom w:w="90" w:type="dxa"/>
              <w:right w:w="110" w:type="dxa"/>
            </w:tcMar>
            <w:vAlign w:val="center"/>
          </w:tcPr>
          <w:p w14:paraId="131528CA" w14:textId="77777777" w:rsidR="00F95B95" w:rsidRDefault="00000000">
            <w:pPr>
              <w:spacing w:line="317" w:lineRule="auto"/>
            </w:pPr>
            <w:r>
              <w:rPr>
                <w:color w:val="0B1118"/>
                <w:sz w:val="19"/>
                <w:szCs w:val="19"/>
              </w:rPr>
              <w:t>Manual, one-off backups on a single cluster. No policy exists; workloads can be unprotected without anyone noticing.</w:t>
            </w:r>
          </w:p>
        </w:tc>
      </w:tr>
      <w:tr w:rsidR="00F95B95" w14:paraId="1FD679DF"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4F114ED3" w14:textId="77777777" w:rsidR="00F95B95" w:rsidRDefault="00000000">
            <w:pPr>
              <w:spacing w:line="317" w:lineRule="auto"/>
            </w:pPr>
            <w:r>
              <w:rPr>
                <w:b/>
                <w:bCs/>
                <w:color w:val="0B1118"/>
                <w:sz w:val="19"/>
                <w:szCs w:val="19"/>
              </w:rPr>
              <w:t>Application Consistency</w:t>
            </w:r>
          </w:p>
        </w:tc>
        <w:tc>
          <w:tcPr>
            <w:tcW w:w="6760" w:type="dxa"/>
            <w:shd w:val="clear" w:color="auto" w:fill="EEF2F1"/>
            <w:tcMar>
              <w:top w:w="90" w:type="dxa"/>
              <w:left w:w="110" w:type="dxa"/>
              <w:bottom w:w="90" w:type="dxa"/>
              <w:right w:w="110" w:type="dxa"/>
            </w:tcMar>
            <w:vAlign w:val="center"/>
          </w:tcPr>
          <w:p w14:paraId="6609C4F9" w14:textId="77777777" w:rsidR="00F95B95" w:rsidRDefault="00000000">
            <w:pPr>
              <w:spacing w:line="317" w:lineRule="auto"/>
            </w:pPr>
            <w:r>
              <w:rPr>
                <w:color w:val="0B1118"/>
                <w:sz w:val="19"/>
                <w:szCs w:val="19"/>
              </w:rPr>
              <w:t>Crash-consistent snapshots only. No Kanister Blueprints in use; databases are not quiesced before capture.</w:t>
            </w:r>
          </w:p>
        </w:tc>
      </w:tr>
      <w:tr w:rsidR="00F95B95" w14:paraId="755FBDB4"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20E2BB2" w14:textId="77777777" w:rsidR="00F95B95" w:rsidRDefault="00000000">
            <w:pPr>
              <w:spacing w:line="317" w:lineRule="auto"/>
            </w:pPr>
            <w:r>
              <w:rPr>
                <w:b/>
                <w:bCs/>
                <w:color w:val="0B1118"/>
                <w:sz w:val="19"/>
                <w:szCs w:val="19"/>
              </w:rPr>
              <w:t>Storage, Immutability &amp; Security</w:t>
            </w:r>
          </w:p>
        </w:tc>
        <w:tc>
          <w:tcPr>
            <w:tcW w:w="6760" w:type="dxa"/>
            <w:shd w:val="clear" w:color="auto" w:fill="FFFFFF"/>
            <w:tcMar>
              <w:top w:w="90" w:type="dxa"/>
              <w:left w:w="110" w:type="dxa"/>
              <w:bottom w:w="90" w:type="dxa"/>
              <w:right w:w="110" w:type="dxa"/>
            </w:tcMar>
            <w:vAlign w:val="center"/>
          </w:tcPr>
          <w:p w14:paraId="74AEEA4F" w14:textId="275C8F5A" w:rsidR="00F95B95" w:rsidRDefault="00000000">
            <w:pPr>
              <w:spacing w:line="317" w:lineRule="auto"/>
            </w:pPr>
            <w:r>
              <w:rPr>
                <w:color w:val="0B1118"/>
                <w:sz w:val="19"/>
                <w:szCs w:val="19"/>
              </w:rPr>
              <w:t xml:space="preserve">Snapshots remain </w:t>
            </w:r>
            <w:r w:rsidR="00240B94">
              <w:rPr>
                <w:color w:val="0B1118"/>
                <w:sz w:val="19"/>
                <w:szCs w:val="19"/>
              </w:rPr>
              <w:t>loyal</w:t>
            </w:r>
            <w:r>
              <w:rPr>
                <w:color w:val="0B1118"/>
                <w:sz w:val="19"/>
                <w:szCs w:val="19"/>
              </w:rPr>
              <w:t xml:space="preserve"> to the storage device. No offsite export, no immutability, no encryption strategy.</w:t>
            </w:r>
          </w:p>
        </w:tc>
      </w:tr>
      <w:tr w:rsidR="00F95B95" w14:paraId="3FDDA8FF"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74FD8D76" w14:textId="77777777" w:rsidR="00F95B95" w:rsidRDefault="00000000">
            <w:pPr>
              <w:spacing w:line="317" w:lineRule="auto"/>
            </w:pPr>
            <w:r>
              <w:rPr>
                <w:b/>
                <w:bCs/>
                <w:color w:val="0B1118"/>
                <w:sz w:val="19"/>
                <w:szCs w:val="19"/>
              </w:rPr>
              <w:t>Centralized Management &amp; Multi-Cluster</w:t>
            </w:r>
          </w:p>
        </w:tc>
        <w:tc>
          <w:tcPr>
            <w:tcW w:w="6760" w:type="dxa"/>
            <w:shd w:val="clear" w:color="auto" w:fill="EEF2F1"/>
            <w:tcMar>
              <w:top w:w="90" w:type="dxa"/>
              <w:left w:w="110" w:type="dxa"/>
              <w:bottom w:w="90" w:type="dxa"/>
              <w:right w:w="110" w:type="dxa"/>
            </w:tcMar>
            <w:vAlign w:val="center"/>
          </w:tcPr>
          <w:p w14:paraId="3E28D770" w14:textId="77777777" w:rsidR="00F95B95" w:rsidRDefault="00000000">
            <w:pPr>
              <w:spacing w:line="317" w:lineRule="auto"/>
            </w:pPr>
            <w:r>
              <w:rPr>
                <w:color w:val="0B1118"/>
                <w:sz w:val="19"/>
                <w:szCs w:val="19"/>
              </w:rPr>
              <w:t>A single K10 instance on a single cluster. No Multi-Cluster Manager, no global policy concept.</w:t>
            </w:r>
          </w:p>
        </w:tc>
      </w:tr>
      <w:tr w:rsidR="00F95B95" w14:paraId="542A8FAE"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5A91927" w14:textId="77777777" w:rsidR="00F95B95" w:rsidRDefault="00000000">
            <w:pPr>
              <w:spacing w:line="317" w:lineRule="auto"/>
            </w:pPr>
            <w:r>
              <w:rPr>
                <w:b/>
                <w:bCs/>
                <w:color w:val="0B1118"/>
                <w:sz w:val="19"/>
                <w:szCs w:val="19"/>
              </w:rPr>
              <w:t>Disaster Recovery</w:t>
            </w:r>
          </w:p>
        </w:tc>
        <w:tc>
          <w:tcPr>
            <w:tcW w:w="6760" w:type="dxa"/>
            <w:shd w:val="clear" w:color="auto" w:fill="FFFFFF"/>
            <w:tcMar>
              <w:top w:w="90" w:type="dxa"/>
              <w:left w:w="110" w:type="dxa"/>
              <w:bottom w:w="90" w:type="dxa"/>
              <w:right w:w="110" w:type="dxa"/>
            </w:tcMar>
            <w:vAlign w:val="center"/>
          </w:tcPr>
          <w:p w14:paraId="3336B0D4" w14:textId="77777777" w:rsidR="00F95B95" w:rsidRDefault="00000000">
            <w:pPr>
              <w:spacing w:line="317" w:lineRule="auto"/>
            </w:pPr>
            <w:r>
              <w:rPr>
                <w:color w:val="0B1118"/>
                <w:sz w:val="19"/>
                <w:szCs w:val="19"/>
              </w:rPr>
              <w:t>No disaster recovery plan. Recovery, if attempted, is improvised.</w:t>
            </w:r>
          </w:p>
        </w:tc>
      </w:tr>
      <w:tr w:rsidR="00F95B95" w14:paraId="6165901B"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7FD6D7CE" w14:textId="77777777" w:rsidR="00F95B95" w:rsidRDefault="00000000">
            <w:pPr>
              <w:spacing w:line="317" w:lineRule="auto"/>
            </w:pPr>
            <w:r>
              <w:rPr>
                <w:b/>
                <w:bCs/>
                <w:color w:val="0B1118"/>
                <w:sz w:val="19"/>
                <w:szCs w:val="19"/>
              </w:rPr>
              <w:t>Observability, Compliance &amp; Reporting</w:t>
            </w:r>
          </w:p>
        </w:tc>
        <w:tc>
          <w:tcPr>
            <w:tcW w:w="6760" w:type="dxa"/>
            <w:shd w:val="clear" w:color="auto" w:fill="EEF2F1"/>
            <w:tcMar>
              <w:top w:w="90" w:type="dxa"/>
              <w:left w:w="110" w:type="dxa"/>
              <w:bottom w:w="90" w:type="dxa"/>
              <w:right w:w="110" w:type="dxa"/>
            </w:tcMar>
            <w:vAlign w:val="center"/>
          </w:tcPr>
          <w:p w14:paraId="7021F29E" w14:textId="77777777" w:rsidR="00F95B95" w:rsidRDefault="00000000">
            <w:pPr>
              <w:spacing w:line="317" w:lineRule="auto"/>
            </w:pPr>
            <w:r>
              <w:rPr>
                <w:color w:val="0B1118"/>
                <w:sz w:val="19"/>
                <w:szCs w:val="19"/>
              </w:rPr>
              <w:t>No monitoring of job success or failure. No compliance evidence exists.</w:t>
            </w:r>
          </w:p>
        </w:tc>
      </w:tr>
      <w:tr w:rsidR="00F95B95" w14:paraId="6BFE9738"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10564DA1" w14:textId="77777777" w:rsidR="00F95B95" w:rsidRDefault="00000000">
            <w:pPr>
              <w:spacing w:line="317" w:lineRule="auto"/>
            </w:pPr>
            <w:r>
              <w:rPr>
                <w:b/>
                <w:bCs/>
                <w:color w:val="0B1118"/>
                <w:sz w:val="19"/>
                <w:szCs w:val="19"/>
              </w:rPr>
              <w:t>People, Process &amp; Continuous Validation</w:t>
            </w:r>
          </w:p>
        </w:tc>
        <w:tc>
          <w:tcPr>
            <w:tcW w:w="6760" w:type="dxa"/>
            <w:shd w:val="clear" w:color="auto" w:fill="FFFFFF"/>
            <w:tcMar>
              <w:top w:w="90" w:type="dxa"/>
              <w:left w:w="110" w:type="dxa"/>
              <w:bottom w:w="90" w:type="dxa"/>
              <w:right w:w="110" w:type="dxa"/>
            </w:tcMar>
            <w:vAlign w:val="center"/>
          </w:tcPr>
          <w:p w14:paraId="59ECC997" w14:textId="77777777" w:rsidR="00F95B95" w:rsidRDefault="00000000">
            <w:pPr>
              <w:spacing w:line="317" w:lineRule="auto"/>
            </w:pPr>
            <w:r>
              <w:rPr>
                <w:color w:val="0B1118"/>
                <w:sz w:val="19"/>
                <w:szCs w:val="19"/>
              </w:rPr>
              <w:t>No documented runbook. No restore has ever been tested.</w:t>
            </w:r>
          </w:p>
        </w:tc>
      </w:tr>
    </w:tbl>
    <w:p w14:paraId="20FC38BB" w14:textId="77777777" w:rsidR="00F95B95" w:rsidRDefault="00F95B95">
      <w:pPr>
        <w:spacing w:after="260"/>
      </w:pPr>
    </w:p>
    <w:tbl>
      <w:tblPr>
        <w:tblW w:w="9360" w:type="dxa"/>
        <w:tblCellMar>
          <w:left w:w="10" w:type="dxa"/>
          <w:right w:w="10" w:type="dxa"/>
        </w:tblCellMar>
        <w:tblLook w:val="04A0" w:firstRow="1" w:lastRow="0" w:firstColumn="1" w:lastColumn="0" w:noHBand="0" w:noVBand="1"/>
      </w:tblPr>
      <w:tblGrid>
        <w:gridCol w:w="9360"/>
      </w:tblGrid>
      <w:tr w:rsidR="00F95B95" w14:paraId="510356E2" w14:textId="77777777">
        <w:tblPrEx>
          <w:tblCellMar>
            <w:top w:w="0" w:type="dxa"/>
            <w:bottom w:w="0" w:type="dxa"/>
          </w:tblCellMar>
        </w:tblPrEx>
        <w:tc>
          <w:tcPr>
            <w:tcW w:w="9360" w:type="dxa"/>
            <w:shd w:val="clear" w:color="auto" w:fill="AFD9C4"/>
            <w:tcMar>
              <w:top w:w="160" w:type="dxa"/>
              <w:left w:w="220" w:type="dxa"/>
              <w:bottom w:w="160" w:type="dxa"/>
              <w:right w:w="220" w:type="dxa"/>
            </w:tcMar>
          </w:tcPr>
          <w:p w14:paraId="07191B4E" w14:textId="77777777" w:rsidR="00F95B95" w:rsidRDefault="00000000">
            <w:pPr>
              <w:spacing w:line="317" w:lineRule="auto"/>
            </w:pPr>
            <w:r>
              <w:rPr>
                <w:b/>
                <w:bCs/>
                <w:color w:val="0B1118"/>
                <w:sz w:val="28"/>
                <w:szCs w:val="28"/>
              </w:rPr>
              <w:t>Level 2 — Foundational</w:t>
            </w:r>
          </w:p>
          <w:p w14:paraId="693929BE" w14:textId="77777777" w:rsidR="00F95B95" w:rsidRDefault="00000000">
            <w:pPr>
              <w:spacing w:before="60" w:line="317" w:lineRule="auto"/>
            </w:pPr>
            <w:r>
              <w:rPr>
                <w:i/>
                <w:iCs/>
                <w:color w:val="0B1118"/>
                <w:sz w:val="20"/>
                <w:szCs w:val="20"/>
              </w:rPr>
              <w:t>Backups run on a schedule with sensible retention, and at least one export target is offsite and immutable. A first restore has been proven to work.</w:t>
            </w:r>
          </w:p>
        </w:tc>
      </w:tr>
    </w:tbl>
    <w:p w14:paraId="0828F56B" w14:textId="77777777" w:rsidR="00F95B95" w:rsidRDefault="00F95B95">
      <w:pPr>
        <w:spacing w:after="160"/>
      </w:pPr>
    </w:p>
    <w:tbl>
      <w:tblPr>
        <w:tblW w:w="936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600"/>
        <w:gridCol w:w="6760"/>
      </w:tblGrid>
      <w:tr w:rsidR="00F95B95" w14:paraId="69AB1FE3" w14:textId="77777777">
        <w:tblPrEx>
          <w:tblCellMar>
            <w:top w:w="0" w:type="dxa"/>
            <w:bottom w:w="0" w:type="dxa"/>
          </w:tblCellMar>
        </w:tblPrEx>
        <w:trPr>
          <w:tblHeader/>
        </w:trPr>
        <w:tc>
          <w:tcPr>
            <w:tcW w:w="2600" w:type="dxa"/>
            <w:shd w:val="clear" w:color="auto" w:fill="1B1F23"/>
            <w:tcMar>
              <w:top w:w="90" w:type="dxa"/>
              <w:left w:w="110" w:type="dxa"/>
              <w:bottom w:w="90" w:type="dxa"/>
              <w:right w:w="110" w:type="dxa"/>
            </w:tcMar>
            <w:vAlign w:val="center"/>
          </w:tcPr>
          <w:p w14:paraId="265BD121" w14:textId="77777777" w:rsidR="00F95B95" w:rsidRDefault="00000000">
            <w:pPr>
              <w:spacing w:line="317" w:lineRule="auto"/>
            </w:pPr>
            <w:r>
              <w:rPr>
                <w:b/>
                <w:bCs/>
                <w:color w:val="FFFFFF"/>
                <w:sz w:val="19"/>
                <w:szCs w:val="19"/>
              </w:rPr>
              <w:t>Dimension</w:t>
            </w:r>
          </w:p>
        </w:tc>
        <w:tc>
          <w:tcPr>
            <w:tcW w:w="6760" w:type="dxa"/>
            <w:shd w:val="clear" w:color="auto" w:fill="1B1F23"/>
            <w:tcMar>
              <w:top w:w="90" w:type="dxa"/>
              <w:left w:w="110" w:type="dxa"/>
              <w:bottom w:w="90" w:type="dxa"/>
              <w:right w:w="110" w:type="dxa"/>
            </w:tcMar>
            <w:vAlign w:val="center"/>
          </w:tcPr>
          <w:p w14:paraId="2B72AEDD" w14:textId="77777777" w:rsidR="00F95B95" w:rsidRDefault="00000000">
            <w:pPr>
              <w:spacing w:line="317" w:lineRule="auto"/>
            </w:pPr>
            <w:r>
              <w:rPr>
                <w:b/>
                <w:bCs/>
                <w:color w:val="FFFFFF"/>
                <w:sz w:val="19"/>
                <w:szCs w:val="19"/>
              </w:rPr>
              <w:t>What it looks like at this level</w:t>
            </w:r>
          </w:p>
        </w:tc>
      </w:tr>
      <w:tr w:rsidR="00F95B95" w14:paraId="344A9BB3"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4F32BDE" w14:textId="77777777" w:rsidR="00F95B95" w:rsidRDefault="00000000">
            <w:pPr>
              <w:spacing w:line="317" w:lineRule="auto"/>
            </w:pPr>
            <w:r>
              <w:rPr>
                <w:b/>
                <w:bCs/>
                <w:color w:val="0B1118"/>
                <w:sz w:val="19"/>
                <w:szCs w:val="19"/>
              </w:rPr>
              <w:t>Coverage &amp; Policy Automation</w:t>
            </w:r>
          </w:p>
        </w:tc>
        <w:tc>
          <w:tcPr>
            <w:tcW w:w="6760" w:type="dxa"/>
            <w:shd w:val="clear" w:color="auto" w:fill="FFFFFF"/>
            <w:tcMar>
              <w:top w:w="90" w:type="dxa"/>
              <w:left w:w="110" w:type="dxa"/>
              <w:bottom w:w="90" w:type="dxa"/>
              <w:right w:w="110" w:type="dxa"/>
            </w:tcMar>
            <w:vAlign w:val="center"/>
          </w:tcPr>
          <w:p w14:paraId="5FE6CCC5" w14:textId="77777777" w:rsidR="00F95B95" w:rsidRDefault="00000000">
            <w:pPr>
              <w:spacing w:line="317" w:lineRule="auto"/>
            </w:pPr>
            <w:r>
              <w:rPr>
                <w:color w:val="0B1118"/>
                <w:sz w:val="19"/>
                <w:szCs w:val="19"/>
              </w:rPr>
              <w:t>Scheduled backup policies with defined retention (e.g., 1 daily / 4 weekly / 3 monthly). Workload selection still largely manual.</w:t>
            </w:r>
          </w:p>
        </w:tc>
      </w:tr>
      <w:tr w:rsidR="00F95B95" w14:paraId="303DEC06"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2D43FEB7" w14:textId="77777777" w:rsidR="00F95B95" w:rsidRDefault="00000000">
            <w:pPr>
              <w:spacing w:line="317" w:lineRule="auto"/>
            </w:pPr>
            <w:r>
              <w:rPr>
                <w:b/>
                <w:bCs/>
                <w:color w:val="0B1118"/>
                <w:sz w:val="19"/>
                <w:szCs w:val="19"/>
              </w:rPr>
              <w:t>Application Consistency</w:t>
            </w:r>
          </w:p>
        </w:tc>
        <w:tc>
          <w:tcPr>
            <w:tcW w:w="6760" w:type="dxa"/>
            <w:shd w:val="clear" w:color="auto" w:fill="EEF2F1"/>
            <w:tcMar>
              <w:top w:w="90" w:type="dxa"/>
              <w:left w:w="110" w:type="dxa"/>
              <w:bottom w:w="90" w:type="dxa"/>
              <w:right w:w="110" w:type="dxa"/>
            </w:tcMar>
            <w:vAlign w:val="center"/>
          </w:tcPr>
          <w:p w14:paraId="248F8068" w14:textId="77777777" w:rsidR="00F95B95" w:rsidRDefault="00000000">
            <w:pPr>
              <w:spacing w:line="317" w:lineRule="auto"/>
            </w:pPr>
            <w:r>
              <w:rPr>
                <w:color w:val="0B1118"/>
                <w:sz w:val="19"/>
                <w:szCs w:val="19"/>
              </w:rPr>
              <w:t>Awareness of which workloads need application-aware handling, but Blueprints not yet broadly applied.</w:t>
            </w:r>
          </w:p>
        </w:tc>
      </w:tr>
      <w:tr w:rsidR="00F95B95" w14:paraId="005517FA"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2947EA4" w14:textId="77777777" w:rsidR="00F95B95" w:rsidRDefault="00000000">
            <w:pPr>
              <w:spacing w:line="317" w:lineRule="auto"/>
            </w:pPr>
            <w:r>
              <w:rPr>
                <w:b/>
                <w:bCs/>
                <w:color w:val="0B1118"/>
                <w:sz w:val="19"/>
                <w:szCs w:val="19"/>
              </w:rPr>
              <w:t>Storage, Immutability &amp; Security</w:t>
            </w:r>
          </w:p>
        </w:tc>
        <w:tc>
          <w:tcPr>
            <w:tcW w:w="6760" w:type="dxa"/>
            <w:shd w:val="clear" w:color="auto" w:fill="FFFFFF"/>
            <w:tcMar>
              <w:top w:w="90" w:type="dxa"/>
              <w:left w:w="110" w:type="dxa"/>
              <w:bottom w:w="90" w:type="dxa"/>
              <w:right w:w="110" w:type="dxa"/>
            </w:tcMar>
            <w:vAlign w:val="center"/>
          </w:tcPr>
          <w:p w14:paraId="25CB38F7" w14:textId="77777777" w:rsidR="00F95B95" w:rsidRDefault="00000000">
            <w:pPr>
              <w:spacing w:line="317" w:lineRule="auto"/>
            </w:pPr>
            <w:r>
              <w:rPr>
                <w:color w:val="0B1118"/>
                <w:sz w:val="19"/>
                <w:szCs w:val="19"/>
              </w:rPr>
              <w:t>Exports flow to at least one offsite Location Profile (object storage, Veeam Vault, or VBR repository). Data is encrypted, compressed, and deduplicated in transit.</w:t>
            </w:r>
          </w:p>
        </w:tc>
      </w:tr>
      <w:tr w:rsidR="00F95B95" w14:paraId="5247A5BF"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5B8586CB" w14:textId="77777777" w:rsidR="00F95B95" w:rsidRDefault="00000000">
            <w:pPr>
              <w:spacing w:line="317" w:lineRule="auto"/>
            </w:pPr>
            <w:r>
              <w:rPr>
                <w:b/>
                <w:bCs/>
                <w:color w:val="0B1118"/>
                <w:sz w:val="19"/>
                <w:szCs w:val="19"/>
              </w:rPr>
              <w:t>Centralized Management &amp; Multi-Cluster</w:t>
            </w:r>
          </w:p>
        </w:tc>
        <w:tc>
          <w:tcPr>
            <w:tcW w:w="6760" w:type="dxa"/>
            <w:shd w:val="clear" w:color="auto" w:fill="EEF2F1"/>
            <w:tcMar>
              <w:top w:w="90" w:type="dxa"/>
              <w:left w:w="110" w:type="dxa"/>
              <w:bottom w:w="90" w:type="dxa"/>
              <w:right w:w="110" w:type="dxa"/>
            </w:tcMar>
            <w:vAlign w:val="center"/>
          </w:tcPr>
          <w:p w14:paraId="2C9103B3" w14:textId="77777777" w:rsidR="00F95B95" w:rsidRDefault="00000000">
            <w:pPr>
              <w:spacing w:line="317" w:lineRule="auto"/>
            </w:pPr>
            <w:r>
              <w:rPr>
                <w:color w:val="0B1118"/>
                <w:sz w:val="19"/>
                <w:szCs w:val="19"/>
              </w:rPr>
              <w:t>Still single-cluster; each K10 instance is configured and operated independently.</w:t>
            </w:r>
          </w:p>
        </w:tc>
      </w:tr>
      <w:tr w:rsidR="00F95B95" w14:paraId="2CBD8D6D"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1AE6150" w14:textId="77777777" w:rsidR="00F95B95" w:rsidRDefault="00000000">
            <w:pPr>
              <w:spacing w:line="317" w:lineRule="auto"/>
            </w:pPr>
            <w:r>
              <w:rPr>
                <w:b/>
                <w:bCs/>
                <w:color w:val="0B1118"/>
                <w:sz w:val="19"/>
                <w:szCs w:val="19"/>
              </w:rPr>
              <w:t>Disaster Recovery</w:t>
            </w:r>
          </w:p>
        </w:tc>
        <w:tc>
          <w:tcPr>
            <w:tcW w:w="6760" w:type="dxa"/>
            <w:shd w:val="clear" w:color="auto" w:fill="FFFFFF"/>
            <w:tcMar>
              <w:top w:w="90" w:type="dxa"/>
              <w:left w:w="110" w:type="dxa"/>
              <w:bottom w:w="90" w:type="dxa"/>
              <w:right w:w="110" w:type="dxa"/>
            </w:tcMar>
            <w:vAlign w:val="center"/>
          </w:tcPr>
          <w:p w14:paraId="39D7F422" w14:textId="77777777" w:rsidR="00F95B95" w:rsidRDefault="00000000">
            <w:pPr>
              <w:spacing w:line="317" w:lineRule="auto"/>
            </w:pPr>
            <w:r>
              <w:rPr>
                <w:color w:val="0B1118"/>
                <w:sz w:val="19"/>
                <w:szCs w:val="19"/>
              </w:rPr>
              <w:t>Export-only DR: in a disaster, the plan is to rebuild the cluster, reinstall Kasten, and restore from exports.</w:t>
            </w:r>
          </w:p>
        </w:tc>
      </w:tr>
      <w:tr w:rsidR="00F95B95" w14:paraId="67B9CAD5"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7EE7569A" w14:textId="77777777" w:rsidR="00F95B95" w:rsidRDefault="00000000">
            <w:pPr>
              <w:spacing w:line="317" w:lineRule="auto"/>
            </w:pPr>
            <w:r>
              <w:rPr>
                <w:b/>
                <w:bCs/>
                <w:color w:val="0B1118"/>
                <w:sz w:val="19"/>
                <w:szCs w:val="19"/>
              </w:rPr>
              <w:t>Observability, Compliance &amp; Reporting</w:t>
            </w:r>
          </w:p>
        </w:tc>
        <w:tc>
          <w:tcPr>
            <w:tcW w:w="6760" w:type="dxa"/>
            <w:shd w:val="clear" w:color="auto" w:fill="EEF2F1"/>
            <w:tcMar>
              <w:top w:w="90" w:type="dxa"/>
              <w:left w:w="110" w:type="dxa"/>
              <w:bottom w:w="90" w:type="dxa"/>
              <w:right w:w="110" w:type="dxa"/>
            </w:tcMar>
            <w:vAlign w:val="center"/>
          </w:tcPr>
          <w:p w14:paraId="0BF24124" w14:textId="77777777" w:rsidR="00F95B95" w:rsidRDefault="00000000">
            <w:pPr>
              <w:spacing w:line="317" w:lineRule="auto"/>
            </w:pPr>
            <w:r>
              <w:rPr>
                <w:color w:val="0B1118"/>
                <w:sz w:val="19"/>
                <w:szCs w:val="19"/>
              </w:rPr>
              <w:t>Dashboard reviewed periodically. No external alerting integration yet.</w:t>
            </w:r>
          </w:p>
        </w:tc>
      </w:tr>
      <w:tr w:rsidR="00F95B95" w14:paraId="6757B0F5"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DA73587" w14:textId="77777777" w:rsidR="00F95B95" w:rsidRDefault="00000000">
            <w:pPr>
              <w:spacing w:line="317" w:lineRule="auto"/>
            </w:pPr>
            <w:r>
              <w:rPr>
                <w:b/>
                <w:bCs/>
                <w:color w:val="0B1118"/>
                <w:sz w:val="19"/>
                <w:szCs w:val="19"/>
              </w:rPr>
              <w:lastRenderedPageBreak/>
              <w:t>People, Process &amp; Continuous Validation</w:t>
            </w:r>
          </w:p>
        </w:tc>
        <w:tc>
          <w:tcPr>
            <w:tcW w:w="6760" w:type="dxa"/>
            <w:shd w:val="clear" w:color="auto" w:fill="FFFFFF"/>
            <w:tcMar>
              <w:top w:w="90" w:type="dxa"/>
              <w:left w:w="110" w:type="dxa"/>
              <w:bottom w:w="90" w:type="dxa"/>
              <w:right w:w="110" w:type="dxa"/>
            </w:tcMar>
            <w:vAlign w:val="center"/>
          </w:tcPr>
          <w:p w14:paraId="72BD6850" w14:textId="77777777" w:rsidR="00F95B95" w:rsidRDefault="00000000">
            <w:pPr>
              <w:spacing w:line="317" w:lineRule="auto"/>
            </w:pPr>
            <w:r>
              <w:rPr>
                <w:color w:val="0B1118"/>
                <w:sz w:val="19"/>
                <w:szCs w:val="19"/>
              </w:rPr>
              <w:t>A backup owner is identified. The first restore test has been performed and passed on a non-critical workload.</w:t>
            </w:r>
          </w:p>
        </w:tc>
      </w:tr>
    </w:tbl>
    <w:p w14:paraId="2A2C966D" w14:textId="77777777" w:rsidR="00F95B95" w:rsidRDefault="00F95B95">
      <w:pPr>
        <w:spacing w:after="260"/>
      </w:pPr>
    </w:p>
    <w:tbl>
      <w:tblPr>
        <w:tblW w:w="9360" w:type="dxa"/>
        <w:tblCellMar>
          <w:left w:w="10" w:type="dxa"/>
          <w:right w:w="10" w:type="dxa"/>
        </w:tblCellMar>
        <w:tblLook w:val="04A0" w:firstRow="1" w:lastRow="0" w:firstColumn="1" w:lastColumn="0" w:noHBand="0" w:noVBand="1"/>
      </w:tblPr>
      <w:tblGrid>
        <w:gridCol w:w="9360"/>
      </w:tblGrid>
      <w:tr w:rsidR="00F95B95" w14:paraId="7596BA36" w14:textId="77777777">
        <w:tblPrEx>
          <w:tblCellMar>
            <w:top w:w="0" w:type="dxa"/>
            <w:bottom w:w="0" w:type="dxa"/>
          </w:tblCellMar>
        </w:tblPrEx>
        <w:tc>
          <w:tcPr>
            <w:tcW w:w="9360" w:type="dxa"/>
            <w:shd w:val="clear" w:color="auto" w:fill="7FC9A6"/>
            <w:tcMar>
              <w:top w:w="160" w:type="dxa"/>
              <w:left w:w="220" w:type="dxa"/>
              <w:bottom w:w="160" w:type="dxa"/>
              <w:right w:w="220" w:type="dxa"/>
            </w:tcMar>
          </w:tcPr>
          <w:p w14:paraId="0B938AE6" w14:textId="77777777" w:rsidR="00F95B95" w:rsidRDefault="00000000">
            <w:pPr>
              <w:spacing w:line="317" w:lineRule="auto"/>
            </w:pPr>
            <w:r>
              <w:rPr>
                <w:b/>
                <w:bCs/>
                <w:color w:val="0B1118"/>
                <w:sz w:val="28"/>
                <w:szCs w:val="28"/>
              </w:rPr>
              <w:t>Level 3 — Managed</w:t>
            </w:r>
          </w:p>
          <w:p w14:paraId="36444EFB" w14:textId="77777777" w:rsidR="00F95B95" w:rsidRDefault="00000000">
            <w:pPr>
              <w:spacing w:before="60" w:line="317" w:lineRule="auto"/>
            </w:pPr>
            <w:r>
              <w:rPr>
                <w:i/>
                <w:iCs/>
                <w:color w:val="0B1118"/>
                <w:sz w:val="20"/>
                <w:szCs w:val="20"/>
              </w:rPr>
              <w:t>Protection is policy-driven and automatically extends to new workloads. Multiple clusters are centrally visible, application-consistent backup is standard for databases, and failures are alerted, not discovered.</w:t>
            </w:r>
          </w:p>
        </w:tc>
      </w:tr>
    </w:tbl>
    <w:p w14:paraId="3272B150" w14:textId="77777777" w:rsidR="00F95B95" w:rsidRDefault="00F95B95">
      <w:pPr>
        <w:spacing w:after="160"/>
      </w:pPr>
    </w:p>
    <w:tbl>
      <w:tblPr>
        <w:tblW w:w="936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600"/>
        <w:gridCol w:w="6760"/>
      </w:tblGrid>
      <w:tr w:rsidR="00F95B95" w14:paraId="6F425ADE" w14:textId="77777777">
        <w:tblPrEx>
          <w:tblCellMar>
            <w:top w:w="0" w:type="dxa"/>
            <w:bottom w:w="0" w:type="dxa"/>
          </w:tblCellMar>
        </w:tblPrEx>
        <w:trPr>
          <w:tblHeader/>
        </w:trPr>
        <w:tc>
          <w:tcPr>
            <w:tcW w:w="2600" w:type="dxa"/>
            <w:shd w:val="clear" w:color="auto" w:fill="1B1F23"/>
            <w:tcMar>
              <w:top w:w="90" w:type="dxa"/>
              <w:left w:w="110" w:type="dxa"/>
              <w:bottom w:w="90" w:type="dxa"/>
              <w:right w:w="110" w:type="dxa"/>
            </w:tcMar>
            <w:vAlign w:val="center"/>
          </w:tcPr>
          <w:p w14:paraId="7509221A" w14:textId="77777777" w:rsidR="00F95B95" w:rsidRDefault="00000000">
            <w:pPr>
              <w:spacing w:line="317" w:lineRule="auto"/>
            </w:pPr>
            <w:r>
              <w:rPr>
                <w:b/>
                <w:bCs/>
                <w:color w:val="FFFFFF"/>
                <w:sz w:val="19"/>
                <w:szCs w:val="19"/>
              </w:rPr>
              <w:t>Dimension</w:t>
            </w:r>
          </w:p>
        </w:tc>
        <w:tc>
          <w:tcPr>
            <w:tcW w:w="6760" w:type="dxa"/>
            <w:shd w:val="clear" w:color="auto" w:fill="1B1F23"/>
            <w:tcMar>
              <w:top w:w="90" w:type="dxa"/>
              <w:left w:w="110" w:type="dxa"/>
              <w:bottom w:w="90" w:type="dxa"/>
              <w:right w:w="110" w:type="dxa"/>
            </w:tcMar>
            <w:vAlign w:val="center"/>
          </w:tcPr>
          <w:p w14:paraId="7A6E29B1" w14:textId="77777777" w:rsidR="00F95B95" w:rsidRDefault="00000000">
            <w:pPr>
              <w:spacing w:line="317" w:lineRule="auto"/>
            </w:pPr>
            <w:r>
              <w:rPr>
                <w:b/>
                <w:bCs/>
                <w:color w:val="FFFFFF"/>
                <w:sz w:val="19"/>
                <w:szCs w:val="19"/>
              </w:rPr>
              <w:t>What it looks like at this level</w:t>
            </w:r>
          </w:p>
        </w:tc>
      </w:tr>
      <w:tr w:rsidR="00F95B95" w14:paraId="1FE4D9DF"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FA4E252" w14:textId="77777777" w:rsidR="00F95B95" w:rsidRDefault="00000000">
            <w:pPr>
              <w:spacing w:line="317" w:lineRule="auto"/>
            </w:pPr>
            <w:r>
              <w:rPr>
                <w:b/>
                <w:bCs/>
                <w:color w:val="0B1118"/>
                <w:sz w:val="19"/>
                <w:szCs w:val="19"/>
              </w:rPr>
              <w:t>Coverage &amp; Policy Automation</w:t>
            </w:r>
          </w:p>
        </w:tc>
        <w:tc>
          <w:tcPr>
            <w:tcW w:w="6760" w:type="dxa"/>
            <w:shd w:val="clear" w:color="auto" w:fill="FFFFFF"/>
            <w:tcMar>
              <w:top w:w="90" w:type="dxa"/>
              <w:left w:w="110" w:type="dxa"/>
              <w:bottom w:w="90" w:type="dxa"/>
              <w:right w:w="110" w:type="dxa"/>
            </w:tcMar>
            <w:vAlign w:val="center"/>
          </w:tcPr>
          <w:p w14:paraId="538B3E60" w14:textId="77777777" w:rsidR="00F95B95" w:rsidRDefault="00000000">
            <w:pPr>
              <w:spacing w:line="317" w:lineRule="auto"/>
            </w:pPr>
            <w:r>
              <w:rPr>
                <w:color w:val="0B1118"/>
                <w:sz w:val="19"/>
                <w:szCs w:val="19"/>
              </w:rPr>
              <w:t>Policies driven by namespace or label selectors; new stateful workloads matching a policy are automatically protected — no manual per-workload configuration. Backup windows and job staggering are configured to avoid contention.</w:t>
            </w:r>
          </w:p>
        </w:tc>
      </w:tr>
      <w:tr w:rsidR="00F95B95" w14:paraId="39B5CFD4"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2986F031" w14:textId="77777777" w:rsidR="00F95B95" w:rsidRDefault="00000000">
            <w:pPr>
              <w:spacing w:line="317" w:lineRule="auto"/>
            </w:pPr>
            <w:r>
              <w:rPr>
                <w:b/>
                <w:bCs/>
                <w:color w:val="0B1118"/>
                <w:sz w:val="19"/>
                <w:szCs w:val="19"/>
              </w:rPr>
              <w:t>Application Consistency</w:t>
            </w:r>
          </w:p>
        </w:tc>
        <w:tc>
          <w:tcPr>
            <w:tcW w:w="6760" w:type="dxa"/>
            <w:shd w:val="clear" w:color="auto" w:fill="EEF2F1"/>
            <w:tcMar>
              <w:top w:w="90" w:type="dxa"/>
              <w:left w:w="110" w:type="dxa"/>
              <w:bottom w:w="90" w:type="dxa"/>
              <w:right w:w="110" w:type="dxa"/>
            </w:tcMar>
            <w:vAlign w:val="center"/>
          </w:tcPr>
          <w:p w14:paraId="38B959C6" w14:textId="77777777" w:rsidR="00F95B95" w:rsidRDefault="00000000">
            <w:pPr>
              <w:spacing w:line="317" w:lineRule="auto"/>
            </w:pPr>
            <w:r>
              <w:rPr>
                <w:color w:val="0B1118"/>
                <w:sz w:val="19"/>
                <w:szCs w:val="19"/>
              </w:rPr>
              <w:t>Kanister Blueprints applied to key data services (PostgreSQL, MongoDB, MySQL, and similar) via Blueprint Bindings, with quiescing verified through test restores.</w:t>
            </w:r>
          </w:p>
        </w:tc>
      </w:tr>
      <w:tr w:rsidR="00F95B95" w14:paraId="347DABD8"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EF2DC20" w14:textId="77777777" w:rsidR="00F95B95" w:rsidRDefault="00000000">
            <w:pPr>
              <w:spacing w:line="317" w:lineRule="auto"/>
            </w:pPr>
            <w:r>
              <w:rPr>
                <w:b/>
                <w:bCs/>
                <w:color w:val="0B1118"/>
                <w:sz w:val="19"/>
                <w:szCs w:val="19"/>
              </w:rPr>
              <w:t>Storage, Immutability &amp; Security</w:t>
            </w:r>
          </w:p>
        </w:tc>
        <w:tc>
          <w:tcPr>
            <w:tcW w:w="6760" w:type="dxa"/>
            <w:shd w:val="clear" w:color="auto" w:fill="FFFFFF"/>
            <w:tcMar>
              <w:top w:w="90" w:type="dxa"/>
              <w:left w:w="110" w:type="dxa"/>
              <w:bottom w:w="90" w:type="dxa"/>
              <w:right w:w="110" w:type="dxa"/>
            </w:tcMar>
            <w:vAlign w:val="center"/>
          </w:tcPr>
          <w:p w14:paraId="15F35E84" w14:textId="77777777" w:rsidR="00F95B95" w:rsidRDefault="00000000">
            <w:pPr>
              <w:spacing w:line="317" w:lineRule="auto"/>
            </w:pPr>
            <w:r>
              <w:rPr>
                <w:color w:val="0B1118"/>
                <w:sz w:val="19"/>
                <w:szCs w:val="19"/>
              </w:rPr>
              <w:t>Multiple Location Profiles in use; immutability enforced fleet-wide; backup storage credentials are separated from cluster credentials and access is scoped to least privilege.</w:t>
            </w:r>
          </w:p>
        </w:tc>
      </w:tr>
      <w:tr w:rsidR="00F95B95" w14:paraId="02D8DEF0"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543658A8" w14:textId="77777777" w:rsidR="00F95B95" w:rsidRDefault="00000000">
            <w:pPr>
              <w:spacing w:line="317" w:lineRule="auto"/>
            </w:pPr>
            <w:r>
              <w:rPr>
                <w:b/>
                <w:bCs/>
                <w:color w:val="0B1118"/>
                <w:sz w:val="19"/>
                <w:szCs w:val="19"/>
              </w:rPr>
              <w:t>Centralized Management &amp; Multi-Cluster</w:t>
            </w:r>
          </w:p>
        </w:tc>
        <w:tc>
          <w:tcPr>
            <w:tcW w:w="6760" w:type="dxa"/>
            <w:shd w:val="clear" w:color="auto" w:fill="EEF2F1"/>
            <w:tcMar>
              <w:top w:w="90" w:type="dxa"/>
              <w:left w:w="110" w:type="dxa"/>
              <w:bottom w:w="90" w:type="dxa"/>
              <w:right w:w="110" w:type="dxa"/>
            </w:tcMar>
            <w:vAlign w:val="center"/>
          </w:tcPr>
          <w:p w14:paraId="43F4010B" w14:textId="77777777" w:rsidR="00F95B95" w:rsidRDefault="00000000">
            <w:pPr>
              <w:spacing w:line="317" w:lineRule="auto"/>
            </w:pPr>
            <w:r>
              <w:rPr>
                <w:color w:val="0B1118"/>
                <w:sz w:val="19"/>
                <w:szCs w:val="19"/>
              </w:rPr>
              <w:t>Multi-Cluster Manager (MCM) deployed; Global Policies and Global Profiles distribute consistent configuration across the fleet; licensing is centralized.</w:t>
            </w:r>
          </w:p>
        </w:tc>
      </w:tr>
      <w:tr w:rsidR="00F95B95" w14:paraId="39AB9876"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4ED4BCB" w14:textId="77777777" w:rsidR="00F95B95" w:rsidRDefault="00000000">
            <w:pPr>
              <w:spacing w:line="317" w:lineRule="auto"/>
            </w:pPr>
            <w:r>
              <w:rPr>
                <w:b/>
                <w:bCs/>
                <w:color w:val="0B1118"/>
                <w:sz w:val="19"/>
                <w:szCs w:val="19"/>
              </w:rPr>
              <w:t>Disaster Recovery</w:t>
            </w:r>
          </w:p>
        </w:tc>
        <w:tc>
          <w:tcPr>
            <w:tcW w:w="6760" w:type="dxa"/>
            <w:shd w:val="clear" w:color="auto" w:fill="FFFFFF"/>
            <w:tcMar>
              <w:top w:w="90" w:type="dxa"/>
              <w:left w:w="110" w:type="dxa"/>
              <w:bottom w:w="90" w:type="dxa"/>
              <w:right w:w="110" w:type="dxa"/>
            </w:tcMar>
            <w:vAlign w:val="center"/>
          </w:tcPr>
          <w:p w14:paraId="2E8183D7" w14:textId="77777777" w:rsidR="00F95B95" w:rsidRDefault="00000000">
            <w:pPr>
              <w:spacing w:line="317" w:lineRule="auto"/>
            </w:pPr>
            <w:r>
              <w:rPr>
                <w:color w:val="0B1118"/>
                <w:sz w:val="19"/>
                <w:szCs w:val="19"/>
              </w:rPr>
              <w:t>DR environment with an Import Policy: restore points are regularly imported into a standby catalog and are visible, but applications are not yet running.</w:t>
            </w:r>
          </w:p>
        </w:tc>
      </w:tr>
      <w:tr w:rsidR="00F95B95" w14:paraId="5465ABB8"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0704BA0B" w14:textId="77777777" w:rsidR="00F95B95" w:rsidRDefault="00000000">
            <w:pPr>
              <w:spacing w:line="317" w:lineRule="auto"/>
            </w:pPr>
            <w:r>
              <w:rPr>
                <w:b/>
                <w:bCs/>
                <w:color w:val="0B1118"/>
                <w:sz w:val="19"/>
                <w:szCs w:val="19"/>
              </w:rPr>
              <w:t>Observability, Compliance &amp; Reporting</w:t>
            </w:r>
          </w:p>
        </w:tc>
        <w:tc>
          <w:tcPr>
            <w:tcW w:w="6760" w:type="dxa"/>
            <w:shd w:val="clear" w:color="auto" w:fill="EEF2F1"/>
            <w:tcMar>
              <w:top w:w="90" w:type="dxa"/>
              <w:left w:w="110" w:type="dxa"/>
              <w:bottom w:w="90" w:type="dxa"/>
              <w:right w:w="110" w:type="dxa"/>
            </w:tcMar>
            <w:vAlign w:val="center"/>
          </w:tcPr>
          <w:p w14:paraId="5B61DCEF" w14:textId="77777777" w:rsidR="00F95B95" w:rsidRDefault="00000000">
            <w:pPr>
              <w:spacing w:line="317" w:lineRule="auto"/>
            </w:pPr>
            <w:r>
              <w:rPr>
                <w:color w:val="0B1118"/>
                <w:sz w:val="19"/>
                <w:szCs w:val="19"/>
              </w:rPr>
              <w:t>Metrics exported to Grafana/Datadog/Thanos-class tooling; alerts fire on failed jobs or RPO breaches; periodic coverage audits close protection gaps.</w:t>
            </w:r>
          </w:p>
        </w:tc>
      </w:tr>
      <w:tr w:rsidR="00F95B95" w14:paraId="1EC005E6"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5B798516" w14:textId="77777777" w:rsidR="00F95B95" w:rsidRDefault="00000000">
            <w:pPr>
              <w:spacing w:line="317" w:lineRule="auto"/>
            </w:pPr>
            <w:r>
              <w:rPr>
                <w:b/>
                <w:bCs/>
                <w:color w:val="0B1118"/>
                <w:sz w:val="19"/>
                <w:szCs w:val="19"/>
              </w:rPr>
              <w:t>People, Process &amp; Continuous Validation</w:t>
            </w:r>
          </w:p>
        </w:tc>
        <w:tc>
          <w:tcPr>
            <w:tcW w:w="6760" w:type="dxa"/>
            <w:shd w:val="clear" w:color="auto" w:fill="FFFFFF"/>
            <w:tcMar>
              <w:top w:w="90" w:type="dxa"/>
              <w:left w:w="110" w:type="dxa"/>
              <w:bottom w:w="90" w:type="dxa"/>
              <w:right w:w="110" w:type="dxa"/>
            </w:tcMar>
            <w:vAlign w:val="center"/>
          </w:tcPr>
          <w:p w14:paraId="5FF395A0" w14:textId="77777777" w:rsidR="00F95B95" w:rsidRDefault="00000000">
            <w:pPr>
              <w:spacing w:line="317" w:lineRule="auto"/>
            </w:pPr>
            <w:r>
              <w:rPr>
                <w:color w:val="0B1118"/>
                <w:sz w:val="19"/>
                <w:szCs w:val="19"/>
              </w:rPr>
              <w:t>Policies and architecture are documented. A recurring review cadence is emerging, and more than one person can operate the environment.</w:t>
            </w:r>
          </w:p>
        </w:tc>
      </w:tr>
    </w:tbl>
    <w:p w14:paraId="47AF1C2D" w14:textId="77777777" w:rsidR="00F95B95" w:rsidRDefault="00F95B95">
      <w:pPr>
        <w:spacing w:after="260"/>
      </w:pPr>
    </w:p>
    <w:tbl>
      <w:tblPr>
        <w:tblW w:w="9360" w:type="dxa"/>
        <w:tblCellMar>
          <w:left w:w="10" w:type="dxa"/>
          <w:right w:w="10" w:type="dxa"/>
        </w:tblCellMar>
        <w:tblLook w:val="04A0" w:firstRow="1" w:lastRow="0" w:firstColumn="1" w:lastColumn="0" w:noHBand="0" w:noVBand="1"/>
      </w:tblPr>
      <w:tblGrid>
        <w:gridCol w:w="9360"/>
      </w:tblGrid>
      <w:tr w:rsidR="00F95B95" w14:paraId="12F8CEBF" w14:textId="77777777">
        <w:tblPrEx>
          <w:tblCellMar>
            <w:top w:w="0" w:type="dxa"/>
            <w:bottom w:w="0" w:type="dxa"/>
          </w:tblCellMar>
        </w:tblPrEx>
        <w:tc>
          <w:tcPr>
            <w:tcW w:w="9360" w:type="dxa"/>
            <w:shd w:val="clear" w:color="auto" w:fill="3FB884"/>
            <w:tcMar>
              <w:top w:w="160" w:type="dxa"/>
              <w:left w:w="220" w:type="dxa"/>
              <w:bottom w:w="160" w:type="dxa"/>
              <w:right w:w="220" w:type="dxa"/>
            </w:tcMar>
          </w:tcPr>
          <w:p w14:paraId="23D8B919" w14:textId="77777777" w:rsidR="00F95B95" w:rsidRDefault="00000000">
            <w:pPr>
              <w:spacing w:line="317" w:lineRule="auto"/>
            </w:pPr>
            <w:r>
              <w:rPr>
                <w:b/>
                <w:bCs/>
                <w:color w:val="FFFFFF"/>
                <w:sz w:val="28"/>
                <w:szCs w:val="28"/>
              </w:rPr>
              <w:t>Level 4 — Resilient</w:t>
            </w:r>
          </w:p>
          <w:p w14:paraId="4C41CA40" w14:textId="77777777" w:rsidR="00F95B95" w:rsidRDefault="00000000">
            <w:pPr>
              <w:spacing w:before="60" w:line="317" w:lineRule="auto"/>
            </w:pPr>
            <w:r>
              <w:rPr>
                <w:i/>
                <w:iCs/>
                <w:color w:val="FFFFFF"/>
                <w:sz w:val="20"/>
                <w:szCs w:val="20"/>
              </w:rPr>
              <w:t>Recoverability is proven, not assumed. DR is tested against defined RTO/RPO targets by workload tier, compliance evidence is produced routinely, and immutability is universal.</w:t>
            </w:r>
          </w:p>
        </w:tc>
      </w:tr>
    </w:tbl>
    <w:p w14:paraId="6E203287" w14:textId="77777777" w:rsidR="00F95B95" w:rsidRDefault="00F95B95">
      <w:pPr>
        <w:spacing w:after="160"/>
      </w:pPr>
    </w:p>
    <w:tbl>
      <w:tblPr>
        <w:tblW w:w="936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600"/>
        <w:gridCol w:w="6760"/>
      </w:tblGrid>
      <w:tr w:rsidR="00F95B95" w14:paraId="5058F9F2" w14:textId="77777777">
        <w:tblPrEx>
          <w:tblCellMar>
            <w:top w:w="0" w:type="dxa"/>
            <w:bottom w:w="0" w:type="dxa"/>
          </w:tblCellMar>
        </w:tblPrEx>
        <w:trPr>
          <w:tblHeader/>
        </w:trPr>
        <w:tc>
          <w:tcPr>
            <w:tcW w:w="2600" w:type="dxa"/>
            <w:shd w:val="clear" w:color="auto" w:fill="1B1F23"/>
            <w:tcMar>
              <w:top w:w="90" w:type="dxa"/>
              <w:left w:w="110" w:type="dxa"/>
              <w:bottom w:w="90" w:type="dxa"/>
              <w:right w:w="110" w:type="dxa"/>
            </w:tcMar>
            <w:vAlign w:val="center"/>
          </w:tcPr>
          <w:p w14:paraId="643F4746" w14:textId="77777777" w:rsidR="00F95B95" w:rsidRDefault="00000000">
            <w:pPr>
              <w:spacing w:line="317" w:lineRule="auto"/>
            </w:pPr>
            <w:r>
              <w:rPr>
                <w:b/>
                <w:bCs/>
                <w:color w:val="FFFFFF"/>
                <w:sz w:val="19"/>
                <w:szCs w:val="19"/>
              </w:rPr>
              <w:t>Dimension</w:t>
            </w:r>
          </w:p>
        </w:tc>
        <w:tc>
          <w:tcPr>
            <w:tcW w:w="6760" w:type="dxa"/>
            <w:shd w:val="clear" w:color="auto" w:fill="1B1F23"/>
            <w:tcMar>
              <w:top w:w="90" w:type="dxa"/>
              <w:left w:w="110" w:type="dxa"/>
              <w:bottom w:w="90" w:type="dxa"/>
              <w:right w:w="110" w:type="dxa"/>
            </w:tcMar>
            <w:vAlign w:val="center"/>
          </w:tcPr>
          <w:p w14:paraId="6A9E275D" w14:textId="77777777" w:rsidR="00F95B95" w:rsidRDefault="00000000">
            <w:pPr>
              <w:spacing w:line="317" w:lineRule="auto"/>
            </w:pPr>
            <w:r>
              <w:rPr>
                <w:b/>
                <w:bCs/>
                <w:color w:val="FFFFFF"/>
                <w:sz w:val="19"/>
                <w:szCs w:val="19"/>
              </w:rPr>
              <w:t>What it looks like at this level</w:t>
            </w:r>
          </w:p>
        </w:tc>
      </w:tr>
      <w:tr w:rsidR="00F95B95" w14:paraId="7111411F"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079869E" w14:textId="77777777" w:rsidR="00F95B95" w:rsidRDefault="00000000">
            <w:pPr>
              <w:spacing w:line="317" w:lineRule="auto"/>
            </w:pPr>
            <w:r>
              <w:rPr>
                <w:b/>
                <w:bCs/>
                <w:color w:val="0B1118"/>
                <w:sz w:val="19"/>
                <w:szCs w:val="19"/>
              </w:rPr>
              <w:t>Coverage &amp; Policy Automation</w:t>
            </w:r>
          </w:p>
        </w:tc>
        <w:tc>
          <w:tcPr>
            <w:tcW w:w="6760" w:type="dxa"/>
            <w:shd w:val="clear" w:color="auto" w:fill="FFFFFF"/>
            <w:tcMar>
              <w:top w:w="90" w:type="dxa"/>
              <w:left w:w="110" w:type="dxa"/>
              <w:bottom w:w="90" w:type="dxa"/>
              <w:right w:w="110" w:type="dxa"/>
            </w:tcMar>
            <w:vAlign w:val="center"/>
          </w:tcPr>
          <w:p w14:paraId="512E1CBC" w14:textId="77777777" w:rsidR="00F95B95" w:rsidRDefault="00000000">
            <w:pPr>
              <w:spacing w:line="317" w:lineRule="auto"/>
            </w:pPr>
            <w:r>
              <w:rPr>
                <w:color w:val="0B1118"/>
                <w:sz w:val="19"/>
                <w:szCs w:val="19"/>
              </w:rPr>
              <w:t>Full fleet coverage validated against inventory; policy presets and global resources standardize configuration by workload tier (production / non-production / edge).</w:t>
            </w:r>
          </w:p>
        </w:tc>
      </w:tr>
      <w:tr w:rsidR="00F95B95" w14:paraId="6D3E5FFA"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3DFC2BFC" w14:textId="77777777" w:rsidR="00F95B95" w:rsidRDefault="00000000">
            <w:pPr>
              <w:spacing w:line="317" w:lineRule="auto"/>
            </w:pPr>
            <w:r>
              <w:rPr>
                <w:b/>
                <w:bCs/>
                <w:color w:val="0B1118"/>
                <w:sz w:val="19"/>
                <w:szCs w:val="19"/>
              </w:rPr>
              <w:t>Application Consistency</w:t>
            </w:r>
          </w:p>
        </w:tc>
        <w:tc>
          <w:tcPr>
            <w:tcW w:w="6760" w:type="dxa"/>
            <w:shd w:val="clear" w:color="auto" w:fill="EEF2F1"/>
            <w:tcMar>
              <w:top w:w="90" w:type="dxa"/>
              <w:left w:w="110" w:type="dxa"/>
              <w:bottom w:w="90" w:type="dxa"/>
              <w:right w:w="110" w:type="dxa"/>
            </w:tcMar>
            <w:vAlign w:val="center"/>
          </w:tcPr>
          <w:p w14:paraId="0E3047C7" w14:textId="77777777" w:rsidR="00F95B95" w:rsidRDefault="00000000">
            <w:pPr>
              <w:spacing w:line="317" w:lineRule="auto"/>
            </w:pPr>
            <w:r>
              <w:rPr>
                <w:color w:val="0B1118"/>
                <w:sz w:val="19"/>
                <w:szCs w:val="19"/>
              </w:rPr>
              <w:t>Application-consistent backup is the default for all stateful workloads. Blueprints are validated through end-to-end backup-and-restore testing, not just backup success.</w:t>
            </w:r>
          </w:p>
        </w:tc>
      </w:tr>
      <w:tr w:rsidR="00F95B95" w14:paraId="1364307C"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CF4ECFD" w14:textId="77777777" w:rsidR="00F95B95" w:rsidRDefault="00000000">
            <w:pPr>
              <w:spacing w:line="317" w:lineRule="auto"/>
            </w:pPr>
            <w:r>
              <w:rPr>
                <w:b/>
                <w:bCs/>
                <w:color w:val="0B1118"/>
                <w:sz w:val="19"/>
                <w:szCs w:val="19"/>
              </w:rPr>
              <w:t>Storage, Immutability &amp; Security</w:t>
            </w:r>
          </w:p>
        </w:tc>
        <w:tc>
          <w:tcPr>
            <w:tcW w:w="6760" w:type="dxa"/>
            <w:shd w:val="clear" w:color="auto" w:fill="FFFFFF"/>
            <w:tcMar>
              <w:top w:w="90" w:type="dxa"/>
              <w:left w:w="110" w:type="dxa"/>
              <w:bottom w:w="90" w:type="dxa"/>
              <w:right w:w="110" w:type="dxa"/>
            </w:tcMar>
            <w:vAlign w:val="center"/>
          </w:tcPr>
          <w:p w14:paraId="2B34606E" w14:textId="77777777" w:rsidR="00F95B95" w:rsidRDefault="00000000">
            <w:pPr>
              <w:spacing w:line="317" w:lineRule="auto"/>
            </w:pPr>
            <w:r>
              <w:rPr>
                <w:color w:val="0B1118"/>
                <w:sz w:val="19"/>
                <w:szCs w:val="19"/>
              </w:rPr>
              <w:t>Immutability (Object Lock / Azure Blob immutability) enforced everywhere; customer-managed encryption keys (BYOK/CMEK) used where supported; storage lifecycle policies manage cost.</w:t>
            </w:r>
          </w:p>
        </w:tc>
      </w:tr>
      <w:tr w:rsidR="00F95B95" w14:paraId="0AF73236"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05A4B455" w14:textId="77777777" w:rsidR="00F95B95" w:rsidRDefault="00000000">
            <w:pPr>
              <w:spacing w:line="317" w:lineRule="auto"/>
            </w:pPr>
            <w:r>
              <w:rPr>
                <w:b/>
                <w:bCs/>
                <w:color w:val="0B1118"/>
                <w:sz w:val="19"/>
                <w:szCs w:val="19"/>
              </w:rPr>
              <w:lastRenderedPageBreak/>
              <w:t>Centralized Management &amp; Multi-Cluster</w:t>
            </w:r>
          </w:p>
        </w:tc>
        <w:tc>
          <w:tcPr>
            <w:tcW w:w="6760" w:type="dxa"/>
            <w:shd w:val="clear" w:color="auto" w:fill="EEF2F1"/>
            <w:tcMar>
              <w:top w:w="90" w:type="dxa"/>
              <w:left w:w="110" w:type="dxa"/>
              <w:bottom w:w="90" w:type="dxa"/>
              <w:right w:w="110" w:type="dxa"/>
            </w:tcMar>
            <w:vAlign w:val="center"/>
          </w:tcPr>
          <w:p w14:paraId="1AA6C599" w14:textId="77777777" w:rsidR="00F95B95" w:rsidRDefault="00000000">
            <w:pPr>
              <w:spacing w:line="317" w:lineRule="auto"/>
            </w:pPr>
            <w:r>
              <w:rPr>
                <w:color w:val="0B1118"/>
                <w:sz w:val="19"/>
                <w:szCs w:val="19"/>
              </w:rPr>
              <w:t>The full multi-cluster fleet, including edge and air-gapped sites, is centrally governed, with local caching (e.g., MinIO) for disconnected clusters synchronized on a schedule.</w:t>
            </w:r>
          </w:p>
        </w:tc>
      </w:tr>
      <w:tr w:rsidR="00F95B95" w14:paraId="29128E4D"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484DFADD" w14:textId="77777777" w:rsidR="00F95B95" w:rsidRDefault="00000000">
            <w:pPr>
              <w:spacing w:line="317" w:lineRule="auto"/>
            </w:pPr>
            <w:r>
              <w:rPr>
                <w:b/>
                <w:bCs/>
                <w:color w:val="0B1118"/>
                <w:sz w:val="19"/>
                <w:szCs w:val="19"/>
              </w:rPr>
              <w:t>Disaster Recovery</w:t>
            </w:r>
          </w:p>
        </w:tc>
        <w:tc>
          <w:tcPr>
            <w:tcW w:w="6760" w:type="dxa"/>
            <w:shd w:val="clear" w:color="auto" w:fill="FFFFFF"/>
            <w:tcMar>
              <w:top w:w="90" w:type="dxa"/>
              <w:left w:w="110" w:type="dxa"/>
              <w:bottom w:w="90" w:type="dxa"/>
              <w:right w:w="110" w:type="dxa"/>
            </w:tcMar>
            <w:vAlign w:val="center"/>
          </w:tcPr>
          <w:p w14:paraId="729DC16E" w14:textId="77777777" w:rsidR="00F95B95" w:rsidRDefault="00000000">
            <w:pPr>
              <w:spacing w:line="317" w:lineRule="auto"/>
            </w:pPr>
            <w:r>
              <w:rPr>
                <w:color w:val="0B1118"/>
                <w:sz w:val="19"/>
                <w:szCs w:val="19"/>
              </w:rPr>
              <w:t>Kasten DR (KDR) is enabled so the backup catalog itself survives loss of the source K10 instance. DR topology (cold or warm standby) is matched to each workload tier's RTO/RPO, and drills are scheduled.</w:t>
            </w:r>
          </w:p>
        </w:tc>
      </w:tr>
      <w:tr w:rsidR="00F95B95" w14:paraId="02979C06"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47E9E4AF" w14:textId="77777777" w:rsidR="00F95B95" w:rsidRDefault="00000000">
            <w:pPr>
              <w:spacing w:line="317" w:lineRule="auto"/>
            </w:pPr>
            <w:r>
              <w:rPr>
                <w:b/>
                <w:bCs/>
                <w:color w:val="0B1118"/>
                <w:sz w:val="19"/>
                <w:szCs w:val="19"/>
              </w:rPr>
              <w:t>Observability, Compliance &amp; Reporting</w:t>
            </w:r>
          </w:p>
        </w:tc>
        <w:tc>
          <w:tcPr>
            <w:tcW w:w="6760" w:type="dxa"/>
            <w:shd w:val="clear" w:color="auto" w:fill="EEF2F1"/>
            <w:tcMar>
              <w:top w:w="90" w:type="dxa"/>
              <w:left w:w="110" w:type="dxa"/>
              <w:bottom w:w="90" w:type="dxa"/>
              <w:right w:w="110" w:type="dxa"/>
            </w:tcMar>
            <w:vAlign w:val="center"/>
          </w:tcPr>
          <w:p w14:paraId="72F6D6B4" w14:textId="77777777" w:rsidR="00F95B95" w:rsidRDefault="00000000">
            <w:pPr>
              <w:spacing w:line="317" w:lineRule="auto"/>
            </w:pPr>
            <w:r>
              <w:rPr>
                <w:color w:val="0B1118"/>
                <w:sz w:val="19"/>
                <w:szCs w:val="19"/>
              </w:rPr>
              <w:t>Compliance reporting operational for frameworks such as SOC 2, PCI-DSS, and HIPAA. Backup coverage is tracked as a fleet governance metric, not just a per-cluster status.</w:t>
            </w:r>
          </w:p>
        </w:tc>
      </w:tr>
      <w:tr w:rsidR="00F95B95" w14:paraId="0D6DC7D7"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D494390" w14:textId="77777777" w:rsidR="00F95B95" w:rsidRDefault="00000000">
            <w:pPr>
              <w:spacing w:line="317" w:lineRule="auto"/>
            </w:pPr>
            <w:r>
              <w:rPr>
                <w:b/>
                <w:bCs/>
                <w:color w:val="0B1118"/>
                <w:sz w:val="19"/>
                <w:szCs w:val="19"/>
              </w:rPr>
              <w:t>People, Process &amp; Continuous Validation</w:t>
            </w:r>
          </w:p>
        </w:tc>
        <w:tc>
          <w:tcPr>
            <w:tcW w:w="6760" w:type="dxa"/>
            <w:shd w:val="clear" w:color="auto" w:fill="FFFFFF"/>
            <w:tcMar>
              <w:top w:w="90" w:type="dxa"/>
              <w:left w:w="110" w:type="dxa"/>
              <w:bottom w:w="90" w:type="dxa"/>
              <w:right w:w="110" w:type="dxa"/>
            </w:tcMar>
            <w:vAlign w:val="center"/>
          </w:tcPr>
          <w:p w14:paraId="4EB19353" w14:textId="77777777" w:rsidR="00F95B95" w:rsidRDefault="00000000">
            <w:pPr>
              <w:spacing w:line="317" w:lineRule="auto"/>
            </w:pPr>
            <w:r>
              <w:rPr>
                <w:color w:val="0B1118"/>
                <w:sz w:val="19"/>
                <w:szCs w:val="19"/>
              </w:rPr>
              <w:t>Recovery testing is scheduled (quarterly or better), documented with actual recovery times against RTO targets, and runbooks are kept current. Results are archived for audit.</w:t>
            </w:r>
          </w:p>
        </w:tc>
      </w:tr>
    </w:tbl>
    <w:p w14:paraId="47982E7D" w14:textId="77777777" w:rsidR="00F95B95" w:rsidRDefault="00F95B95">
      <w:pPr>
        <w:spacing w:after="260"/>
      </w:pPr>
    </w:p>
    <w:tbl>
      <w:tblPr>
        <w:tblW w:w="9360" w:type="dxa"/>
        <w:tblCellMar>
          <w:left w:w="10" w:type="dxa"/>
          <w:right w:w="10" w:type="dxa"/>
        </w:tblCellMar>
        <w:tblLook w:val="04A0" w:firstRow="1" w:lastRow="0" w:firstColumn="1" w:lastColumn="0" w:noHBand="0" w:noVBand="1"/>
      </w:tblPr>
      <w:tblGrid>
        <w:gridCol w:w="9360"/>
      </w:tblGrid>
      <w:tr w:rsidR="00F95B95" w14:paraId="3B67DE9D" w14:textId="77777777">
        <w:tblPrEx>
          <w:tblCellMar>
            <w:top w:w="0" w:type="dxa"/>
            <w:bottom w:w="0" w:type="dxa"/>
          </w:tblCellMar>
        </w:tblPrEx>
        <w:tc>
          <w:tcPr>
            <w:tcW w:w="9360" w:type="dxa"/>
            <w:shd w:val="clear" w:color="auto" w:fill="00A550"/>
            <w:tcMar>
              <w:top w:w="160" w:type="dxa"/>
              <w:left w:w="220" w:type="dxa"/>
              <w:bottom w:w="160" w:type="dxa"/>
              <w:right w:w="220" w:type="dxa"/>
            </w:tcMar>
          </w:tcPr>
          <w:p w14:paraId="343C51C5" w14:textId="77777777" w:rsidR="00F95B95" w:rsidRDefault="00000000">
            <w:pPr>
              <w:spacing w:line="317" w:lineRule="auto"/>
            </w:pPr>
            <w:r>
              <w:rPr>
                <w:b/>
                <w:bCs/>
                <w:color w:val="FFFFFF"/>
                <w:sz w:val="28"/>
                <w:szCs w:val="28"/>
              </w:rPr>
              <w:t>Level 5 — Adaptive</w:t>
            </w:r>
          </w:p>
          <w:p w14:paraId="0919BCAD" w14:textId="77777777" w:rsidR="00F95B95" w:rsidRDefault="00000000">
            <w:pPr>
              <w:spacing w:before="60" w:line="317" w:lineRule="auto"/>
            </w:pPr>
            <w:r>
              <w:rPr>
                <w:i/>
                <w:iCs/>
                <w:color w:val="FFFFFF"/>
                <w:sz w:val="20"/>
                <w:szCs w:val="20"/>
              </w:rPr>
              <w:t>Data protection is a continuously improving program. Teams self-serve safely, anomalies are caught automatically, and the architecture is re-validated as the business changes.</w:t>
            </w:r>
          </w:p>
        </w:tc>
      </w:tr>
    </w:tbl>
    <w:p w14:paraId="1AD3F57E" w14:textId="77777777" w:rsidR="00F95B95" w:rsidRDefault="00F95B95">
      <w:pPr>
        <w:spacing w:after="160"/>
      </w:pPr>
    </w:p>
    <w:tbl>
      <w:tblPr>
        <w:tblW w:w="936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600"/>
        <w:gridCol w:w="6760"/>
      </w:tblGrid>
      <w:tr w:rsidR="00F95B95" w14:paraId="2F27AEEF" w14:textId="77777777">
        <w:tblPrEx>
          <w:tblCellMar>
            <w:top w:w="0" w:type="dxa"/>
            <w:bottom w:w="0" w:type="dxa"/>
          </w:tblCellMar>
        </w:tblPrEx>
        <w:trPr>
          <w:tblHeader/>
        </w:trPr>
        <w:tc>
          <w:tcPr>
            <w:tcW w:w="2600" w:type="dxa"/>
            <w:shd w:val="clear" w:color="auto" w:fill="1B1F23"/>
            <w:tcMar>
              <w:top w:w="90" w:type="dxa"/>
              <w:left w:w="110" w:type="dxa"/>
              <w:bottom w:w="90" w:type="dxa"/>
              <w:right w:w="110" w:type="dxa"/>
            </w:tcMar>
            <w:vAlign w:val="center"/>
          </w:tcPr>
          <w:p w14:paraId="507DAF0D" w14:textId="77777777" w:rsidR="00F95B95" w:rsidRDefault="00000000">
            <w:pPr>
              <w:spacing w:line="317" w:lineRule="auto"/>
            </w:pPr>
            <w:r>
              <w:rPr>
                <w:b/>
                <w:bCs/>
                <w:color w:val="FFFFFF"/>
                <w:sz w:val="19"/>
                <w:szCs w:val="19"/>
              </w:rPr>
              <w:t>Dimension</w:t>
            </w:r>
          </w:p>
        </w:tc>
        <w:tc>
          <w:tcPr>
            <w:tcW w:w="6760" w:type="dxa"/>
            <w:shd w:val="clear" w:color="auto" w:fill="1B1F23"/>
            <w:tcMar>
              <w:top w:w="90" w:type="dxa"/>
              <w:left w:w="110" w:type="dxa"/>
              <w:bottom w:w="90" w:type="dxa"/>
              <w:right w:w="110" w:type="dxa"/>
            </w:tcMar>
            <w:vAlign w:val="center"/>
          </w:tcPr>
          <w:p w14:paraId="00B15C1F" w14:textId="77777777" w:rsidR="00F95B95" w:rsidRDefault="00000000">
            <w:pPr>
              <w:spacing w:line="317" w:lineRule="auto"/>
            </w:pPr>
            <w:r>
              <w:rPr>
                <w:b/>
                <w:bCs/>
                <w:color w:val="FFFFFF"/>
                <w:sz w:val="19"/>
                <w:szCs w:val="19"/>
              </w:rPr>
              <w:t>What it looks like at this level</w:t>
            </w:r>
          </w:p>
        </w:tc>
      </w:tr>
      <w:tr w:rsidR="00F95B95" w14:paraId="1968CC70"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06EDDF8" w14:textId="77777777" w:rsidR="00F95B95" w:rsidRDefault="00000000">
            <w:pPr>
              <w:spacing w:line="317" w:lineRule="auto"/>
            </w:pPr>
            <w:r>
              <w:rPr>
                <w:b/>
                <w:bCs/>
                <w:color w:val="0B1118"/>
                <w:sz w:val="19"/>
                <w:szCs w:val="19"/>
              </w:rPr>
              <w:t>Coverage &amp; Policy Automation</w:t>
            </w:r>
          </w:p>
        </w:tc>
        <w:tc>
          <w:tcPr>
            <w:tcW w:w="6760" w:type="dxa"/>
            <w:shd w:val="clear" w:color="auto" w:fill="FFFFFF"/>
            <w:tcMar>
              <w:top w:w="90" w:type="dxa"/>
              <w:left w:w="110" w:type="dxa"/>
              <w:bottom w:w="90" w:type="dxa"/>
              <w:right w:w="110" w:type="dxa"/>
            </w:tcMar>
            <w:vAlign w:val="center"/>
          </w:tcPr>
          <w:p w14:paraId="58463B96" w14:textId="77777777" w:rsidR="00F95B95" w:rsidRDefault="00000000">
            <w:pPr>
              <w:spacing w:line="317" w:lineRule="auto"/>
            </w:pPr>
            <w:r>
              <w:rPr>
                <w:color w:val="0B1118"/>
                <w:sz w:val="19"/>
                <w:szCs w:val="19"/>
              </w:rPr>
              <w:t>New applications and business units are onboarded with zero manual backup configuration; policy automation is continuously tuned as the estate evolves.</w:t>
            </w:r>
          </w:p>
        </w:tc>
      </w:tr>
      <w:tr w:rsidR="00F95B95" w14:paraId="30BDB9D8"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6477A5E0" w14:textId="77777777" w:rsidR="00F95B95" w:rsidRDefault="00000000">
            <w:pPr>
              <w:spacing w:line="317" w:lineRule="auto"/>
            </w:pPr>
            <w:r>
              <w:rPr>
                <w:b/>
                <w:bCs/>
                <w:color w:val="0B1118"/>
                <w:sz w:val="19"/>
                <w:szCs w:val="19"/>
              </w:rPr>
              <w:t>Application Consistency</w:t>
            </w:r>
          </w:p>
        </w:tc>
        <w:tc>
          <w:tcPr>
            <w:tcW w:w="6760" w:type="dxa"/>
            <w:shd w:val="clear" w:color="auto" w:fill="EEF2F1"/>
            <w:tcMar>
              <w:top w:w="90" w:type="dxa"/>
              <w:left w:w="110" w:type="dxa"/>
              <w:bottom w:w="90" w:type="dxa"/>
              <w:right w:w="110" w:type="dxa"/>
            </w:tcMar>
            <w:vAlign w:val="center"/>
          </w:tcPr>
          <w:p w14:paraId="5D235D43" w14:textId="77777777" w:rsidR="00F95B95" w:rsidRDefault="00000000">
            <w:pPr>
              <w:spacing w:line="317" w:lineRule="auto"/>
            </w:pPr>
            <w:r>
              <w:rPr>
                <w:color w:val="0B1118"/>
                <w:sz w:val="19"/>
                <w:szCs w:val="19"/>
              </w:rPr>
              <w:t>The Blueprint library is actively maintained and extended in-house; new application types are onboarded with custom Blueprints as they are adopted.</w:t>
            </w:r>
          </w:p>
        </w:tc>
      </w:tr>
      <w:tr w:rsidR="00F95B95" w14:paraId="0B787FC5"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798F5986" w14:textId="77777777" w:rsidR="00F95B95" w:rsidRDefault="00000000">
            <w:pPr>
              <w:spacing w:line="317" w:lineRule="auto"/>
            </w:pPr>
            <w:r>
              <w:rPr>
                <w:b/>
                <w:bCs/>
                <w:color w:val="0B1118"/>
                <w:sz w:val="19"/>
                <w:szCs w:val="19"/>
              </w:rPr>
              <w:t>Storage, Immutability &amp; Security</w:t>
            </w:r>
          </w:p>
        </w:tc>
        <w:tc>
          <w:tcPr>
            <w:tcW w:w="6760" w:type="dxa"/>
            <w:shd w:val="clear" w:color="auto" w:fill="FFFFFF"/>
            <w:tcMar>
              <w:top w:w="90" w:type="dxa"/>
              <w:left w:w="110" w:type="dxa"/>
              <w:bottom w:w="90" w:type="dxa"/>
              <w:right w:w="110" w:type="dxa"/>
            </w:tcMar>
            <w:vAlign w:val="center"/>
          </w:tcPr>
          <w:p w14:paraId="0B6A6384" w14:textId="77777777" w:rsidR="00F95B95" w:rsidRDefault="00000000">
            <w:pPr>
              <w:spacing w:line="317" w:lineRule="auto"/>
            </w:pPr>
            <w:r>
              <w:rPr>
                <w:color w:val="0B1118"/>
                <w:sz w:val="19"/>
                <w:szCs w:val="19"/>
              </w:rPr>
              <w:t>Backup patterns are monitored for anomalies (unexpected size or deletion patterns) via SIEM integration as an early ransomware indicator; storage cost is continuously optimized through FinOps practices.</w:t>
            </w:r>
          </w:p>
        </w:tc>
      </w:tr>
      <w:tr w:rsidR="00F95B95" w14:paraId="6CA72BD7"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28CA609D" w14:textId="77777777" w:rsidR="00F95B95" w:rsidRDefault="00000000">
            <w:pPr>
              <w:spacing w:line="317" w:lineRule="auto"/>
            </w:pPr>
            <w:r>
              <w:rPr>
                <w:b/>
                <w:bCs/>
                <w:color w:val="0B1118"/>
                <w:sz w:val="19"/>
                <w:szCs w:val="19"/>
              </w:rPr>
              <w:t>Centralized Management &amp; Multi-Cluster</w:t>
            </w:r>
          </w:p>
        </w:tc>
        <w:tc>
          <w:tcPr>
            <w:tcW w:w="6760" w:type="dxa"/>
            <w:shd w:val="clear" w:color="auto" w:fill="EEF2F1"/>
            <w:tcMar>
              <w:top w:w="90" w:type="dxa"/>
              <w:left w:w="110" w:type="dxa"/>
              <w:bottom w:w="90" w:type="dxa"/>
              <w:right w:w="110" w:type="dxa"/>
            </w:tcMar>
            <w:vAlign w:val="center"/>
          </w:tcPr>
          <w:p w14:paraId="76E93BC7" w14:textId="77777777" w:rsidR="00F95B95" w:rsidRDefault="00000000">
            <w:pPr>
              <w:spacing w:line="317" w:lineRule="auto"/>
            </w:pPr>
            <w:r>
              <w:rPr>
                <w:color w:val="0B1118"/>
                <w:sz w:val="19"/>
                <w:szCs w:val="19"/>
              </w:rPr>
              <w:t>Namespace-scoped self-service restore lets application teams recover their own workloads within RBAC boundaries, without platform team involvement.</w:t>
            </w:r>
          </w:p>
        </w:tc>
      </w:tr>
      <w:tr w:rsidR="00F95B95" w14:paraId="5726105A"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6449BC2F" w14:textId="77777777" w:rsidR="00F95B95" w:rsidRDefault="00000000">
            <w:pPr>
              <w:spacing w:line="317" w:lineRule="auto"/>
            </w:pPr>
            <w:r>
              <w:rPr>
                <w:b/>
                <w:bCs/>
                <w:color w:val="0B1118"/>
                <w:sz w:val="19"/>
                <w:szCs w:val="19"/>
              </w:rPr>
              <w:t>Disaster Recovery</w:t>
            </w:r>
          </w:p>
        </w:tc>
        <w:tc>
          <w:tcPr>
            <w:tcW w:w="6760" w:type="dxa"/>
            <w:shd w:val="clear" w:color="auto" w:fill="FFFFFF"/>
            <w:tcMar>
              <w:top w:w="90" w:type="dxa"/>
              <w:left w:w="110" w:type="dxa"/>
              <w:bottom w:w="90" w:type="dxa"/>
              <w:right w:w="110" w:type="dxa"/>
            </w:tcMar>
            <w:vAlign w:val="center"/>
          </w:tcPr>
          <w:p w14:paraId="7BC53242" w14:textId="77777777" w:rsidR="00F95B95" w:rsidRDefault="00000000">
            <w:pPr>
              <w:spacing w:line="317" w:lineRule="auto"/>
            </w:pPr>
            <w:r>
              <w:rPr>
                <w:color w:val="0B1118"/>
                <w:sz w:val="19"/>
                <w:szCs w:val="19"/>
              </w:rPr>
              <w:t>DR is validated through regular, automated game-day exercises; RTO/RPO performance is measured continuously and re-benchmarked against evolving business requirements.</w:t>
            </w:r>
          </w:p>
        </w:tc>
      </w:tr>
      <w:tr w:rsidR="00F95B95" w14:paraId="7C8E8860"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6A4E28A1" w14:textId="77777777" w:rsidR="00F95B95" w:rsidRDefault="00000000">
            <w:pPr>
              <w:spacing w:line="317" w:lineRule="auto"/>
            </w:pPr>
            <w:r>
              <w:rPr>
                <w:b/>
                <w:bCs/>
                <w:color w:val="0B1118"/>
                <w:sz w:val="19"/>
                <w:szCs w:val="19"/>
              </w:rPr>
              <w:t>Observability, Compliance &amp; Reporting</w:t>
            </w:r>
          </w:p>
        </w:tc>
        <w:tc>
          <w:tcPr>
            <w:tcW w:w="6760" w:type="dxa"/>
            <w:shd w:val="clear" w:color="auto" w:fill="EEF2F1"/>
            <w:tcMar>
              <w:top w:w="90" w:type="dxa"/>
              <w:left w:w="110" w:type="dxa"/>
              <w:bottom w:w="90" w:type="dxa"/>
              <w:right w:w="110" w:type="dxa"/>
            </w:tcMar>
            <w:vAlign w:val="center"/>
          </w:tcPr>
          <w:p w14:paraId="5379A3D2" w14:textId="77777777" w:rsidR="00F95B95" w:rsidRDefault="00000000">
            <w:pPr>
              <w:spacing w:line="317" w:lineRule="auto"/>
            </w:pPr>
            <w:r>
              <w:rPr>
                <w:color w:val="0B1118"/>
                <w:sz w:val="19"/>
                <w:szCs w:val="19"/>
              </w:rPr>
              <w:t>Real-time compliance dashboards; licensing and entitlement usage tracked proactively ahead of renewal; annual architecture review against current business requirements.</w:t>
            </w:r>
          </w:p>
        </w:tc>
      </w:tr>
      <w:tr w:rsidR="00F95B95" w14:paraId="114F8F39"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312C9F5" w14:textId="77777777" w:rsidR="00F95B95" w:rsidRDefault="00000000">
            <w:pPr>
              <w:spacing w:line="317" w:lineRule="auto"/>
            </w:pPr>
            <w:r>
              <w:rPr>
                <w:b/>
                <w:bCs/>
                <w:color w:val="0B1118"/>
                <w:sz w:val="19"/>
                <w:szCs w:val="19"/>
              </w:rPr>
              <w:t>People, Process &amp; Continuous Validation</w:t>
            </w:r>
          </w:p>
        </w:tc>
        <w:tc>
          <w:tcPr>
            <w:tcW w:w="6760" w:type="dxa"/>
            <w:shd w:val="clear" w:color="auto" w:fill="FFFFFF"/>
            <w:tcMar>
              <w:top w:w="90" w:type="dxa"/>
              <w:left w:w="110" w:type="dxa"/>
              <w:bottom w:w="90" w:type="dxa"/>
              <w:right w:w="110" w:type="dxa"/>
            </w:tcMar>
            <w:vAlign w:val="center"/>
          </w:tcPr>
          <w:p w14:paraId="02DA71E2" w14:textId="77777777" w:rsidR="00F95B95" w:rsidRDefault="00000000">
            <w:pPr>
              <w:spacing w:line="317" w:lineRule="auto"/>
            </w:pPr>
            <w:r>
              <w:rPr>
                <w:color w:val="0B1118"/>
                <w:sz w:val="19"/>
                <w:szCs w:val="19"/>
              </w:rPr>
              <w:t>A continuous improvement loop: findings from every drill or incident feed back into policy, architecture, and training. Overall maturity is reassessed at least annually.</w:t>
            </w:r>
          </w:p>
        </w:tc>
      </w:tr>
    </w:tbl>
    <w:p w14:paraId="343636F3" w14:textId="77777777" w:rsidR="00F95B95" w:rsidRDefault="00F95B95">
      <w:pPr>
        <w:spacing w:after="260"/>
      </w:pPr>
    </w:p>
    <w:p w14:paraId="1EE6D1CE" w14:textId="77777777" w:rsidR="00F95B95" w:rsidRDefault="00000000">
      <w:r>
        <w:br w:type="page"/>
      </w:r>
    </w:p>
    <w:p w14:paraId="180B7EC1" w14:textId="77777777" w:rsidR="00F95B95" w:rsidRDefault="00000000">
      <w:pPr>
        <w:pStyle w:val="Heading1"/>
        <w:pBdr>
          <w:bottom w:val="single" w:sz="12" w:space="4" w:color="00A550"/>
        </w:pBdr>
        <w:spacing w:before="360" w:after="200"/>
      </w:pPr>
      <w:r>
        <w:rPr>
          <w:b/>
          <w:bCs/>
          <w:color w:val="0B1118"/>
        </w:rPr>
        <w:lastRenderedPageBreak/>
        <w:t>3. The Day-2 Operating Model</w:t>
      </w:r>
    </w:p>
    <w:p w14:paraId="0C0A62B5" w14:textId="77777777" w:rsidR="00F95B95" w:rsidRDefault="00000000">
      <w:pPr>
        <w:spacing w:after="160" w:line="288" w:lineRule="auto"/>
      </w:pPr>
      <w:r>
        <w:rPr>
          <w:color w:val="0B1118"/>
        </w:rPr>
        <w:t>Reaching a maturity level is not a one-time project — it is sustained by a recurring operating cadence. The practices below are what keep an environment at Level 3 or above from silently drifting back toward Level 1 as clusters, applications, and teams change.</w:t>
      </w:r>
    </w:p>
    <w:p w14:paraId="05797883" w14:textId="77777777" w:rsidR="00F95B95" w:rsidRDefault="00000000">
      <w:pPr>
        <w:pStyle w:val="Heading2"/>
        <w:spacing w:before="280" w:after="140"/>
      </w:pPr>
      <w:r>
        <w:rPr>
          <w:b/>
          <w:bCs/>
          <w:color w:val="007A3D"/>
        </w:rPr>
        <w:t>3.1 Operating cadence</w:t>
      </w:r>
    </w:p>
    <w:tbl>
      <w:tblPr>
        <w:tblW w:w="936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200"/>
        <w:gridCol w:w="7160"/>
      </w:tblGrid>
      <w:tr w:rsidR="00F95B95" w14:paraId="4AE09C45" w14:textId="77777777">
        <w:tblPrEx>
          <w:tblCellMar>
            <w:top w:w="0" w:type="dxa"/>
            <w:bottom w:w="0" w:type="dxa"/>
          </w:tblCellMar>
        </w:tblPrEx>
        <w:trPr>
          <w:tblHeader/>
        </w:trPr>
        <w:tc>
          <w:tcPr>
            <w:tcW w:w="2200" w:type="dxa"/>
            <w:shd w:val="clear" w:color="auto" w:fill="1B1F23"/>
            <w:tcMar>
              <w:top w:w="90" w:type="dxa"/>
              <w:left w:w="110" w:type="dxa"/>
              <w:bottom w:w="90" w:type="dxa"/>
              <w:right w:w="110" w:type="dxa"/>
            </w:tcMar>
            <w:vAlign w:val="center"/>
          </w:tcPr>
          <w:p w14:paraId="2010DEA5" w14:textId="77777777" w:rsidR="00F95B95" w:rsidRDefault="00000000">
            <w:pPr>
              <w:spacing w:line="317" w:lineRule="auto"/>
            </w:pPr>
            <w:r>
              <w:rPr>
                <w:b/>
                <w:bCs/>
                <w:color w:val="FFFFFF"/>
                <w:sz w:val="19"/>
                <w:szCs w:val="19"/>
              </w:rPr>
              <w:t>Cadence</w:t>
            </w:r>
          </w:p>
        </w:tc>
        <w:tc>
          <w:tcPr>
            <w:tcW w:w="7160" w:type="dxa"/>
            <w:shd w:val="clear" w:color="auto" w:fill="1B1F23"/>
            <w:tcMar>
              <w:top w:w="90" w:type="dxa"/>
              <w:left w:w="110" w:type="dxa"/>
              <w:bottom w:w="90" w:type="dxa"/>
              <w:right w:w="110" w:type="dxa"/>
            </w:tcMar>
            <w:vAlign w:val="center"/>
          </w:tcPr>
          <w:p w14:paraId="423A1FBE" w14:textId="77777777" w:rsidR="00F95B95" w:rsidRDefault="00000000">
            <w:pPr>
              <w:spacing w:line="317" w:lineRule="auto"/>
            </w:pPr>
            <w:r>
              <w:rPr>
                <w:b/>
                <w:bCs/>
                <w:color w:val="FFFFFF"/>
                <w:sz w:val="19"/>
                <w:szCs w:val="19"/>
              </w:rPr>
              <w:t>Activities</w:t>
            </w:r>
          </w:p>
        </w:tc>
      </w:tr>
      <w:tr w:rsidR="00F95B95" w14:paraId="33EBCF33" w14:textId="77777777">
        <w:tblPrEx>
          <w:tblCellMar>
            <w:top w:w="0" w:type="dxa"/>
            <w:bottom w:w="0" w:type="dxa"/>
          </w:tblCellMar>
        </w:tblPrEx>
        <w:tc>
          <w:tcPr>
            <w:tcW w:w="2200" w:type="dxa"/>
            <w:shd w:val="clear" w:color="auto" w:fill="FFFFFF"/>
            <w:tcMar>
              <w:top w:w="90" w:type="dxa"/>
              <w:left w:w="110" w:type="dxa"/>
              <w:bottom w:w="90" w:type="dxa"/>
              <w:right w:w="110" w:type="dxa"/>
            </w:tcMar>
          </w:tcPr>
          <w:p w14:paraId="25D7D5F0" w14:textId="77777777" w:rsidR="00F95B95" w:rsidRDefault="00000000">
            <w:pPr>
              <w:spacing w:line="317" w:lineRule="auto"/>
            </w:pPr>
            <w:r>
              <w:rPr>
                <w:b/>
                <w:bCs/>
                <w:color w:val="0B1118"/>
                <w:sz w:val="19"/>
                <w:szCs w:val="19"/>
              </w:rPr>
              <w:t>Daily / Continuous</w:t>
            </w:r>
          </w:p>
        </w:tc>
        <w:tc>
          <w:tcPr>
            <w:tcW w:w="7160" w:type="dxa"/>
            <w:shd w:val="clear" w:color="auto" w:fill="FFFFFF"/>
            <w:tcMar>
              <w:top w:w="90" w:type="dxa"/>
              <w:left w:w="110" w:type="dxa"/>
              <w:bottom w:w="90" w:type="dxa"/>
              <w:right w:w="110" w:type="dxa"/>
            </w:tcMar>
            <w:vAlign w:val="center"/>
          </w:tcPr>
          <w:p w14:paraId="688A1219" w14:textId="77777777" w:rsidR="00240B94" w:rsidRDefault="00000000">
            <w:pPr>
              <w:spacing w:line="317" w:lineRule="auto"/>
              <w:rPr>
                <w:color w:val="1B1F23"/>
                <w:sz w:val="19"/>
                <w:szCs w:val="19"/>
              </w:rPr>
            </w:pPr>
            <w:r>
              <w:rPr>
                <w:color w:val="0B1118"/>
                <w:sz w:val="19"/>
                <w:szCs w:val="19"/>
              </w:rPr>
              <w:t xml:space="preserve">• Automated policy execution — CSI snapshots and exports run to schedule. </w:t>
            </w:r>
          </w:p>
          <w:p w14:paraId="64372DFA" w14:textId="19C653D0" w:rsidR="00F95B95" w:rsidRDefault="00000000">
            <w:pPr>
              <w:spacing w:line="317" w:lineRule="auto"/>
            </w:pPr>
            <w:r>
              <w:rPr>
                <w:color w:val="0B1118"/>
                <w:sz w:val="19"/>
                <w:szCs w:val="19"/>
              </w:rPr>
              <w:t>• Alerting pipeline watches for job failures, missed RPO windows, and storage anomalies.</w:t>
            </w:r>
          </w:p>
        </w:tc>
      </w:tr>
      <w:tr w:rsidR="00F95B95" w14:paraId="2CF7897D" w14:textId="77777777">
        <w:tblPrEx>
          <w:tblCellMar>
            <w:top w:w="0" w:type="dxa"/>
            <w:bottom w:w="0" w:type="dxa"/>
          </w:tblCellMar>
        </w:tblPrEx>
        <w:tc>
          <w:tcPr>
            <w:tcW w:w="2200" w:type="dxa"/>
            <w:shd w:val="clear" w:color="auto" w:fill="EEF2F1"/>
            <w:tcMar>
              <w:top w:w="90" w:type="dxa"/>
              <w:left w:w="110" w:type="dxa"/>
              <w:bottom w:w="90" w:type="dxa"/>
              <w:right w:w="110" w:type="dxa"/>
            </w:tcMar>
          </w:tcPr>
          <w:p w14:paraId="7878A945" w14:textId="77777777" w:rsidR="00F95B95" w:rsidRDefault="00000000">
            <w:pPr>
              <w:spacing w:line="317" w:lineRule="auto"/>
            </w:pPr>
            <w:r>
              <w:rPr>
                <w:b/>
                <w:bCs/>
                <w:color w:val="0B1118"/>
                <w:sz w:val="19"/>
                <w:szCs w:val="19"/>
              </w:rPr>
              <w:t>Weekly</w:t>
            </w:r>
          </w:p>
        </w:tc>
        <w:tc>
          <w:tcPr>
            <w:tcW w:w="7160" w:type="dxa"/>
            <w:shd w:val="clear" w:color="auto" w:fill="EEF2F1"/>
            <w:tcMar>
              <w:top w:w="90" w:type="dxa"/>
              <w:left w:w="110" w:type="dxa"/>
              <w:bottom w:w="90" w:type="dxa"/>
              <w:right w:w="110" w:type="dxa"/>
            </w:tcMar>
            <w:vAlign w:val="center"/>
          </w:tcPr>
          <w:p w14:paraId="5E67451F" w14:textId="77777777" w:rsidR="00240B94" w:rsidRDefault="00000000">
            <w:pPr>
              <w:spacing w:line="317" w:lineRule="auto"/>
              <w:rPr>
                <w:color w:val="1B1F23"/>
                <w:sz w:val="19"/>
                <w:szCs w:val="19"/>
              </w:rPr>
            </w:pPr>
            <w:r>
              <w:rPr>
                <w:color w:val="0B1118"/>
                <w:sz w:val="19"/>
                <w:szCs w:val="19"/>
              </w:rPr>
              <w:t xml:space="preserve">• Review the Kasten dashboard; investigate any failed or warned jobs before they accumulate. </w:t>
            </w:r>
          </w:p>
          <w:p w14:paraId="4802C2CA" w14:textId="13E54A7C" w:rsidR="00F95B95" w:rsidRDefault="00000000">
            <w:pPr>
              <w:spacing w:line="317" w:lineRule="auto"/>
            </w:pPr>
            <w:r>
              <w:rPr>
                <w:color w:val="0B1118"/>
                <w:sz w:val="19"/>
                <w:szCs w:val="19"/>
              </w:rPr>
              <w:t>• Confirm all jobs complete within their defined backup window without contention.</w:t>
            </w:r>
          </w:p>
        </w:tc>
      </w:tr>
      <w:tr w:rsidR="00F95B95" w14:paraId="6818F721" w14:textId="77777777">
        <w:tblPrEx>
          <w:tblCellMar>
            <w:top w:w="0" w:type="dxa"/>
            <w:bottom w:w="0" w:type="dxa"/>
          </w:tblCellMar>
        </w:tblPrEx>
        <w:tc>
          <w:tcPr>
            <w:tcW w:w="2200" w:type="dxa"/>
            <w:shd w:val="clear" w:color="auto" w:fill="FFFFFF"/>
            <w:tcMar>
              <w:top w:w="90" w:type="dxa"/>
              <w:left w:w="110" w:type="dxa"/>
              <w:bottom w:w="90" w:type="dxa"/>
              <w:right w:w="110" w:type="dxa"/>
            </w:tcMar>
          </w:tcPr>
          <w:p w14:paraId="2F624C8A" w14:textId="77777777" w:rsidR="00F95B95" w:rsidRDefault="00000000">
            <w:pPr>
              <w:spacing w:line="317" w:lineRule="auto"/>
            </w:pPr>
            <w:r>
              <w:rPr>
                <w:b/>
                <w:bCs/>
                <w:color w:val="0B1118"/>
                <w:sz w:val="19"/>
                <w:szCs w:val="19"/>
              </w:rPr>
              <w:t>Monthly</w:t>
            </w:r>
          </w:p>
        </w:tc>
        <w:tc>
          <w:tcPr>
            <w:tcW w:w="7160" w:type="dxa"/>
            <w:shd w:val="clear" w:color="auto" w:fill="FFFFFF"/>
            <w:tcMar>
              <w:top w:w="90" w:type="dxa"/>
              <w:left w:w="110" w:type="dxa"/>
              <w:bottom w:w="90" w:type="dxa"/>
              <w:right w:w="110" w:type="dxa"/>
            </w:tcMar>
            <w:vAlign w:val="center"/>
          </w:tcPr>
          <w:p w14:paraId="62D8B545" w14:textId="77777777" w:rsidR="00240B94" w:rsidRDefault="00000000">
            <w:pPr>
              <w:spacing w:line="317" w:lineRule="auto"/>
              <w:rPr>
                <w:color w:val="1B1F23"/>
                <w:sz w:val="19"/>
                <w:szCs w:val="19"/>
              </w:rPr>
            </w:pPr>
            <w:r>
              <w:rPr>
                <w:color w:val="0B1118"/>
                <w:sz w:val="19"/>
                <w:szCs w:val="19"/>
              </w:rPr>
              <w:t xml:space="preserve">• Review recent Kasten releases and apply updates on a tested cadence (new versions ship roughly every two weeks). </w:t>
            </w:r>
          </w:p>
          <w:p w14:paraId="691F1296" w14:textId="3AD39A71" w:rsidR="00F95B95" w:rsidRDefault="00000000">
            <w:pPr>
              <w:spacing w:line="317" w:lineRule="auto"/>
            </w:pPr>
            <w:r>
              <w:rPr>
                <w:color w:val="0B1118"/>
                <w:sz w:val="19"/>
                <w:szCs w:val="19"/>
              </w:rPr>
              <w:t>• Audit backup coverage against the current workload inventory; close any gaps.</w:t>
            </w:r>
          </w:p>
        </w:tc>
      </w:tr>
      <w:tr w:rsidR="00F95B95" w14:paraId="4C16AE60" w14:textId="77777777">
        <w:tblPrEx>
          <w:tblCellMar>
            <w:top w:w="0" w:type="dxa"/>
            <w:bottom w:w="0" w:type="dxa"/>
          </w:tblCellMar>
        </w:tblPrEx>
        <w:tc>
          <w:tcPr>
            <w:tcW w:w="2200" w:type="dxa"/>
            <w:shd w:val="clear" w:color="auto" w:fill="EEF2F1"/>
            <w:tcMar>
              <w:top w:w="90" w:type="dxa"/>
              <w:left w:w="110" w:type="dxa"/>
              <w:bottom w:w="90" w:type="dxa"/>
              <w:right w:w="110" w:type="dxa"/>
            </w:tcMar>
          </w:tcPr>
          <w:p w14:paraId="20CDA9BF" w14:textId="77777777" w:rsidR="00F95B95" w:rsidRDefault="00000000">
            <w:pPr>
              <w:spacing w:line="317" w:lineRule="auto"/>
            </w:pPr>
            <w:r>
              <w:rPr>
                <w:b/>
                <w:bCs/>
                <w:color w:val="0B1118"/>
                <w:sz w:val="19"/>
                <w:szCs w:val="19"/>
              </w:rPr>
              <w:t>Quarterly</w:t>
            </w:r>
          </w:p>
        </w:tc>
        <w:tc>
          <w:tcPr>
            <w:tcW w:w="7160" w:type="dxa"/>
            <w:shd w:val="clear" w:color="auto" w:fill="EEF2F1"/>
            <w:tcMar>
              <w:top w:w="90" w:type="dxa"/>
              <w:left w:w="110" w:type="dxa"/>
              <w:bottom w:w="90" w:type="dxa"/>
              <w:right w:w="110" w:type="dxa"/>
            </w:tcMar>
            <w:vAlign w:val="center"/>
          </w:tcPr>
          <w:p w14:paraId="09749818" w14:textId="77777777" w:rsidR="00240B94" w:rsidRDefault="00000000">
            <w:pPr>
              <w:spacing w:line="317" w:lineRule="auto"/>
              <w:rPr>
                <w:color w:val="1B1F23"/>
                <w:sz w:val="19"/>
                <w:szCs w:val="19"/>
              </w:rPr>
            </w:pPr>
            <w:r>
              <w:rPr>
                <w:color w:val="0B1118"/>
                <w:sz w:val="19"/>
                <w:szCs w:val="19"/>
              </w:rPr>
              <w:t xml:space="preserve">• Perform a documented, full recovery test — rotate through different workload types each quarter. </w:t>
            </w:r>
          </w:p>
          <w:p w14:paraId="0CF5C86D" w14:textId="2EAEF833" w:rsidR="00F95B95" w:rsidRDefault="00000000">
            <w:pPr>
              <w:spacing w:line="317" w:lineRule="auto"/>
            </w:pPr>
            <w:r>
              <w:rPr>
                <w:color w:val="0B1118"/>
                <w:sz w:val="19"/>
                <w:szCs w:val="19"/>
              </w:rPr>
              <w:t>• Review RPO/RTO compliance per workload tier against actual measured recovery times.</w:t>
            </w:r>
          </w:p>
        </w:tc>
      </w:tr>
      <w:tr w:rsidR="00F95B95" w14:paraId="6CE341AB" w14:textId="77777777">
        <w:tblPrEx>
          <w:tblCellMar>
            <w:top w:w="0" w:type="dxa"/>
            <w:bottom w:w="0" w:type="dxa"/>
          </w:tblCellMar>
        </w:tblPrEx>
        <w:tc>
          <w:tcPr>
            <w:tcW w:w="2200" w:type="dxa"/>
            <w:shd w:val="clear" w:color="auto" w:fill="FFFFFF"/>
            <w:tcMar>
              <w:top w:w="90" w:type="dxa"/>
              <w:left w:w="110" w:type="dxa"/>
              <w:bottom w:w="90" w:type="dxa"/>
              <w:right w:w="110" w:type="dxa"/>
            </w:tcMar>
          </w:tcPr>
          <w:p w14:paraId="1D2C7C3B" w14:textId="77777777" w:rsidR="00F95B95" w:rsidRDefault="00000000">
            <w:pPr>
              <w:spacing w:line="317" w:lineRule="auto"/>
            </w:pPr>
            <w:r>
              <w:rPr>
                <w:b/>
                <w:bCs/>
                <w:color w:val="0B1118"/>
                <w:sz w:val="19"/>
                <w:szCs w:val="19"/>
              </w:rPr>
              <w:t>Annually</w:t>
            </w:r>
          </w:p>
        </w:tc>
        <w:tc>
          <w:tcPr>
            <w:tcW w:w="7160" w:type="dxa"/>
            <w:shd w:val="clear" w:color="auto" w:fill="FFFFFF"/>
            <w:tcMar>
              <w:top w:w="90" w:type="dxa"/>
              <w:left w:w="110" w:type="dxa"/>
              <w:bottom w:w="90" w:type="dxa"/>
              <w:right w:w="110" w:type="dxa"/>
            </w:tcMar>
            <w:vAlign w:val="center"/>
          </w:tcPr>
          <w:p w14:paraId="43D7862A" w14:textId="77777777" w:rsidR="00240B94" w:rsidRDefault="00000000">
            <w:pPr>
              <w:spacing w:line="317" w:lineRule="auto"/>
              <w:rPr>
                <w:color w:val="1B1F23"/>
                <w:sz w:val="19"/>
                <w:szCs w:val="19"/>
              </w:rPr>
            </w:pPr>
            <w:r>
              <w:rPr>
                <w:color w:val="0B1118"/>
                <w:sz w:val="19"/>
                <w:szCs w:val="19"/>
              </w:rPr>
              <w:t xml:space="preserve">• Review the backup architecture and DR topology against current business requirements. </w:t>
            </w:r>
          </w:p>
          <w:p w14:paraId="4EA6B7BA" w14:textId="58FB82D8" w:rsidR="00F95B95" w:rsidRDefault="00000000">
            <w:pPr>
              <w:spacing w:line="317" w:lineRule="auto"/>
            </w:pPr>
            <w:r>
              <w:rPr>
                <w:color w:val="0B1118"/>
                <w:sz w:val="19"/>
                <w:szCs w:val="19"/>
              </w:rPr>
              <w:t>• Reassess overall maturity level using the companion self-assessment scorecard.</w:t>
            </w:r>
          </w:p>
        </w:tc>
      </w:tr>
      <w:tr w:rsidR="00F95B95" w14:paraId="5DE09D69" w14:textId="77777777">
        <w:tblPrEx>
          <w:tblCellMar>
            <w:top w:w="0" w:type="dxa"/>
            <w:bottom w:w="0" w:type="dxa"/>
          </w:tblCellMar>
        </w:tblPrEx>
        <w:tc>
          <w:tcPr>
            <w:tcW w:w="2200" w:type="dxa"/>
            <w:shd w:val="clear" w:color="auto" w:fill="EEF2F1"/>
            <w:tcMar>
              <w:top w:w="90" w:type="dxa"/>
              <w:left w:w="110" w:type="dxa"/>
              <w:bottom w:w="90" w:type="dxa"/>
              <w:right w:w="110" w:type="dxa"/>
            </w:tcMar>
          </w:tcPr>
          <w:p w14:paraId="655B3AEC" w14:textId="77777777" w:rsidR="00F95B95" w:rsidRDefault="00000000">
            <w:pPr>
              <w:spacing w:line="317" w:lineRule="auto"/>
            </w:pPr>
            <w:r>
              <w:rPr>
                <w:b/>
                <w:bCs/>
                <w:color w:val="0B1118"/>
                <w:sz w:val="19"/>
                <w:szCs w:val="19"/>
              </w:rPr>
              <w:t>Before renewal</w:t>
            </w:r>
          </w:p>
        </w:tc>
        <w:tc>
          <w:tcPr>
            <w:tcW w:w="7160" w:type="dxa"/>
            <w:shd w:val="clear" w:color="auto" w:fill="EEF2F1"/>
            <w:tcMar>
              <w:top w:w="90" w:type="dxa"/>
              <w:left w:w="110" w:type="dxa"/>
              <w:bottom w:w="90" w:type="dxa"/>
              <w:right w:w="110" w:type="dxa"/>
            </w:tcMar>
            <w:vAlign w:val="center"/>
          </w:tcPr>
          <w:p w14:paraId="77F06F09" w14:textId="77777777" w:rsidR="00F95B95" w:rsidRDefault="00000000">
            <w:pPr>
              <w:spacing w:line="317" w:lineRule="auto"/>
            </w:pPr>
            <w:r>
              <w:rPr>
                <w:color w:val="0B1118"/>
                <w:sz w:val="19"/>
                <w:szCs w:val="19"/>
              </w:rPr>
              <w:t>• Review licensing usage across the fleet (via MCM or per-cluster) to confirm entitlement alignment.</w:t>
            </w:r>
          </w:p>
        </w:tc>
      </w:tr>
    </w:tbl>
    <w:p w14:paraId="0D03A9A0" w14:textId="77777777" w:rsidR="00F95B95" w:rsidRDefault="00F95B95">
      <w:pPr>
        <w:spacing w:after="120"/>
      </w:pPr>
    </w:p>
    <w:p w14:paraId="608F28DA" w14:textId="77777777" w:rsidR="00F95B95" w:rsidRDefault="00000000">
      <w:pPr>
        <w:pStyle w:val="Heading2"/>
        <w:spacing w:before="280" w:after="140"/>
      </w:pPr>
      <w:r>
        <w:rPr>
          <w:b/>
          <w:bCs/>
          <w:color w:val="007A3D"/>
        </w:rPr>
        <w:t>3.2 Roles and responsibilities</w:t>
      </w:r>
    </w:p>
    <w:p w14:paraId="6F1F2934" w14:textId="77777777" w:rsidR="00F95B95" w:rsidRDefault="00000000">
      <w:pPr>
        <w:spacing w:after="160" w:line="288" w:lineRule="auto"/>
      </w:pPr>
      <w:r>
        <w:rPr>
          <w:color w:val="0B1118"/>
        </w:rPr>
        <w:t>Data protection maturity requires more than the platform team. A minimal responsibility model:</w:t>
      </w:r>
    </w:p>
    <w:tbl>
      <w:tblPr>
        <w:tblW w:w="936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600"/>
        <w:gridCol w:w="6760"/>
      </w:tblGrid>
      <w:tr w:rsidR="00F95B95" w14:paraId="46785104" w14:textId="77777777">
        <w:tblPrEx>
          <w:tblCellMar>
            <w:top w:w="0" w:type="dxa"/>
            <w:bottom w:w="0" w:type="dxa"/>
          </w:tblCellMar>
        </w:tblPrEx>
        <w:trPr>
          <w:tblHeader/>
        </w:trPr>
        <w:tc>
          <w:tcPr>
            <w:tcW w:w="2600" w:type="dxa"/>
            <w:shd w:val="clear" w:color="auto" w:fill="1B1F23"/>
            <w:tcMar>
              <w:top w:w="90" w:type="dxa"/>
              <w:left w:w="110" w:type="dxa"/>
              <w:bottom w:w="90" w:type="dxa"/>
              <w:right w:w="110" w:type="dxa"/>
            </w:tcMar>
            <w:vAlign w:val="center"/>
          </w:tcPr>
          <w:p w14:paraId="197CB351" w14:textId="77777777" w:rsidR="00F95B95" w:rsidRDefault="00000000">
            <w:pPr>
              <w:spacing w:line="317" w:lineRule="auto"/>
            </w:pPr>
            <w:r>
              <w:rPr>
                <w:b/>
                <w:bCs/>
                <w:color w:val="FFFFFF"/>
                <w:sz w:val="19"/>
                <w:szCs w:val="19"/>
              </w:rPr>
              <w:t>Role</w:t>
            </w:r>
          </w:p>
        </w:tc>
        <w:tc>
          <w:tcPr>
            <w:tcW w:w="6760" w:type="dxa"/>
            <w:shd w:val="clear" w:color="auto" w:fill="1B1F23"/>
            <w:tcMar>
              <w:top w:w="90" w:type="dxa"/>
              <w:left w:w="110" w:type="dxa"/>
              <w:bottom w:w="90" w:type="dxa"/>
              <w:right w:w="110" w:type="dxa"/>
            </w:tcMar>
            <w:vAlign w:val="center"/>
          </w:tcPr>
          <w:p w14:paraId="5FF7F4D4" w14:textId="77777777" w:rsidR="00F95B95" w:rsidRDefault="00000000">
            <w:pPr>
              <w:spacing w:line="317" w:lineRule="auto"/>
            </w:pPr>
            <w:r>
              <w:rPr>
                <w:b/>
                <w:bCs/>
                <w:color w:val="FFFFFF"/>
                <w:sz w:val="19"/>
                <w:szCs w:val="19"/>
              </w:rPr>
              <w:t>Responsibility</w:t>
            </w:r>
          </w:p>
        </w:tc>
      </w:tr>
      <w:tr w:rsidR="00F95B95" w14:paraId="7899D832"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10C8E4CB" w14:textId="77777777" w:rsidR="00F95B95" w:rsidRDefault="00000000">
            <w:pPr>
              <w:spacing w:line="317" w:lineRule="auto"/>
            </w:pPr>
            <w:r>
              <w:rPr>
                <w:b/>
                <w:bCs/>
                <w:color w:val="0B1118"/>
                <w:sz w:val="19"/>
                <w:szCs w:val="19"/>
              </w:rPr>
              <w:t>Platform / Infrastructure team</w:t>
            </w:r>
          </w:p>
        </w:tc>
        <w:tc>
          <w:tcPr>
            <w:tcW w:w="6760" w:type="dxa"/>
            <w:shd w:val="clear" w:color="auto" w:fill="FFFFFF"/>
            <w:tcMar>
              <w:top w:w="90" w:type="dxa"/>
              <w:left w:w="110" w:type="dxa"/>
              <w:bottom w:w="90" w:type="dxa"/>
              <w:right w:w="110" w:type="dxa"/>
            </w:tcMar>
            <w:vAlign w:val="center"/>
          </w:tcPr>
          <w:p w14:paraId="05FDE72A" w14:textId="77777777" w:rsidR="00F95B95" w:rsidRDefault="00000000">
            <w:pPr>
              <w:spacing w:line="317" w:lineRule="auto"/>
            </w:pPr>
            <w:r>
              <w:rPr>
                <w:color w:val="0B1118"/>
                <w:sz w:val="19"/>
                <w:szCs w:val="19"/>
              </w:rPr>
              <w:t>Owns Kasten deployment, Multi-Cluster Manager, global policies, storage integration, and the DR topology. Accountable for fleet-wide coverage and compliance reporting.</w:t>
            </w:r>
          </w:p>
        </w:tc>
      </w:tr>
      <w:tr w:rsidR="00F95B95" w14:paraId="61FC5CD3"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4108013B" w14:textId="77777777" w:rsidR="00F95B95" w:rsidRDefault="00000000">
            <w:pPr>
              <w:spacing w:line="317" w:lineRule="auto"/>
            </w:pPr>
            <w:r>
              <w:rPr>
                <w:b/>
                <w:bCs/>
                <w:color w:val="0B1118"/>
                <w:sz w:val="19"/>
                <w:szCs w:val="19"/>
              </w:rPr>
              <w:t>Application teams</w:t>
            </w:r>
          </w:p>
        </w:tc>
        <w:tc>
          <w:tcPr>
            <w:tcW w:w="6760" w:type="dxa"/>
            <w:shd w:val="clear" w:color="auto" w:fill="EEF2F1"/>
            <w:tcMar>
              <w:top w:w="90" w:type="dxa"/>
              <w:left w:w="110" w:type="dxa"/>
              <w:bottom w:w="90" w:type="dxa"/>
              <w:right w:w="110" w:type="dxa"/>
            </w:tcMar>
            <w:vAlign w:val="center"/>
          </w:tcPr>
          <w:p w14:paraId="6B241311" w14:textId="77777777" w:rsidR="00F95B95" w:rsidRDefault="00000000">
            <w:pPr>
              <w:spacing w:line="317" w:lineRule="auto"/>
            </w:pPr>
            <w:r>
              <w:rPr>
                <w:color w:val="0B1118"/>
                <w:sz w:val="19"/>
                <w:szCs w:val="19"/>
              </w:rPr>
              <w:t>Define RPO/RTO needs for their workloads, provide input on database quiescing requirements, and — at higher maturity — perform self-service restores within their namespace.</w:t>
            </w:r>
          </w:p>
        </w:tc>
      </w:tr>
      <w:tr w:rsidR="00F95B95" w14:paraId="3E77F776"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981E8D7" w14:textId="77777777" w:rsidR="00F95B95" w:rsidRDefault="00000000">
            <w:pPr>
              <w:spacing w:line="317" w:lineRule="auto"/>
            </w:pPr>
            <w:r>
              <w:rPr>
                <w:b/>
                <w:bCs/>
                <w:color w:val="0B1118"/>
                <w:sz w:val="19"/>
                <w:szCs w:val="19"/>
              </w:rPr>
              <w:t>Security / Compliance</w:t>
            </w:r>
          </w:p>
        </w:tc>
        <w:tc>
          <w:tcPr>
            <w:tcW w:w="6760" w:type="dxa"/>
            <w:shd w:val="clear" w:color="auto" w:fill="FFFFFF"/>
            <w:tcMar>
              <w:top w:w="90" w:type="dxa"/>
              <w:left w:w="110" w:type="dxa"/>
              <w:bottom w:w="90" w:type="dxa"/>
              <w:right w:w="110" w:type="dxa"/>
            </w:tcMar>
            <w:vAlign w:val="center"/>
          </w:tcPr>
          <w:p w14:paraId="77CE3FF1" w14:textId="77777777" w:rsidR="00F95B95" w:rsidRDefault="00000000">
            <w:pPr>
              <w:spacing w:line="317" w:lineRule="auto"/>
            </w:pPr>
            <w:r>
              <w:rPr>
                <w:color w:val="0B1118"/>
                <w:sz w:val="19"/>
                <w:szCs w:val="19"/>
              </w:rPr>
              <w:t>Defines retention and immutability requirements, reviews SIEM alerting on backup anomalies, and consumes compliance reporting for audits (SOC 2, PCI-DSS, HIPAA).</w:t>
            </w:r>
          </w:p>
        </w:tc>
      </w:tr>
      <w:tr w:rsidR="00F95B95" w14:paraId="4F7E981E"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1B5D4DE6" w14:textId="77777777" w:rsidR="00F95B95" w:rsidRDefault="00000000">
            <w:pPr>
              <w:spacing w:line="317" w:lineRule="auto"/>
            </w:pPr>
            <w:r>
              <w:rPr>
                <w:b/>
                <w:bCs/>
                <w:color w:val="0B1118"/>
                <w:sz w:val="19"/>
                <w:szCs w:val="19"/>
              </w:rPr>
              <w:t>Business / workload owners</w:t>
            </w:r>
          </w:p>
        </w:tc>
        <w:tc>
          <w:tcPr>
            <w:tcW w:w="6760" w:type="dxa"/>
            <w:shd w:val="clear" w:color="auto" w:fill="EEF2F1"/>
            <w:tcMar>
              <w:top w:w="90" w:type="dxa"/>
              <w:left w:w="110" w:type="dxa"/>
              <w:bottom w:w="90" w:type="dxa"/>
              <w:right w:w="110" w:type="dxa"/>
            </w:tcMar>
            <w:vAlign w:val="center"/>
          </w:tcPr>
          <w:p w14:paraId="658236D6" w14:textId="77777777" w:rsidR="00F95B95" w:rsidRDefault="00000000">
            <w:pPr>
              <w:spacing w:line="317" w:lineRule="auto"/>
            </w:pPr>
            <w:r>
              <w:rPr>
                <w:color w:val="0B1118"/>
                <w:sz w:val="19"/>
                <w:szCs w:val="19"/>
              </w:rPr>
              <w:t>Set the tolerance for data loss and downtime that ultimately determines RPO/RTO tiers and DR investment.</w:t>
            </w:r>
          </w:p>
        </w:tc>
      </w:tr>
    </w:tbl>
    <w:p w14:paraId="469E91B6" w14:textId="77777777" w:rsidR="00F95B95" w:rsidRDefault="00F95B95">
      <w:pPr>
        <w:spacing w:after="120"/>
      </w:pPr>
    </w:p>
    <w:p w14:paraId="4C48D2A6" w14:textId="77777777" w:rsidR="00F95B95" w:rsidRDefault="00000000">
      <w:pPr>
        <w:pStyle w:val="Heading2"/>
        <w:spacing w:before="280" w:after="140"/>
      </w:pPr>
      <w:r>
        <w:rPr>
          <w:b/>
          <w:bCs/>
          <w:color w:val="007A3D"/>
        </w:rPr>
        <w:t>3.3 Core operating practices</w:t>
      </w:r>
    </w:p>
    <w:p w14:paraId="20C61AD9" w14:textId="77777777" w:rsidR="00F95B95" w:rsidRDefault="00000000">
      <w:pPr>
        <w:pStyle w:val="Heading3"/>
        <w:spacing w:before="200" w:after="100"/>
      </w:pPr>
      <w:r>
        <w:rPr>
          <w:b/>
          <w:bCs/>
          <w:color w:val="3C4854"/>
          <w:sz w:val="22"/>
          <w:szCs w:val="22"/>
        </w:rPr>
        <w:t>RPO/RTO tiering</w:t>
      </w:r>
    </w:p>
    <w:p w14:paraId="6B00C9ED" w14:textId="77777777" w:rsidR="00F95B95" w:rsidRDefault="00000000">
      <w:pPr>
        <w:spacing w:after="160" w:line="288" w:lineRule="auto"/>
      </w:pPr>
      <w:r>
        <w:rPr>
          <w:color w:val="0B1118"/>
        </w:rPr>
        <w:lastRenderedPageBreak/>
        <w:t>Define recovery point and recovery time objectives per workload tier before selecting tooling or DR topology — the requirements should drive the architecture, not the other way around. Production workloads typically require an RPO in minutes to low hours; non-production workloads can usually tolerate a multi-hour RPO; edge or disconnected sites often carry stricter RTO expectations but weaker connectivity to central backup targets.</w:t>
      </w:r>
    </w:p>
    <w:p w14:paraId="184F73CC" w14:textId="77777777" w:rsidR="00F95B95" w:rsidRDefault="00000000">
      <w:pPr>
        <w:pStyle w:val="Heading3"/>
        <w:spacing w:before="200" w:after="100"/>
      </w:pPr>
      <w:r>
        <w:rPr>
          <w:b/>
          <w:bCs/>
          <w:color w:val="3C4854"/>
          <w:sz w:val="22"/>
          <w:szCs w:val="22"/>
        </w:rPr>
        <w:t>Policy governance</w:t>
      </w:r>
    </w:p>
    <w:p w14:paraId="3B1A25C3" w14:textId="4976CCCC" w:rsidR="00F95B95" w:rsidRDefault="00000000">
      <w:pPr>
        <w:spacing w:after="160" w:line="288" w:lineRule="auto"/>
      </w:pPr>
      <w:r>
        <w:rPr>
          <w:color w:val="0B1118"/>
        </w:rPr>
        <w:t xml:space="preserve">Prefer multiple labeled policies over a single wildcard policy protecting everything — this keeps backup windows, retention, and application-aware handling scoped appropriately per workload class. Use namespace- or label-based selectors so new workloads are automatically covered without manual </w:t>
      </w:r>
      <w:r w:rsidR="00240B94">
        <w:rPr>
          <w:color w:val="0B1118"/>
        </w:rPr>
        <w:t>configuration and</w:t>
      </w:r>
      <w:r>
        <w:rPr>
          <w:color w:val="0B1118"/>
        </w:rPr>
        <w:t xml:space="preserve"> periodically audit coverage against the actual workload inventory rather than assuming policy scope matches reality.</w:t>
      </w:r>
    </w:p>
    <w:p w14:paraId="75277CB5" w14:textId="77777777" w:rsidR="00F95B95" w:rsidRDefault="00000000">
      <w:pPr>
        <w:pStyle w:val="Heading3"/>
        <w:spacing w:before="200" w:after="100"/>
      </w:pPr>
      <w:r>
        <w:rPr>
          <w:b/>
          <w:bCs/>
          <w:color w:val="3C4854"/>
          <w:sz w:val="22"/>
          <w:szCs w:val="22"/>
        </w:rPr>
        <w:t>Credential and secrets hygiene</w:t>
      </w:r>
    </w:p>
    <w:p w14:paraId="06E827EA" w14:textId="77777777" w:rsidR="00F95B95" w:rsidRDefault="00000000">
      <w:pPr>
        <w:spacing w:after="160" w:line="288" w:lineRule="auto"/>
      </w:pPr>
      <w:r>
        <w:rPr>
          <w:color w:val="0B1118"/>
        </w:rPr>
        <w:t>Backup storage credentials must be distinct from cluster credentials, scoped to least privilege, and rotated independently. A compromised cluster credential should never be sufficient to reach, alter, or delete the backup archive.</w:t>
      </w:r>
    </w:p>
    <w:p w14:paraId="134FEEBD" w14:textId="77777777" w:rsidR="00F95B95" w:rsidRDefault="00000000">
      <w:pPr>
        <w:pStyle w:val="Heading3"/>
        <w:spacing w:before="200" w:after="100"/>
      </w:pPr>
      <w:r>
        <w:rPr>
          <w:b/>
          <w:bCs/>
          <w:color w:val="3C4854"/>
          <w:sz w:val="22"/>
          <w:szCs w:val="22"/>
        </w:rPr>
        <w:t>Capacity and storage cost management</w:t>
      </w:r>
    </w:p>
    <w:p w14:paraId="7C867B02" w14:textId="77777777" w:rsidR="00F95B95" w:rsidRDefault="00000000">
      <w:pPr>
        <w:spacing w:after="160" w:line="288" w:lineRule="auto"/>
      </w:pPr>
      <w:r>
        <w:rPr>
          <w:color w:val="0B1118"/>
        </w:rPr>
        <w:t>Monitor backup storage growth and alert on unexpected spikes, which can indicate data corruption or accidental inclusion of high-volume ephemeral data. Use object storage lifecycle policies to move older backups to cheaper storage tiers once the operational retention window closes, while keeping the backup tool's retention settings and the storage lifecycle rules in agreement.</w:t>
      </w:r>
    </w:p>
    <w:p w14:paraId="4E29FE53" w14:textId="77777777" w:rsidR="00F95B95" w:rsidRDefault="00000000">
      <w:pPr>
        <w:pStyle w:val="Heading3"/>
        <w:spacing w:before="200" w:after="100"/>
      </w:pPr>
      <w:r>
        <w:rPr>
          <w:b/>
          <w:bCs/>
          <w:color w:val="3C4854"/>
          <w:sz w:val="22"/>
          <w:szCs w:val="22"/>
        </w:rPr>
        <w:t>Upgrade management</w:t>
      </w:r>
    </w:p>
    <w:p w14:paraId="3C0EA712" w14:textId="0239ECC6" w:rsidR="00F95B95" w:rsidRDefault="00000000">
      <w:pPr>
        <w:spacing w:after="160" w:line="288" w:lineRule="auto"/>
      </w:pPr>
      <w:r>
        <w:rPr>
          <w:color w:val="0B1118"/>
        </w:rPr>
        <w:t xml:space="preserve">New Kasten releases ship roughly every two weeks. Test upgrades in a non-production environment on a regular cadence rather than deferring </w:t>
      </w:r>
      <w:r w:rsidR="00240B94">
        <w:rPr>
          <w:color w:val="0B1118"/>
        </w:rPr>
        <w:t>indefinitely and</w:t>
      </w:r>
      <w:r>
        <w:rPr>
          <w:color w:val="0B1118"/>
        </w:rPr>
        <w:t xml:space="preserve"> verify Kubernetes version compatibility before upgrading either the cluster or Kasten.</w:t>
      </w:r>
    </w:p>
    <w:p w14:paraId="192C2D1E" w14:textId="77777777" w:rsidR="00F95B95" w:rsidRDefault="00000000">
      <w:pPr>
        <w:pStyle w:val="Heading3"/>
        <w:spacing w:before="200" w:after="100"/>
      </w:pPr>
      <w:r>
        <w:rPr>
          <w:b/>
          <w:bCs/>
          <w:color w:val="3C4854"/>
          <w:sz w:val="22"/>
          <w:szCs w:val="22"/>
        </w:rPr>
        <w:t>Incident response integration</w:t>
      </w:r>
    </w:p>
    <w:p w14:paraId="4ECB87A1" w14:textId="77777777" w:rsidR="00F95B95" w:rsidRDefault="00000000">
      <w:pPr>
        <w:spacing w:after="160" w:line="288" w:lineRule="auto"/>
      </w:pPr>
      <w:r>
        <w:rPr>
          <w:color w:val="0B1118"/>
        </w:rPr>
        <w:t>Route backup job failures and RPO breaches into the same alerting and incident management pipeline used for the rest of the platform. Where available, integrate with SIEM tooling to catch anomalies in backup size or deletion patterns — an early indicator of ransomware or insider threat activity targeting the backups themselves.</w:t>
      </w:r>
    </w:p>
    <w:p w14:paraId="711EFA03" w14:textId="77777777" w:rsidR="00F95B95" w:rsidRDefault="00000000">
      <w:pPr>
        <w:pStyle w:val="Heading3"/>
        <w:spacing w:before="200" w:after="100"/>
      </w:pPr>
      <w:r>
        <w:rPr>
          <w:b/>
          <w:bCs/>
          <w:color w:val="3C4854"/>
          <w:sz w:val="22"/>
          <w:szCs w:val="22"/>
        </w:rPr>
        <w:t>Governance reporting</w:t>
      </w:r>
    </w:p>
    <w:p w14:paraId="4C6A2CB7" w14:textId="1700EE65" w:rsidR="00F95B95" w:rsidRDefault="00000000">
      <w:pPr>
        <w:spacing w:after="160" w:line="288" w:lineRule="auto"/>
      </w:pPr>
      <w:r>
        <w:rPr>
          <w:color w:val="0B1118"/>
        </w:rPr>
        <w:t xml:space="preserve">Track backup coverage as a fleet governance metric — which environments have active, tested policies — not merely which environments have Kasten installed. This distinction is what compliance frameworks and leadership </w:t>
      </w:r>
      <w:r w:rsidR="00240B94">
        <w:rPr>
          <w:color w:val="0B1118"/>
        </w:rPr>
        <w:t>need</w:t>
      </w:r>
      <w:r>
        <w:rPr>
          <w:color w:val="0B1118"/>
        </w:rPr>
        <w:t xml:space="preserve"> visibility into.</w:t>
      </w:r>
    </w:p>
    <w:p w14:paraId="20424A6A" w14:textId="77777777" w:rsidR="00F95B95" w:rsidRDefault="00000000">
      <w:r>
        <w:br w:type="page"/>
      </w:r>
    </w:p>
    <w:p w14:paraId="2A2D877F" w14:textId="77777777" w:rsidR="00F95B95" w:rsidRDefault="00000000">
      <w:pPr>
        <w:pStyle w:val="Heading1"/>
        <w:pBdr>
          <w:bottom w:val="single" w:sz="12" w:space="4" w:color="00A550"/>
        </w:pBdr>
        <w:spacing w:before="360" w:after="200"/>
      </w:pPr>
      <w:r>
        <w:rPr>
          <w:b/>
          <w:bCs/>
          <w:color w:val="0B1118"/>
        </w:rPr>
        <w:lastRenderedPageBreak/>
        <w:t>4. Reference Architecture</w:t>
      </w:r>
    </w:p>
    <w:p w14:paraId="2FB3D573" w14:textId="77777777" w:rsidR="00F95B95" w:rsidRDefault="00000000">
      <w:pPr>
        <w:spacing w:after="160" w:line="288" w:lineRule="auto"/>
      </w:pPr>
      <w:r>
        <w:rPr>
          <w:color w:val="0B1118"/>
        </w:rPr>
        <w:t>The architecture below reflects Kasten's centralized-policy, distributed-enforcement model: a Multi-Cluster Manager defines protection policy once, K10 instances on each cluster enforce it locally, and all backup data lands off-cluster in immutable storage.</w:t>
      </w:r>
    </w:p>
    <w:p w14:paraId="21106D1A" w14:textId="77777777" w:rsidR="00F95B95" w:rsidRDefault="00000000">
      <w:pPr>
        <w:spacing w:after="200"/>
        <w:jc w:val="center"/>
      </w:pPr>
      <w:r>
        <w:rPr>
          <w:noProof/>
        </w:rPr>
        <w:drawing>
          <wp:inline distT="0" distB="0" distL="0" distR="0" wp14:anchorId="2DAC421D" wp14:editId="447121A9">
            <wp:extent cx="5943600" cy="3705225"/>
            <wp:effectExtent l="0" t="0" r="0" b="0"/>
            <wp:docPr id="404880520" name="Picture 404880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05225"/>
                    </a:xfrm>
                    <a:prstGeom prst="rect">
                      <a:avLst/>
                    </a:prstGeom>
                  </pic:spPr>
                </pic:pic>
              </a:graphicData>
            </a:graphic>
          </wp:inline>
        </w:drawing>
      </w:r>
    </w:p>
    <w:p w14:paraId="0E364D7F" w14:textId="77777777" w:rsidR="00F95B95" w:rsidRDefault="00000000">
      <w:pPr>
        <w:pStyle w:val="Heading2"/>
        <w:spacing w:before="280" w:after="140"/>
      </w:pPr>
      <w:r>
        <w:rPr>
          <w:b/>
          <w:bCs/>
          <w:color w:val="007A3D"/>
        </w:rPr>
        <w:t>4.1 Architecture principles</w:t>
      </w:r>
    </w:p>
    <w:p w14:paraId="5447CCD0" w14:textId="77777777" w:rsidR="00F95B95" w:rsidRDefault="00000000">
      <w:pPr>
        <w:pStyle w:val="ListParagraph"/>
        <w:numPr>
          <w:ilvl w:val="0"/>
          <w:numId w:val="2"/>
        </w:numPr>
        <w:spacing w:after="90" w:line="276" w:lineRule="auto"/>
      </w:pPr>
      <w:r>
        <w:rPr>
          <w:color w:val="0B1118"/>
        </w:rPr>
        <w:t>Protect both layers independently. Kubernetes resource state (namespaces, Deployments, StatefulSets, ConfigMaps, Secrets, RBAC, CRDs) and persistent volume data must both be captured — restoring one without the other leaves an application in an inconsistent state.</w:t>
      </w:r>
    </w:p>
    <w:p w14:paraId="618932EF" w14:textId="77777777" w:rsidR="00F95B95" w:rsidRDefault="00000000">
      <w:pPr>
        <w:pStyle w:val="ListParagraph"/>
        <w:numPr>
          <w:ilvl w:val="0"/>
          <w:numId w:val="2"/>
        </w:numPr>
        <w:spacing w:after="90" w:line="276" w:lineRule="auto"/>
      </w:pPr>
      <w:r>
        <w:rPr>
          <w:color w:val="0B1118"/>
        </w:rPr>
        <w:t>Follow the 3-2-1 rule. Maintain at least three copies of data: the live copy on cluster storage, a backup in local/regional object storage, and a cross-region or off-site replicated copy. All backup copies must live off-cluster.</w:t>
      </w:r>
    </w:p>
    <w:p w14:paraId="6773DFD3" w14:textId="77777777" w:rsidR="00F95B95" w:rsidRDefault="00000000">
      <w:pPr>
        <w:pStyle w:val="ListParagraph"/>
        <w:numPr>
          <w:ilvl w:val="0"/>
          <w:numId w:val="2"/>
        </w:numPr>
        <w:spacing w:after="90" w:line="276" w:lineRule="auto"/>
      </w:pPr>
      <w:r>
        <w:rPr>
          <w:color w:val="0B1118"/>
        </w:rPr>
        <w:t>Use CSI snapshot integration. Storage-native snapshots minimize backup window duration and impact on running workloads, and are Kasten's standard restore path.</w:t>
      </w:r>
    </w:p>
    <w:p w14:paraId="635E9C29" w14:textId="77777777" w:rsidR="00F95B95" w:rsidRDefault="00000000">
      <w:pPr>
        <w:pStyle w:val="ListParagraph"/>
        <w:numPr>
          <w:ilvl w:val="0"/>
          <w:numId w:val="2"/>
        </w:numPr>
        <w:spacing w:after="90" w:line="276" w:lineRule="auto"/>
      </w:pPr>
      <w:r>
        <w:rPr>
          <w:color w:val="0B1118"/>
        </w:rPr>
        <w:t>Quiesce databases before capture. Crash-consistent snapshots are not reliable for transactional databases; application-consistent backup via Kanister Blueprints is required for stateful data services.</w:t>
      </w:r>
    </w:p>
    <w:p w14:paraId="3F99AA0F" w14:textId="77777777" w:rsidR="00F95B95" w:rsidRDefault="00000000">
      <w:pPr>
        <w:pStyle w:val="ListParagraph"/>
        <w:numPr>
          <w:ilvl w:val="0"/>
          <w:numId w:val="2"/>
        </w:numPr>
        <w:spacing w:after="90" w:line="276" w:lineRule="auto"/>
      </w:pPr>
      <w:r>
        <w:rPr>
          <w:color w:val="0B1118"/>
        </w:rPr>
        <w:t>Support heterogeneous restore. Backup tooling must be able to restore to the original cluster, a different cluster, a different namespace, or a different cloud provider — this is the primary DR mechanism when the original cluster is unavailable.</w:t>
      </w:r>
    </w:p>
    <w:p w14:paraId="051DE123" w14:textId="77777777" w:rsidR="00F95B95" w:rsidRDefault="00000000">
      <w:pPr>
        <w:pStyle w:val="ListParagraph"/>
        <w:numPr>
          <w:ilvl w:val="0"/>
          <w:numId w:val="2"/>
        </w:numPr>
        <w:spacing w:after="90" w:line="276" w:lineRule="auto"/>
      </w:pPr>
      <w:r>
        <w:rPr>
          <w:color w:val="0B1118"/>
        </w:rPr>
        <w:t>Treat backup data as a ransomware target. Apply write-once (immutable) semantics to all production backup targets, not only regulated workloads, and keep backup storage credentials independent of cluster credentials.</w:t>
      </w:r>
    </w:p>
    <w:p w14:paraId="6652AD77" w14:textId="77777777" w:rsidR="00F95B95" w:rsidRDefault="00000000">
      <w:pPr>
        <w:pStyle w:val="ListParagraph"/>
        <w:numPr>
          <w:ilvl w:val="0"/>
          <w:numId w:val="2"/>
        </w:numPr>
        <w:spacing w:after="90" w:line="276" w:lineRule="auto"/>
      </w:pPr>
      <w:r>
        <w:rPr>
          <w:color w:val="0B1118"/>
        </w:rPr>
        <w:lastRenderedPageBreak/>
        <w:t>Test restores, not just backups. A backup that has never been restored against a documented procedure is not operationally valid. Scheduled restore drills to isolated environments are as important as the backup schedule itself.</w:t>
      </w:r>
    </w:p>
    <w:p w14:paraId="0CD59F73" w14:textId="77777777" w:rsidR="00F95B95" w:rsidRDefault="00000000">
      <w:pPr>
        <w:pStyle w:val="Heading2"/>
        <w:spacing w:before="280" w:after="140"/>
      </w:pPr>
      <w:r>
        <w:rPr>
          <w:b/>
          <w:bCs/>
          <w:color w:val="007A3D"/>
        </w:rPr>
        <w:t>4.2 Core components</w:t>
      </w:r>
    </w:p>
    <w:tbl>
      <w:tblPr>
        <w:tblW w:w="936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700"/>
        <w:gridCol w:w="6660"/>
      </w:tblGrid>
      <w:tr w:rsidR="00F95B95" w14:paraId="6C7EB34A" w14:textId="77777777">
        <w:tblPrEx>
          <w:tblCellMar>
            <w:top w:w="0" w:type="dxa"/>
            <w:bottom w:w="0" w:type="dxa"/>
          </w:tblCellMar>
        </w:tblPrEx>
        <w:trPr>
          <w:tblHeader/>
        </w:trPr>
        <w:tc>
          <w:tcPr>
            <w:tcW w:w="2700" w:type="dxa"/>
            <w:shd w:val="clear" w:color="auto" w:fill="1B1F23"/>
            <w:tcMar>
              <w:top w:w="90" w:type="dxa"/>
              <w:left w:w="110" w:type="dxa"/>
              <w:bottom w:w="90" w:type="dxa"/>
              <w:right w:w="110" w:type="dxa"/>
            </w:tcMar>
            <w:vAlign w:val="center"/>
          </w:tcPr>
          <w:p w14:paraId="7A52C3DC" w14:textId="77777777" w:rsidR="00F95B95" w:rsidRDefault="00000000">
            <w:pPr>
              <w:spacing w:line="317" w:lineRule="auto"/>
            </w:pPr>
            <w:r>
              <w:rPr>
                <w:b/>
                <w:bCs/>
                <w:color w:val="FFFFFF"/>
                <w:sz w:val="19"/>
                <w:szCs w:val="19"/>
              </w:rPr>
              <w:t>Component</w:t>
            </w:r>
          </w:p>
        </w:tc>
        <w:tc>
          <w:tcPr>
            <w:tcW w:w="6660" w:type="dxa"/>
            <w:shd w:val="clear" w:color="auto" w:fill="1B1F23"/>
            <w:tcMar>
              <w:top w:w="90" w:type="dxa"/>
              <w:left w:w="110" w:type="dxa"/>
              <w:bottom w:w="90" w:type="dxa"/>
              <w:right w:w="110" w:type="dxa"/>
            </w:tcMar>
            <w:vAlign w:val="center"/>
          </w:tcPr>
          <w:p w14:paraId="5430BAE5" w14:textId="77777777" w:rsidR="00F95B95" w:rsidRDefault="00000000">
            <w:pPr>
              <w:spacing w:line="317" w:lineRule="auto"/>
            </w:pPr>
            <w:r>
              <w:rPr>
                <w:b/>
                <w:bCs/>
                <w:color w:val="FFFFFF"/>
                <w:sz w:val="19"/>
                <w:szCs w:val="19"/>
              </w:rPr>
              <w:t>Role</w:t>
            </w:r>
          </w:p>
        </w:tc>
      </w:tr>
      <w:tr w:rsidR="00F95B95" w14:paraId="792C7265" w14:textId="77777777">
        <w:tblPrEx>
          <w:tblCellMar>
            <w:top w:w="0" w:type="dxa"/>
            <w:bottom w:w="0" w:type="dxa"/>
          </w:tblCellMar>
        </w:tblPrEx>
        <w:tc>
          <w:tcPr>
            <w:tcW w:w="2700" w:type="dxa"/>
            <w:shd w:val="clear" w:color="auto" w:fill="FFFFFF"/>
            <w:tcMar>
              <w:top w:w="90" w:type="dxa"/>
              <w:left w:w="110" w:type="dxa"/>
              <w:bottom w:w="90" w:type="dxa"/>
              <w:right w:w="110" w:type="dxa"/>
            </w:tcMar>
            <w:vAlign w:val="center"/>
          </w:tcPr>
          <w:p w14:paraId="53B0FE64" w14:textId="77777777" w:rsidR="00F95B95" w:rsidRDefault="00000000">
            <w:pPr>
              <w:spacing w:line="317" w:lineRule="auto"/>
            </w:pPr>
            <w:r>
              <w:rPr>
                <w:b/>
                <w:bCs/>
                <w:color w:val="0B1118"/>
                <w:sz w:val="19"/>
                <w:szCs w:val="19"/>
              </w:rPr>
              <w:t>K10 (Kasten)</w:t>
            </w:r>
          </w:p>
        </w:tc>
        <w:tc>
          <w:tcPr>
            <w:tcW w:w="6660" w:type="dxa"/>
            <w:shd w:val="clear" w:color="auto" w:fill="FFFFFF"/>
            <w:tcMar>
              <w:top w:w="90" w:type="dxa"/>
              <w:left w:w="110" w:type="dxa"/>
              <w:bottom w:w="90" w:type="dxa"/>
              <w:right w:w="110" w:type="dxa"/>
            </w:tcMar>
            <w:vAlign w:val="center"/>
          </w:tcPr>
          <w:p w14:paraId="481C1A5E" w14:textId="77777777" w:rsidR="00F95B95" w:rsidRDefault="00000000">
            <w:pPr>
              <w:spacing w:line="317" w:lineRule="auto"/>
            </w:pPr>
            <w:r>
              <w:rPr>
                <w:color w:val="0B1118"/>
                <w:sz w:val="19"/>
                <w:szCs w:val="19"/>
              </w:rPr>
              <w:t>The per-cluster engine that discovers workloads, enforces backup policy, triggers CSI snapshots, and performs restores.</w:t>
            </w:r>
          </w:p>
        </w:tc>
      </w:tr>
      <w:tr w:rsidR="00F95B95" w14:paraId="526B49D1" w14:textId="77777777">
        <w:tblPrEx>
          <w:tblCellMar>
            <w:top w:w="0" w:type="dxa"/>
            <w:bottom w:w="0" w:type="dxa"/>
          </w:tblCellMar>
        </w:tblPrEx>
        <w:tc>
          <w:tcPr>
            <w:tcW w:w="2700" w:type="dxa"/>
            <w:shd w:val="clear" w:color="auto" w:fill="EEF2F1"/>
            <w:tcMar>
              <w:top w:w="90" w:type="dxa"/>
              <w:left w:w="110" w:type="dxa"/>
              <w:bottom w:w="90" w:type="dxa"/>
              <w:right w:w="110" w:type="dxa"/>
            </w:tcMar>
            <w:vAlign w:val="center"/>
          </w:tcPr>
          <w:p w14:paraId="392D7C43" w14:textId="77777777" w:rsidR="00F95B95" w:rsidRDefault="00000000">
            <w:pPr>
              <w:spacing w:line="317" w:lineRule="auto"/>
            </w:pPr>
            <w:r>
              <w:rPr>
                <w:b/>
                <w:bCs/>
                <w:color w:val="0B1118"/>
                <w:sz w:val="19"/>
                <w:szCs w:val="19"/>
              </w:rPr>
              <w:t>Kanister &amp; Blueprints</w:t>
            </w:r>
          </w:p>
        </w:tc>
        <w:tc>
          <w:tcPr>
            <w:tcW w:w="6660" w:type="dxa"/>
            <w:shd w:val="clear" w:color="auto" w:fill="EEF2F1"/>
            <w:tcMar>
              <w:top w:w="90" w:type="dxa"/>
              <w:left w:w="110" w:type="dxa"/>
              <w:bottom w:w="90" w:type="dxa"/>
              <w:right w:w="110" w:type="dxa"/>
            </w:tcMar>
            <w:vAlign w:val="center"/>
          </w:tcPr>
          <w:p w14:paraId="2104DBA7" w14:textId="77777777" w:rsidR="00F95B95" w:rsidRDefault="00000000">
            <w:pPr>
              <w:spacing w:line="317" w:lineRule="auto"/>
            </w:pPr>
            <w:r>
              <w:rPr>
                <w:color w:val="0B1118"/>
                <w:sz w:val="19"/>
                <w:szCs w:val="19"/>
              </w:rPr>
              <w:t>Open-source framework and per-application definitions that quiesce databases and other stateful services for application-consistent backup.</w:t>
            </w:r>
          </w:p>
        </w:tc>
      </w:tr>
      <w:tr w:rsidR="00F95B95" w14:paraId="66986325" w14:textId="77777777">
        <w:tblPrEx>
          <w:tblCellMar>
            <w:top w:w="0" w:type="dxa"/>
            <w:bottom w:w="0" w:type="dxa"/>
          </w:tblCellMar>
        </w:tblPrEx>
        <w:tc>
          <w:tcPr>
            <w:tcW w:w="2700" w:type="dxa"/>
            <w:shd w:val="clear" w:color="auto" w:fill="FFFFFF"/>
            <w:tcMar>
              <w:top w:w="90" w:type="dxa"/>
              <w:left w:w="110" w:type="dxa"/>
              <w:bottom w:w="90" w:type="dxa"/>
              <w:right w:w="110" w:type="dxa"/>
            </w:tcMar>
            <w:vAlign w:val="center"/>
          </w:tcPr>
          <w:p w14:paraId="78FBC0F2" w14:textId="77777777" w:rsidR="00F95B95" w:rsidRDefault="00000000">
            <w:pPr>
              <w:spacing w:line="317" w:lineRule="auto"/>
            </w:pPr>
            <w:r>
              <w:rPr>
                <w:b/>
                <w:bCs/>
                <w:color w:val="0B1118"/>
                <w:sz w:val="19"/>
                <w:szCs w:val="19"/>
              </w:rPr>
              <w:t>Multi-Cluster Manager (MCM)</w:t>
            </w:r>
          </w:p>
        </w:tc>
        <w:tc>
          <w:tcPr>
            <w:tcW w:w="6660" w:type="dxa"/>
            <w:shd w:val="clear" w:color="auto" w:fill="FFFFFF"/>
            <w:tcMar>
              <w:top w:w="90" w:type="dxa"/>
              <w:left w:w="110" w:type="dxa"/>
              <w:bottom w:w="90" w:type="dxa"/>
              <w:right w:w="110" w:type="dxa"/>
            </w:tcMar>
            <w:vAlign w:val="center"/>
          </w:tcPr>
          <w:p w14:paraId="6D2604F0" w14:textId="77777777" w:rsidR="00F95B95" w:rsidRDefault="00000000">
            <w:pPr>
              <w:spacing w:line="317" w:lineRule="auto"/>
            </w:pPr>
            <w:r>
              <w:rPr>
                <w:color w:val="0B1118"/>
                <w:sz w:val="19"/>
                <w:szCs w:val="19"/>
              </w:rPr>
              <w:t>Centralized console joining multiple K10 instances; distributes Global Policies and Global Profiles and centralizes licensing and RBAC.</w:t>
            </w:r>
          </w:p>
        </w:tc>
      </w:tr>
      <w:tr w:rsidR="00F95B95" w14:paraId="21F56824" w14:textId="77777777">
        <w:tblPrEx>
          <w:tblCellMar>
            <w:top w:w="0" w:type="dxa"/>
            <w:bottom w:w="0" w:type="dxa"/>
          </w:tblCellMar>
        </w:tblPrEx>
        <w:tc>
          <w:tcPr>
            <w:tcW w:w="2700" w:type="dxa"/>
            <w:shd w:val="clear" w:color="auto" w:fill="EEF2F1"/>
            <w:tcMar>
              <w:top w:w="90" w:type="dxa"/>
              <w:left w:w="110" w:type="dxa"/>
              <w:bottom w:w="90" w:type="dxa"/>
              <w:right w:w="110" w:type="dxa"/>
            </w:tcMar>
            <w:vAlign w:val="center"/>
          </w:tcPr>
          <w:p w14:paraId="7F207B4C" w14:textId="77777777" w:rsidR="00F95B95" w:rsidRDefault="00000000">
            <w:pPr>
              <w:spacing w:line="317" w:lineRule="auto"/>
            </w:pPr>
            <w:r>
              <w:rPr>
                <w:b/>
                <w:bCs/>
                <w:color w:val="0B1118"/>
                <w:sz w:val="19"/>
                <w:szCs w:val="19"/>
              </w:rPr>
              <w:t>Location Profiles</w:t>
            </w:r>
          </w:p>
        </w:tc>
        <w:tc>
          <w:tcPr>
            <w:tcW w:w="6660" w:type="dxa"/>
            <w:shd w:val="clear" w:color="auto" w:fill="EEF2F1"/>
            <w:tcMar>
              <w:top w:w="90" w:type="dxa"/>
              <w:left w:w="110" w:type="dxa"/>
              <w:bottom w:w="90" w:type="dxa"/>
              <w:right w:w="110" w:type="dxa"/>
            </w:tcMar>
            <w:vAlign w:val="center"/>
          </w:tcPr>
          <w:p w14:paraId="1C27124A" w14:textId="77777777" w:rsidR="00F95B95" w:rsidRDefault="00000000">
            <w:pPr>
              <w:spacing w:line="317" w:lineRule="auto"/>
            </w:pPr>
            <w:r>
              <w:rPr>
                <w:color w:val="0B1118"/>
                <w:sz w:val="19"/>
                <w:szCs w:val="19"/>
              </w:rPr>
              <w:t>Definitions of where exported backup data lands — Veeam Vault, Veeam Backup &amp; Replication repositories, S3-compatible object storage, or NFS/CIFS.</w:t>
            </w:r>
          </w:p>
        </w:tc>
      </w:tr>
      <w:tr w:rsidR="00F95B95" w14:paraId="686676ED" w14:textId="77777777">
        <w:tblPrEx>
          <w:tblCellMar>
            <w:top w:w="0" w:type="dxa"/>
            <w:bottom w:w="0" w:type="dxa"/>
          </w:tblCellMar>
        </w:tblPrEx>
        <w:tc>
          <w:tcPr>
            <w:tcW w:w="2700" w:type="dxa"/>
            <w:shd w:val="clear" w:color="auto" w:fill="FFFFFF"/>
            <w:tcMar>
              <w:top w:w="90" w:type="dxa"/>
              <w:left w:w="110" w:type="dxa"/>
              <w:bottom w:w="90" w:type="dxa"/>
              <w:right w:w="110" w:type="dxa"/>
            </w:tcMar>
            <w:vAlign w:val="center"/>
          </w:tcPr>
          <w:p w14:paraId="5EA8FCF3" w14:textId="77777777" w:rsidR="00F95B95" w:rsidRDefault="00000000">
            <w:pPr>
              <w:spacing w:line="317" w:lineRule="auto"/>
            </w:pPr>
            <w:r>
              <w:rPr>
                <w:b/>
                <w:bCs/>
                <w:color w:val="0B1118"/>
                <w:sz w:val="19"/>
                <w:szCs w:val="19"/>
              </w:rPr>
              <w:t>Veeam Vault</w:t>
            </w:r>
          </w:p>
        </w:tc>
        <w:tc>
          <w:tcPr>
            <w:tcW w:w="6660" w:type="dxa"/>
            <w:shd w:val="clear" w:color="auto" w:fill="FFFFFF"/>
            <w:tcMar>
              <w:top w:w="90" w:type="dxa"/>
              <w:left w:w="110" w:type="dxa"/>
              <w:bottom w:w="90" w:type="dxa"/>
              <w:right w:w="110" w:type="dxa"/>
            </w:tcMar>
            <w:vAlign w:val="center"/>
          </w:tcPr>
          <w:p w14:paraId="13FCE83F" w14:textId="77777777" w:rsidR="00F95B95" w:rsidRDefault="00000000">
            <w:pPr>
              <w:spacing w:line="317" w:lineRule="auto"/>
            </w:pPr>
            <w:r>
              <w:rPr>
                <w:color w:val="0B1118"/>
                <w:sz w:val="19"/>
                <w:szCs w:val="19"/>
              </w:rPr>
              <w:t>Veeam-managed, immutable, offsite object storage requiring no separate cloud account or advanced configuration.</w:t>
            </w:r>
          </w:p>
        </w:tc>
      </w:tr>
      <w:tr w:rsidR="00F95B95" w14:paraId="62852E01" w14:textId="77777777">
        <w:tblPrEx>
          <w:tblCellMar>
            <w:top w:w="0" w:type="dxa"/>
            <w:bottom w:w="0" w:type="dxa"/>
          </w:tblCellMar>
        </w:tblPrEx>
        <w:tc>
          <w:tcPr>
            <w:tcW w:w="2700" w:type="dxa"/>
            <w:shd w:val="clear" w:color="auto" w:fill="EEF2F1"/>
            <w:tcMar>
              <w:top w:w="90" w:type="dxa"/>
              <w:left w:w="110" w:type="dxa"/>
              <w:bottom w:w="90" w:type="dxa"/>
              <w:right w:w="110" w:type="dxa"/>
            </w:tcMar>
            <w:vAlign w:val="center"/>
          </w:tcPr>
          <w:p w14:paraId="3DED4B39" w14:textId="77777777" w:rsidR="00F95B95" w:rsidRDefault="00000000">
            <w:pPr>
              <w:spacing w:line="317" w:lineRule="auto"/>
            </w:pPr>
            <w:r>
              <w:rPr>
                <w:b/>
                <w:bCs/>
                <w:color w:val="0B1118"/>
                <w:sz w:val="19"/>
                <w:szCs w:val="19"/>
              </w:rPr>
              <w:t>Veeam Backup &amp; Replication + VIA</w:t>
            </w:r>
          </w:p>
        </w:tc>
        <w:tc>
          <w:tcPr>
            <w:tcW w:w="6660" w:type="dxa"/>
            <w:shd w:val="clear" w:color="auto" w:fill="EEF2F1"/>
            <w:tcMar>
              <w:top w:w="90" w:type="dxa"/>
              <w:left w:w="110" w:type="dxa"/>
              <w:bottom w:w="90" w:type="dxa"/>
              <w:right w:w="110" w:type="dxa"/>
            </w:tcMar>
            <w:vAlign w:val="center"/>
          </w:tcPr>
          <w:p w14:paraId="536B9D7A" w14:textId="77777777" w:rsidR="00F95B95" w:rsidRDefault="00000000">
            <w:pPr>
              <w:spacing w:line="317" w:lineRule="auto"/>
            </w:pPr>
            <w:r>
              <w:rPr>
                <w:color w:val="0B1118"/>
                <w:sz w:val="19"/>
                <w:szCs w:val="19"/>
              </w:rPr>
              <w:t>Enables export to Hardened Repositories and Scale-Out Backup Repositories (SOBR) for organizations consolidating container and VM backup.</w:t>
            </w:r>
          </w:p>
        </w:tc>
      </w:tr>
      <w:tr w:rsidR="00F95B95" w14:paraId="489E031B" w14:textId="77777777">
        <w:tblPrEx>
          <w:tblCellMar>
            <w:top w:w="0" w:type="dxa"/>
            <w:bottom w:w="0" w:type="dxa"/>
          </w:tblCellMar>
        </w:tblPrEx>
        <w:tc>
          <w:tcPr>
            <w:tcW w:w="2700" w:type="dxa"/>
            <w:shd w:val="clear" w:color="auto" w:fill="FFFFFF"/>
            <w:tcMar>
              <w:top w:w="90" w:type="dxa"/>
              <w:left w:w="110" w:type="dxa"/>
              <w:bottom w:w="90" w:type="dxa"/>
              <w:right w:w="110" w:type="dxa"/>
            </w:tcMar>
            <w:vAlign w:val="center"/>
          </w:tcPr>
          <w:p w14:paraId="2A42D0A7" w14:textId="77777777" w:rsidR="00F95B95" w:rsidRDefault="00000000">
            <w:pPr>
              <w:spacing w:line="317" w:lineRule="auto"/>
            </w:pPr>
            <w:r>
              <w:rPr>
                <w:b/>
                <w:bCs/>
                <w:color w:val="0B1118"/>
                <w:sz w:val="19"/>
                <w:szCs w:val="19"/>
              </w:rPr>
              <w:t>KDR (Kasten DR)</w:t>
            </w:r>
          </w:p>
        </w:tc>
        <w:tc>
          <w:tcPr>
            <w:tcW w:w="6660" w:type="dxa"/>
            <w:shd w:val="clear" w:color="auto" w:fill="FFFFFF"/>
            <w:tcMar>
              <w:top w:w="90" w:type="dxa"/>
              <w:left w:w="110" w:type="dxa"/>
              <w:bottom w:w="90" w:type="dxa"/>
              <w:right w:w="110" w:type="dxa"/>
            </w:tcMar>
            <w:vAlign w:val="center"/>
          </w:tcPr>
          <w:p w14:paraId="604B6CE9" w14:textId="77777777" w:rsidR="00F95B95" w:rsidRDefault="00000000">
            <w:pPr>
              <w:spacing w:line="317" w:lineRule="auto"/>
            </w:pPr>
            <w:r>
              <w:rPr>
                <w:color w:val="0B1118"/>
                <w:sz w:val="19"/>
                <w:szCs w:val="19"/>
              </w:rPr>
              <w:t>Exported snapshot of the Kasten catalog itself (including the encryption passphrase and cluster ID) — required to restore if the source K10 instance is lost.</w:t>
            </w:r>
          </w:p>
        </w:tc>
      </w:tr>
    </w:tbl>
    <w:p w14:paraId="70EA0231" w14:textId="77777777" w:rsidR="00F95B95" w:rsidRDefault="00F95B95">
      <w:pPr>
        <w:spacing w:after="120"/>
      </w:pPr>
    </w:p>
    <w:p w14:paraId="5C62F468" w14:textId="77777777" w:rsidR="00F95B95" w:rsidRDefault="00000000">
      <w:pPr>
        <w:pStyle w:val="Heading2"/>
        <w:spacing w:before="280" w:after="140"/>
      </w:pPr>
      <w:r>
        <w:rPr>
          <w:b/>
          <w:bCs/>
          <w:color w:val="007A3D"/>
        </w:rPr>
        <w:t>4.3 Disaster recovery topology</w:t>
      </w:r>
    </w:p>
    <w:p w14:paraId="5B47151E" w14:textId="77777777" w:rsidR="00F95B95" w:rsidRDefault="00000000">
      <w:pPr>
        <w:spacing w:after="160" w:line="288" w:lineRule="auto"/>
      </w:pPr>
      <w:r>
        <w:rPr>
          <w:color w:val="0B1118"/>
        </w:rPr>
        <w:t>This reference architecture uses an independent-cluster DR topology: each cluster is self-contained, and DR is achieved by restoring workloads from backup onto a separately provisioned cluster in a different zone or region — not by stretching a cluster across sites.</w:t>
      </w:r>
    </w:p>
    <w:tbl>
      <w:tblPr>
        <w:tblW w:w="936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300"/>
        <w:gridCol w:w="7060"/>
      </w:tblGrid>
      <w:tr w:rsidR="00F95B95" w14:paraId="07E819C4" w14:textId="77777777">
        <w:tblPrEx>
          <w:tblCellMar>
            <w:top w:w="0" w:type="dxa"/>
            <w:bottom w:w="0" w:type="dxa"/>
          </w:tblCellMar>
        </w:tblPrEx>
        <w:trPr>
          <w:tblHeader/>
        </w:trPr>
        <w:tc>
          <w:tcPr>
            <w:tcW w:w="2300" w:type="dxa"/>
            <w:shd w:val="clear" w:color="auto" w:fill="1B1F23"/>
            <w:tcMar>
              <w:top w:w="90" w:type="dxa"/>
              <w:left w:w="110" w:type="dxa"/>
              <w:bottom w:w="90" w:type="dxa"/>
              <w:right w:w="110" w:type="dxa"/>
            </w:tcMar>
            <w:vAlign w:val="center"/>
          </w:tcPr>
          <w:p w14:paraId="510209D9" w14:textId="77777777" w:rsidR="00F95B95" w:rsidRDefault="00000000">
            <w:pPr>
              <w:spacing w:line="317" w:lineRule="auto"/>
            </w:pPr>
            <w:r>
              <w:rPr>
                <w:b/>
                <w:bCs/>
                <w:color w:val="FFFFFF"/>
                <w:sz w:val="19"/>
                <w:szCs w:val="19"/>
              </w:rPr>
              <w:t>Topology</w:t>
            </w:r>
          </w:p>
        </w:tc>
        <w:tc>
          <w:tcPr>
            <w:tcW w:w="7060" w:type="dxa"/>
            <w:shd w:val="clear" w:color="auto" w:fill="1B1F23"/>
            <w:tcMar>
              <w:top w:w="90" w:type="dxa"/>
              <w:left w:w="110" w:type="dxa"/>
              <w:bottom w:w="90" w:type="dxa"/>
              <w:right w:w="110" w:type="dxa"/>
            </w:tcMar>
            <w:vAlign w:val="center"/>
          </w:tcPr>
          <w:p w14:paraId="56409D87" w14:textId="77777777" w:rsidR="00F95B95" w:rsidRDefault="00000000">
            <w:pPr>
              <w:spacing w:line="317" w:lineRule="auto"/>
            </w:pPr>
            <w:r>
              <w:rPr>
                <w:b/>
                <w:bCs/>
                <w:color w:val="FFFFFF"/>
                <w:sz w:val="19"/>
                <w:szCs w:val="19"/>
              </w:rPr>
              <w:t>Characteristics</w:t>
            </w:r>
          </w:p>
        </w:tc>
      </w:tr>
      <w:tr w:rsidR="00F95B95" w14:paraId="58EF25DC" w14:textId="77777777">
        <w:tblPrEx>
          <w:tblCellMar>
            <w:top w:w="0" w:type="dxa"/>
            <w:bottom w:w="0" w:type="dxa"/>
          </w:tblCellMar>
        </w:tblPrEx>
        <w:tc>
          <w:tcPr>
            <w:tcW w:w="2300" w:type="dxa"/>
            <w:shd w:val="clear" w:color="auto" w:fill="FFFFFF"/>
            <w:tcMar>
              <w:top w:w="90" w:type="dxa"/>
              <w:left w:w="110" w:type="dxa"/>
              <w:bottom w:w="90" w:type="dxa"/>
              <w:right w:w="110" w:type="dxa"/>
            </w:tcMar>
            <w:vAlign w:val="center"/>
          </w:tcPr>
          <w:p w14:paraId="6E311FE2" w14:textId="77777777" w:rsidR="00F95B95" w:rsidRDefault="00000000">
            <w:pPr>
              <w:spacing w:line="317" w:lineRule="auto"/>
            </w:pPr>
            <w:r>
              <w:rPr>
                <w:b/>
                <w:bCs/>
                <w:color w:val="0B1118"/>
                <w:sz w:val="19"/>
                <w:szCs w:val="19"/>
              </w:rPr>
              <w:t>Cold standby</w:t>
            </w:r>
          </w:p>
        </w:tc>
        <w:tc>
          <w:tcPr>
            <w:tcW w:w="7060" w:type="dxa"/>
            <w:shd w:val="clear" w:color="auto" w:fill="FFFFFF"/>
            <w:tcMar>
              <w:top w:w="90" w:type="dxa"/>
              <w:left w:w="110" w:type="dxa"/>
              <w:bottom w:w="90" w:type="dxa"/>
              <w:right w:w="110" w:type="dxa"/>
            </w:tcMar>
            <w:vAlign w:val="center"/>
          </w:tcPr>
          <w:p w14:paraId="6DA11D55" w14:textId="77777777" w:rsidR="00F95B95" w:rsidRDefault="00000000">
            <w:pPr>
              <w:spacing w:line="317" w:lineRule="auto"/>
            </w:pPr>
            <w:r>
              <w:rPr>
                <w:color w:val="0B1118"/>
                <w:sz w:val="19"/>
                <w:szCs w:val="19"/>
              </w:rPr>
              <w:t>Recovery cluster provisioned on demand from its profile when a failure occurs. No ongoing infrastructure cost. RTO is higher — typically 30 minutes to several hours depending on workload size. Appropriate for non-production tiers and production workloads where the SLA permits.</w:t>
            </w:r>
          </w:p>
        </w:tc>
      </w:tr>
      <w:tr w:rsidR="00F95B95" w14:paraId="2500B4B7" w14:textId="77777777">
        <w:tblPrEx>
          <w:tblCellMar>
            <w:top w:w="0" w:type="dxa"/>
            <w:bottom w:w="0" w:type="dxa"/>
          </w:tblCellMar>
        </w:tblPrEx>
        <w:tc>
          <w:tcPr>
            <w:tcW w:w="2300" w:type="dxa"/>
            <w:shd w:val="clear" w:color="auto" w:fill="EEF2F1"/>
            <w:tcMar>
              <w:top w:w="90" w:type="dxa"/>
              <w:left w:w="110" w:type="dxa"/>
              <w:bottom w:w="90" w:type="dxa"/>
              <w:right w:w="110" w:type="dxa"/>
            </w:tcMar>
            <w:vAlign w:val="center"/>
          </w:tcPr>
          <w:p w14:paraId="698C5CFC" w14:textId="77777777" w:rsidR="00F95B95" w:rsidRDefault="00000000">
            <w:pPr>
              <w:spacing w:line="317" w:lineRule="auto"/>
            </w:pPr>
            <w:r>
              <w:rPr>
                <w:b/>
                <w:bCs/>
                <w:color w:val="0B1118"/>
                <w:sz w:val="19"/>
                <w:szCs w:val="19"/>
              </w:rPr>
              <w:t>Warm standby</w:t>
            </w:r>
          </w:p>
        </w:tc>
        <w:tc>
          <w:tcPr>
            <w:tcW w:w="7060" w:type="dxa"/>
            <w:shd w:val="clear" w:color="auto" w:fill="EEF2F1"/>
            <w:tcMar>
              <w:top w:w="90" w:type="dxa"/>
              <w:left w:w="110" w:type="dxa"/>
              <w:bottom w:w="90" w:type="dxa"/>
              <w:right w:w="110" w:type="dxa"/>
            </w:tcMar>
            <w:vAlign w:val="center"/>
          </w:tcPr>
          <w:p w14:paraId="48D8173F" w14:textId="77777777" w:rsidR="00F95B95" w:rsidRDefault="00000000">
            <w:pPr>
              <w:spacing w:line="317" w:lineRule="auto"/>
            </w:pPr>
            <w:r>
              <w:rPr>
                <w:color w:val="0B1118"/>
                <w:sz w:val="19"/>
                <w:szCs w:val="19"/>
              </w:rPr>
              <w:t>Recovery cluster pre-provisioned and kept idle or lightly loaded, with backup data continuously imported. RTO is lower — minutes to tens of minutes — at the cost of ongoing infrastructure. Appropriate for production workloads with tight RTO requirements.</w:t>
            </w:r>
          </w:p>
        </w:tc>
      </w:tr>
      <w:tr w:rsidR="00F95B95" w14:paraId="749670C9" w14:textId="77777777">
        <w:tblPrEx>
          <w:tblCellMar>
            <w:top w:w="0" w:type="dxa"/>
            <w:bottom w:w="0" w:type="dxa"/>
          </w:tblCellMar>
        </w:tblPrEx>
        <w:tc>
          <w:tcPr>
            <w:tcW w:w="2300" w:type="dxa"/>
            <w:shd w:val="clear" w:color="auto" w:fill="FFFFFF"/>
            <w:tcMar>
              <w:top w:w="90" w:type="dxa"/>
              <w:left w:w="110" w:type="dxa"/>
              <w:bottom w:w="90" w:type="dxa"/>
              <w:right w:w="110" w:type="dxa"/>
            </w:tcMar>
            <w:vAlign w:val="center"/>
          </w:tcPr>
          <w:p w14:paraId="27218861" w14:textId="77777777" w:rsidR="00F95B95" w:rsidRDefault="00000000">
            <w:pPr>
              <w:spacing w:line="317" w:lineRule="auto"/>
            </w:pPr>
            <w:r>
              <w:rPr>
                <w:b/>
                <w:bCs/>
                <w:color w:val="0B1118"/>
                <w:sz w:val="19"/>
                <w:szCs w:val="19"/>
              </w:rPr>
              <w:t>Export only</w:t>
            </w:r>
          </w:p>
        </w:tc>
        <w:tc>
          <w:tcPr>
            <w:tcW w:w="7060" w:type="dxa"/>
            <w:shd w:val="clear" w:color="auto" w:fill="FFFFFF"/>
            <w:tcMar>
              <w:top w:w="90" w:type="dxa"/>
              <w:left w:w="110" w:type="dxa"/>
              <w:bottom w:w="90" w:type="dxa"/>
              <w:right w:w="110" w:type="dxa"/>
            </w:tcMar>
            <w:vAlign w:val="center"/>
          </w:tcPr>
          <w:p w14:paraId="4C79B80C" w14:textId="77777777" w:rsidR="00F95B95" w:rsidRDefault="00000000">
            <w:pPr>
              <w:spacing w:line="317" w:lineRule="auto"/>
            </w:pPr>
            <w:r>
              <w:rPr>
                <w:color w:val="0B1118"/>
                <w:sz w:val="19"/>
                <w:szCs w:val="19"/>
              </w:rPr>
              <w:t>No standby infrastructure. In a disaster, a Kubernetes environment and Kasten are rebuilt from scratch and workloads restored from exported restore points. Acceptable when a multi-hour to multi-day RTO is tolerable.</w:t>
            </w:r>
          </w:p>
        </w:tc>
      </w:tr>
    </w:tbl>
    <w:p w14:paraId="4A71B359" w14:textId="77777777" w:rsidR="00F95B95" w:rsidRDefault="00F95B95">
      <w:pPr>
        <w:spacing w:after="120"/>
      </w:pPr>
    </w:p>
    <w:p w14:paraId="06FA3F91" w14:textId="77777777" w:rsidR="00F95B95" w:rsidRDefault="00000000">
      <w:pPr>
        <w:pStyle w:val="Heading2"/>
        <w:spacing w:before="280" w:after="140"/>
      </w:pPr>
      <w:r>
        <w:rPr>
          <w:b/>
          <w:bCs/>
          <w:color w:val="007A3D"/>
        </w:rPr>
        <w:t>4.4 Edge and air-gapped patterns</w:t>
      </w:r>
    </w:p>
    <w:p w14:paraId="4965562C" w14:textId="77777777" w:rsidR="00F95B95" w:rsidRDefault="00000000">
      <w:pPr>
        <w:spacing w:after="160" w:line="288" w:lineRule="auto"/>
      </w:pPr>
      <w:r>
        <w:rPr>
          <w:color w:val="0B1118"/>
        </w:rPr>
        <w:t xml:space="preserve">Air-gapped or intermittently connected clusters cannot ship backup data to a cloud object store in real time. Deploy a local S3-compatible target (such as MinIO) on the management cluster or dedicated local infrastructure, accumulate </w:t>
      </w:r>
      <w:r>
        <w:rPr>
          <w:color w:val="0B1118"/>
        </w:rPr>
        <w:lastRenderedPageBreak/>
        <w:t>backups locally during disconnected periods, and synchronize to the central store during scheduled connectivity windows. Size local storage for at least two full backups plus all incremental backups expected during the maximum disconnection period, and alert when local utilization approaches capacity. Kasten's centralized policy management and low per-cluster footprint make it well suited to this pattern — policies defined once on the management cluster propagate to every edge cluster without per-site intervention.</w:t>
      </w:r>
    </w:p>
    <w:p w14:paraId="4FA7AE2D" w14:textId="77777777" w:rsidR="00F95B95" w:rsidRDefault="00000000">
      <w:pPr>
        <w:pStyle w:val="Heading2"/>
        <w:spacing w:before="280" w:after="140"/>
      </w:pPr>
      <w:r>
        <w:rPr>
          <w:b/>
          <w:bCs/>
          <w:color w:val="007A3D"/>
        </w:rPr>
        <w:t>4.5 Non-functional considerations</w:t>
      </w:r>
    </w:p>
    <w:p w14:paraId="6ED1C62B" w14:textId="77777777" w:rsidR="00F95B95" w:rsidRDefault="00000000">
      <w:pPr>
        <w:pStyle w:val="ListParagraph"/>
        <w:numPr>
          <w:ilvl w:val="0"/>
          <w:numId w:val="2"/>
        </w:numPr>
        <w:spacing w:after="90" w:line="276" w:lineRule="auto"/>
      </w:pPr>
      <w:r>
        <w:rPr>
          <w:color w:val="0B1118"/>
        </w:rPr>
        <w:t>Encryption in transit and at rest for all backup data; prefer customer-managed keys (BYOK/CMEK) for regulated workloads where supported.</w:t>
      </w:r>
    </w:p>
    <w:p w14:paraId="00AC46F4" w14:textId="77777777" w:rsidR="00F95B95" w:rsidRDefault="00000000">
      <w:pPr>
        <w:pStyle w:val="ListParagraph"/>
        <w:numPr>
          <w:ilvl w:val="0"/>
          <w:numId w:val="2"/>
        </w:numPr>
        <w:spacing w:after="90" w:line="276" w:lineRule="auto"/>
      </w:pPr>
      <w:r>
        <w:rPr>
          <w:color w:val="0B1118"/>
        </w:rPr>
        <w:t>Compliance retention: PCI-DSS requires alignment with a defined retention schedule; HIPAA requires 6-year retention; SOC 2 auditors expect documented evidence that backup procedures operate as designed. Keep the backup tool's retention settings and object storage lifecycle rules in agreement.</w:t>
      </w:r>
    </w:p>
    <w:p w14:paraId="6C2A9E55" w14:textId="77777777" w:rsidR="00F95B95" w:rsidRDefault="00000000">
      <w:pPr>
        <w:pStyle w:val="ListParagraph"/>
        <w:numPr>
          <w:ilvl w:val="0"/>
          <w:numId w:val="2"/>
        </w:numPr>
        <w:spacing w:after="90" w:line="276" w:lineRule="auto"/>
      </w:pPr>
      <w:r>
        <w:rPr>
          <w:color w:val="0B1118"/>
        </w:rPr>
        <w:t>Backup solution independence: the backup control plane and its credentials should not depend on any service hosted on the clusters it protects, including identity providers — if a protected cluster fails, the backup solution must remain reachable.</w:t>
      </w:r>
    </w:p>
    <w:p w14:paraId="3A091CB7" w14:textId="77777777" w:rsidR="00F95B95" w:rsidRDefault="00F95B95">
      <w:pPr>
        <w:spacing w:after="120"/>
      </w:pPr>
    </w:p>
    <w:p w14:paraId="0A9F64D6" w14:textId="27B5897E" w:rsidR="00F95B95" w:rsidRDefault="00000000">
      <w:pPr>
        <w:pStyle w:val="Heading2"/>
        <w:spacing w:before="280" w:after="140"/>
      </w:pPr>
      <w:r>
        <w:rPr>
          <w:b/>
          <w:bCs/>
          <w:color w:val="007A3D"/>
        </w:rPr>
        <w:t>4.6 Data Protection Architecture Principles</w:t>
      </w:r>
    </w:p>
    <w:p w14:paraId="1FEC1CBE" w14:textId="63C6686F" w:rsidR="00F95B95" w:rsidRDefault="00000000">
      <w:pPr>
        <w:spacing w:after="160" w:line="288" w:lineRule="auto"/>
      </w:pPr>
      <w:r>
        <w:rPr>
          <w:color w:val="0B1118"/>
        </w:rPr>
        <w:t>Data Protection Architecture Principles</w:t>
      </w:r>
      <w:r w:rsidR="006F4BE3">
        <w:rPr>
          <w:color w:val="0B1118"/>
        </w:rPr>
        <w:t xml:space="preserve"> </w:t>
      </w:r>
      <w:r>
        <w:rPr>
          <w:color w:val="0B1118"/>
        </w:rPr>
        <w:t>set out a vendor-neutral set of principles for Kubernetes data protection. Kasten's architecture, described above, is one implementation of these principles; they are repeated here as an independent checklist against which any Kasten deployment can be validated.</w:t>
      </w:r>
    </w:p>
    <w:p w14:paraId="401764F0" w14:textId="77777777" w:rsidR="00F95B95" w:rsidRDefault="00000000">
      <w:pPr>
        <w:spacing w:after="200"/>
        <w:jc w:val="center"/>
      </w:pPr>
      <w:r>
        <w:rPr>
          <w:noProof/>
        </w:rPr>
        <w:drawing>
          <wp:inline distT="0" distB="0" distL="0" distR="0" wp14:anchorId="4325230A" wp14:editId="02BE1DE3">
            <wp:extent cx="5210175" cy="2752725"/>
            <wp:effectExtent l="0" t="0" r="0" b="0"/>
            <wp:docPr id="1919326448" name="Picture 191932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0175" cy="2752725"/>
                    </a:xfrm>
                    <a:prstGeom prst="rect">
                      <a:avLst/>
                    </a:prstGeom>
                  </pic:spPr>
                </pic:pic>
              </a:graphicData>
            </a:graphic>
          </wp:inline>
        </w:drawing>
      </w:r>
    </w:p>
    <w:p w14:paraId="5C8822B4" w14:textId="77777777" w:rsidR="00F95B95" w:rsidRDefault="00000000">
      <w:pPr>
        <w:pStyle w:val="ListParagraph"/>
        <w:numPr>
          <w:ilvl w:val="0"/>
          <w:numId w:val="2"/>
        </w:numPr>
        <w:spacing w:after="90" w:line="276" w:lineRule="auto"/>
      </w:pPr>
      <w:r>
        <w:rPr>
          <w:color w:val="0B1118"/>
        </w:rPr>
        <w:t>Protect both layers independently. Kubernetes resource state — namespaces, Deployments, StatefulSets, ConfigMaps, Secrets, RBAC bindings, CRDs — and persistent volume data must both be captured; restoring one without the other leaves an application in an inconsistent state.</w:t>
      </w:r>
    </w:p>
    <w:p w14:paraId="6DA83339" w14:textId="77777777" w:rsidR="00F95B95" w:rsidRDefault="00000000">
      <w:pPr>
        <w:pStyle w:val="ListParagraph"/>
        <w:numPr>
          <w:ilvl w:val="0"/>
          <w:numId w:val="2"/>
        </w:numPr>
        <w:spacing w:after="90" w:line="276" w:lineRule="auto"/>
      </w:pPr>
      <w:r>
        <w:rPr>
          <w:color w:val="0B1118"/>
        </w:rPr>
        <w:t>Define RPO/RTO per workload tier before selecting tooling. Production workloads need an RPO in minutes to low hours; non-production can typically tolerate a multi-hour RPO; edge clusters often need a strict RTO but have limited connectivity to central backup targets. The requirements should drive the architecture, not the other way around.</w:t>
      </w:r>
    </w:p>
    <w:p w14:paraId="68C1F7C2" w14:textId="594E8218" w:rsidR="00F95B95" w:rsidRDefault="00000000">
      <w:pPr>
        <w:pStyle w:val="ListParagraph"/>
        <w:numPr>
          <w:ilvl w:val="0"/>
          <w:numId w:val="2"/>
        </w:numPr>
        <w:spacing w:after="90" w:line="276" w:lineRule="auto"/>
      </w:pPr>
      <w:r>
        <w:rPr>
          <w:color w:val="0B1118"/>
        </w:rPr>
        <w:lastRenderedPageBreak/>
        <w:t xml:space="preserve">Require granular, application-level, Kubernetes-native backup. Solutions must capture both the Kubernetes API objects and the persistent volume data they </w:t>
      </w:r>
      <w:r w:rsidR="00240B94">
        <w:rPr>
          <w:color w:val="0B1118"/>
        </w:rPr>
        <w:t>reference and</w:t>
      </w:r>
      <w:r>
        <w:rPr>
          <w:color w:val="0B1118"/>
        </w:rPr>
        <w:t xml:space="preserve"> must be able to quiesce databases before creating a backup.</w:t>
      </w:r>
    </w:p>
    <w:p w14:paraId="744AB673" w14:textId="77777777" w:rsidR="00F95B95" w:rsidRDefault="00000000">
      <w:pPr>
        <w:pStyle w:val="ListParagraph"/>
        <w:numPr>
          <w:ilvl w:val="0"/>
          <w:numId w:val="2"/>
        </w:numPr>
        <w:spacing w:after="90" w:line="276" w:lineRule="auto"/>
      </w:pPr>
      <w:r>
        <w:rPr>
          <w:color w:val="0B1118"/>
        </w:rPr>
        <w:t>Follow the 3-2-1 backup rule. Maintain at least three copies of data — the live copy on cluster storage, a backup in a local or regional object store, and a cross-region or off-site replicated copy — with all backup copies stored off-cluster.</w:t>
      </w:r>
    </w:p>
    <w:p w14:paraId="714645F9" w14:textId="77777777" w:rsidR="00F95B95" w:rsidRDefault="00000000">
      <w:pPr>
        <w:pStyle w:val="ListParagraph"/>
        <w:numPr>
          <w:ilvl w:val="0"/>
          <w:numId w:val="2"/>
        </w:numPr>
        <w:spacing w:after="90" w:line="276" w:lineRule="auto"/>
      </w:pPr>
      <w:r>
        <w:rPr>
          <w:color w:val="0B1118"/>
        </w:rPr>
        <w:t>Prefer incremental, storage-integrated backup. Back up persistent storage through CSI snapshot integration to minimize backup window duration and reduce load on running workloads, with incremental backups as the default schedule.</w:t>
      </w:r>
    </w:p>
    <w:p w14:paraId="2FF74663" w14:textId="77777777" w:rsidR="00F95B95" w:rsidRDefault="00000000">
      <w:pPr>
        <w:pStyle w:val="ListParagraph"/>
        <w:numPr>
          <w:ilvl w:val="0"/>
          <w:numId w:val="2"/>
        </w:numPr>
        <w:spacing w:after="90" w:line="276" w:lineRule="auto"/>
      </w:pPr>
      <w:r>
        <w:rPr>
          <w:color w:val="0B1118"/>
        </w:rPr>
        <w:t>Require restore flexibility. Backup tooling must support restoring to the original cluster, a different cluster, a different namespace, or a different cloud provider — heterogeneous restore is the primary DR mechanism when the original cluster is unavailable.</w:t>
      </w:r>
    </w:p>
    <w:p w14:paraId="3C541137" w14:textId="77777777" w:rsidR="00F95B95" w:rsidRDefault="00000000">
      <w:pPr>
        <w:pStyle w:val="ListParagraph"/>
        <w:numPr>
          <w:ilvl w:val="0"/>
          <w:numId w:val="2"/>
        </w:numPr>
        <w:spacing w:after="90" w:line="276" w:lineRule="auto"/>
      </w:pPr>
      <w:r>
        <w:rPr>
          <w:color w:val="0B1118"/>
        </w:rPr>
        <w:t>Test restoring, not just backing up. A backup's value is determined entirely by whether it can be restored. Every production workload needs at least one documented, tested restore procedure before its backup can be considered operationally valid.</w:t>
      </w:r>
    </w:p>
    <w:p w14:paraId="00254F3D" w14:textId="77777777" w:rsidR="00F95B95" w:rsidRDefault="00000000">
      <w:pPr>
        <w:pStyle w:val="ListParagraph"/>
        <w:numPr>
          <w:ilvl w:val="0"/>
          <w:numId w:val="2"/>
        </w:numPr>
        <w:spacing w:after="90" w:line="276" w:lineRule="auto"/>
      </w:pPr>
      <w:r>
        <w:rPr>
          <w:color w:val="0B1118"/>
        </w:rPr>
        <w:t>Protect against ransomware and data integrity threats. Apply write-once semantics to all production backup targets, consider air-gapping backup data from normal cluster credentials, and integrate with SIEM platforms to detect anomalous backup size or deletion patterns.</w:t>
      </w:r>
    </w:p>
    <w:p w14:paraId="325D8BFC" w14:textId="77777777" w:rsidR="00F95B95" w:rsidRDefault="00000000">
      <w:pPr>
        <w:pStyle w:val="ListParagraph"/>
        <w:numPr>
          <w:ilvl w:val="0"/>
          <w:numId w:val="2"/>
        </w:numPr>
        <w:spacing w:after="90" w:line="276" w:lineRule="auto"/>
      </w:pPr>
      <w:r>
        <w:rPr>
          <w:color w:val="0B1118"/>
        </w:rPr>
        <w:t>Design for backup multitenancy. Policies should be definable at the namespace level, restore access scoped by Kubernetes RBAC, and self-service recovery available so application teams can manage their own restores without platform engineering involvement.</w:t>
      </w:r>
    </w:p>
    <w:p w14:paraId="49D01E8F" w14:textId="77777777" w:rsidR="00F95B95" w:rsidRDefault="00F95B95">
      <w:pPr>
        <w:spacing w:after="120"/>
      </w:pPr>
    </w:p>
    <w:p w14:paraId="50313E46" w14:textId="7ABF2430" w:rsidR="00F95B95" w:rsidRDefault="00000000">
      <w:pPr>
        <w:pStyle w:val="Heading2"/>
        <w:spacing w:before="280" w:after="140"/>
      </w:pPr>
      <w:r>
        <w:rPr>
          <w:b/>
          <w:bCs/>
          <w:color w:val="007A3D"/>
        </w:rPr>
        <w:t xml:space="preserve">4.7 Disaster Recovery Patterns </w:t>
      </w:r>
    </w:p>
    <w:p w14:paraId="0C2ED39B" w14:textId="7CEBE04A" w:rsidR="00F95B95" w:rsidRDefault="00000000">
      <w:pPr>
        <w:spacing w:after="160" w:line="288" w:lineRule="auto"/>
      </w:pPr>
      <w:r>
        <w:rPr>
          <w:color w:val="0B1118"/>
        </w:rPr>
        <w:t>Disaster Recovery Patterns</w:t>
      </w:r>
      <w:r w:rsidR="00240B94">
        <w:rPr>
          <w:color w:val="0B1118"/>
        </w:rPr>
        <w:t xml:space="preserve"> </w:t>
      </w:r>
      <w:r>
        <w:rPr>
          <w:color w:val="0B1118"/>
        </w:rPr>
        <w:t>frame recovery requirements by failure type and formalizes the independent-cluster DR topology used throughout this guide. A single namespace loss requires namespace-level restore from the most recent backup. A full cluster loss requires rebuilding the cluster from its profile and restoring all workloads from backup — the standard DR scenario. A regional loss requires replicated backup data in a different region and, for near-zero-RPO requirements, synchronous replication at the storage or database layer, which backup tools alone do not provide.</w:t>
      </w:r>
    </w:p>
    <w:p w14:paraId="7B78A26B" w14:textId="77777777" w:rsidR="00F95B95" w:rsidRDefault="00000000">
      <w:pPr>
        <w:spacing w:after="160" w:line="288" w:lineRule="auto"/>
      </w:pPr>
      <w:r>
        <w:rPr>
          <w:color w:val="0B1118"/>
        </w:rPr>
        <w:t>This reference architecture explicitly uses only the independent-cluster DR topology and rejects stretched-cluster configurations: each cluster is self-contained, and DR is achieved by restoring workloads from backup onto a separately provisioned cluster in a different zone or region.</w:t>
      </w:r>
    </w:p>
    <w:p w14:paraId="5DFBDD27" w14:textId="77777777" w:rsidR="00F95B95" w:rsidRDefault="00000000">
      <w:pPr>
        <w:spacing w:after="200"/>
        <w:jc w:val="center"/>
      </w:pPr>
      <w:r>
        <w:rPr>
          <w:noProof/>
        </w:rPr>
        <w:lastRenderedPageBreak/>
        <w:drawing>
          <wp:inline distT="0" distB="0" distL="0" distR="0" wp14:anchorId="528D4C7B" wp14:editId="11BBDB50">
            <wp:extent cx="5457825" cy="2800350"/>
            <wp:effectExtent l="0" t="0" r="0" b="0"/>
            <wp:docPr id="521077789" name="Picture 521077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57825" cy="2800350"/>
                    </a:xfrm>
                    <a:prstGeom prst="rect">
                      <a:avLst/>
                    </a:prstGeom>
                  </pic:spPr>
                </pic:pic>
              </a:graphicData>
            </a:graphic>
          </wp:inline>
        </w:drawing>
      </w:r>
    </w:p>
    <w:p w14:paraId="22600BCB" w14:textId="77777777" w:rsidR="00F95B95" w:rsidRDefault="00000000">
      <w:pPr>
        <w:pStyle w:val="ListParagraph"/>
        <w:numPr>
          <w:ilvl w:val="0"/>
          <w:numId w:val="2"/>
        </w:numPr>
        <w:spacing w:after="90" w:line="276" w:lineRule="auto"/>
      </w:pPr>
      <w:r>
        <w:rPr>
          <w:color w:val="0B1118"/>
        </w:rPr>
        <w:t>Cold standby. A recovery cluster is provisioned from the cluster profile on demand when a failure occurs — no ongoing infrastructure cost, no replication to maintain. RTO is higher (typically 30 minutes to several hours). Appropriate for non-production tiers and production workloads where the SLA permits.</w:t>
      </w:r>
    </w:p>
    <w:p w14:paraId="59B1306E" w14:textId="77777777" w:rsidR="00F95B95" w:rsidRDefault="00000000">
      <w:pPr>
        <w:pStyle w:val="ListParagraph"/>
        <w:numPr>
          <w:ilvl w:val="0"/>
          <w:numId w:val="2"/>
        </w:numPr>
        <w:spacing w:after="90" w:line="276" w:lineRule="auto"/>
      </w:pPr>
      <w:r>
        <w:rPr>
          <w:color w:val="0B1118"/>
        </w:rPr>
        <w:t>Warm standby. A recovery cluster is pre-provisioned and kept idle or lightly loaded, with backup data continuously replicated to an accessible object store. RTO is lower (minutes to low tens of minutes) at the cost of ongoing infrastructure for the idle cluster. Appropriate for production workloads with tight RTO requirements.</w:t>
      </w:r>
    </w:p>
    <w:p w14:paraId="7D9BC2F3" w14:textId="77777777" w:rsidR="00F95B95" w:rsidRDefault="00000000">
      <w:pPr>
        <w:pStyle w:val="ListParagraph"/>
        <w:numPr>
          <w:ilvl w:val="0"/>
          <w:numId w:val="2"/>
        </w:numPr>
        <w:spacing w:after="90" w:line="276" w:lineRule="auto"/>
      </w:pPr>
      <w:r>
        <w:rPr>
          <w:color w:val="0B1118"/>
        </w:rPr>
        <w:t>DR drills are mandatory, not optional. A disaster recovery procedure that has never been executed is an assumption, not a capability. Scheduled DR drills — full restore to an isolated cluster, validated against documented RTO and RPO targets — are required for all production workloads covered by a recovery SLA, with outcomes reviewed and runbooks updated when procedures change.</w:t>
      </w:r>
    </w:p>
    <w:p w14:paraId="5B92E00F" w14:textId="77777777" w:rsidR="00F95B95" w:rsidRDefault="00000000">
      <w:r>
        <w:br w:type="page"/>
      </w:r>
    </w:p>
    <w:p w14:paraId="2CAA7BFD" w14:textId="77777777" w:rsidR="00F95B95" w:rsidRDefault="00000000">
      <w:pPr>
        <w:pStyle w:val="Heading1"/>
        <w:pBdr>
          <w:bottom w:val="single" w:sz="12" w:space="4" w:color="00A550"/>
        </w:pBdr>
        <w:spacing w:before="360" w:after="200"/>
      </w:pPr>
      <w:r>
        <w:rPr>
          <w:b/>
          <w:bCs/>
          <w:color w:val="0B1118"/>
        </w:rPr>
        <w:lastRenderedPageBreak/>
        <w:t>5. Roadmap: From Day 1 to Level 5</w:t>
      </w:r>
    </w:p>
    <w:p w14:paraId="236358E7" w14:textId="77777777" w:rsidR="00F95B95" w:rsidRDefault="00000000">
      <w:pPr>
        <w:spacing w:after="160" w:line="288" w:lineRule="auto"/>
      </w:pPr>
      <w:r>
        <w:rPr>
          <w:color w:val="0B1118"/>
        </w:rPr>
        <w:t>Veeam's 100-day operational roadmap for Kasten is a practical on-ramp to the maturity model above. The table below maps each phase to the maturity level it typically establishes; actual timing varies with environment size and complexity — small environments may compress Phase 1 to a week, and complex ones may extend Phase 3.</w:t>
      </w:r>
    </w:p>
    <w:tbl>
      <w:tblPr>
        <w:tblW w:w="946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600"/>
        <w:gridCol w:w="1500"/>
        <w:gridCol w:w="4100"/>
        <w:gridCol w:w="1260"/>
      </w:tblGrid>
      <w:tr w:rsidR="00F95B95" w14:paraId="55620608" w14:textId="77777777">
        <w:tblPrEx>
          <w:tblCellMar>
            <w:top w:w="0" w:type="dxa"/>
            <w:bottom w:w="0" w:type="dxa"/>
          </w:tblCellMar>
        </w:tblPrEx>
        <w:trPr>
          <w:tblHeader/>
        </w:trPr>
        <w:tc>
          <w:tcPr>
            <w:tcW w:w="2600" w:type="dxa"/>
            <w:shd w:val="clear" w:color="auto" w:fill="1B1F23"/>
            <w:tcMar>
              <w:top w:w="90" w:type="dxa"/>
              <w:left w:w="110" w:type="dxa"/>
              <w:bottom w:w="90" w:type="dxa"/>
              <w:right w:w="110" w:type="dxa"/>
            </w:tcMar>
            <w:vAlign w:val="center"/>
          </w:tcPr>
          <w:p w14:paraId="35564E0A" w14:textId="77777777" w:rsidR="00F95B95" w:rsidRDefault="00000000">
            <w:pPr>
              <w:spacing w:line="317" w:lineRule="auto"/>
            </w:pPr>
            <w:r>
              <w:rPr>
                <w:b/>
                <w:bCs/>
                <w:color w:val="FFFFFF"/>
                <w:sz w:val="19"/>
                <w:szCs w:val="19"/>
              </w:rPr>
              <w:t>Phase</w:t>
            </w:r>
          </w:p>
        </w:tc>
        <w:tc>
          <w:tcPr>
            <w:tcW w:w="1500" w:type="dxa"/>
            <w:shd w:val="clear" w:color="auto" w:fill="1B1F23"/>
            <w:tcMar>
              <w:top w:w="90" w:type="dxa"/>
              <w:left w:w="110" w:type="dxa"/>
              <w:bottom w:w="90" w:type="dxa"/>
              <w:right w:w="110" w:type="dxa"/>
            </w:tcMar>
            <w:vAlign w:val="center"/>
          </w:tcPr>
          <w:p w14:paraId="4AFCB158" w14:textId="77777777" w:rsidR="00F95B95" w:rsidRDefault="00000000">
            <w:pPr>
              <w:spacing w:line="317" w:lineRule="auto"/>
            </w:pPr>
            <w:r>
              <w:rPr>
                <w:b/>
                <w:bCs/>
                <w:color w:val="FFFFFF"/>
                <w:sz w:val="19"/>
                <w:szCs w:val="19"/>
              </w:rPr>
              <w:t>Timeline</w:t>
            </w:r>
          </w:p>
        </w:tc>
        <w:tc>
          <w:tcPr>
            <w:tcW w:w="4100" w:type="dxa"/>
            <w:shd w:val="clear" w:color="auto" w:fill="1B1F23"/>
            <w:tcMar>
              <w:top w:w="90" w:type="dxa"/>
              <w:left w:w="110" w:type="dxa"/>
              <w:bottom w:w="90" w:type="dxa"/>
              <w:right w:w="110" w:type="dxa"/>
            </w:tcMar>
            <w:vAlign w:val="center"/>
          </w:tcPr>
          <w:p w14:paraId="5B2C6365" w14:textId="77777777" w:rsidR="00F95B95" w:rsidRDefault="00000000">
            <w:pPr>
              <w:spacing w:line="317" w:lineRule="auto"/>
            </w:pPr>
            <w:r>
              <w:rPr>
                <w:b/>
                <w:bCs/>
                <w:color w:val="FFFFFF"/>
                <w:sz w:val="19"/>
                <w:szCs w:val="19"/>
              </w:rPr>
              <w:t>Milestones</w:t>
            </w:r>
          </w:p>
        </w:tc>
        <w:tc>
          <w:tcPr>
            <w:tcW w:w="1260" w:type="dxa"/>
            <w:shd w:val="clear" w:color="auto" w:fill="1B1F23"/>
            <w:tcMar>
              <w:top w:w="90" w:type="dxa"/>
              <w:left w:w="110" w:type="dxa"/>
              <w:bottom w:w="90" w:type="dxa"/>
              <w:right w:w="110" w:type="dxa"/>
            </w:tcMar>
            <w:vAlign w:val="center"/>
          </w:tcPr>
          <w:p w14:paraId="50EDFF25" w14:textId="77777777" w:rsidR="00F95B95" w:rsidRDefault="00000000">
            <w:pPr>
              <w:spacing w:line="317" w:lineRule="auto"/>
            </w:pPr>
            <w:r>
              <w:rPr>
                <w:b/>
                <w:bCs/>
                <w:color w:val="FFFFFF"/>
                <w:sz w:val="17"/>
                <w:szCs w:val="17"/>
              </w:rPr>
              <w:t>Maturity</w:t>
            </w:r>
          </w:p>
        </w:tc>
      </w:tr>
      <w:tr w:rsidR="00F95B95" w14:paraId="5426A877"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C8E47B6" w14:textId="77777777" w:rsidR="00F95B95" w:rsidRDefault="00000000">
            <w:pPr>
              <w:spacing w:line="317" w:lineRule="auto"/>
            </w:pPr>
            <w:r>
              <w:rPr>
                <w:b/>
                <w:bCs/>
                <w:color w:val="0B1118"/>
                <w:sz w:val="19"/>
                <w:szCs w:val="19"/>
              </w:rPr>
              <w:t>Phase 1 — Foundation</w:t>
            </w:r>
          </w:p>
        </w:tc>
        <w:tc>
          <w:tcPr>
            <w:tcW w:w="1500" w:type="dxa"/>
            <w:shd w:val="clear" w:color="auto" w:fill="FFFFFF"/>
            <w:tcMar>
              <w:top w:w="90" w:type="dxa"/>
              <w:left w:w="110" w:type="dxa"/>
              <w:bottom w:w="90" w:type="dxa"/>
              <w:right w:w="110" w:type="dxa"/>
            </w:tcMar>
            <w:vAlign w:val="center"/>
          </w:tcPr>
          <w:p w14:paraId="6961CCAF" w14:textId="77777777" w:rsidR="00F95B95" w:rsidRDefault="00000000">
            <w:pPr>
              <w:spacing w:line="317" w:lineRule="auto"/>
            </w:pPr>
            <w:r>
              <w:rPr>
                <w:color w:val="0B1118"/>
                <w:sz w:val="19"/>
                <w:szCs w:val="19"/>
              </w:rPr>
              <w:t>Days 1–14</w:t>
            </w:r>
          </w:p>
        </w:tc>
        <w:tc>
          <w:tcPr>
            <w:tcW w:w="4100" w:type="dxa"/>
            <w:shd w:val="clear" w:color="auto" w:fill="FFFFFF"/>
            <w:tcMar>
              <w:top w:w="90" w:type="dxa"/>
              <w:left w:w="110" w:type="dxa"/>
              <w:bottom w:w="90" w:type="dxa"/>
              <w:right w:w="110" w:type="dxa"/>
            </w:tcMar>
            <w:vAlign w:val="center"/>
          </w:tcPr>
          <w:p w14:paraId="67F63EEC" w14:textId="77777777" w:rsidR="00F95B95" w:rsidRDefault="00000000">
            <w:pPr>
              <w:spacing w:line="317" w:lineRule="auto"/>
            </w:pPr>
            <w:r>
              <w:rPr>
                <w:color w:val="0B1118"/>
                <w:sz w:val="18"/>
                <w:szCs w:val="18"/>
              </w:rPr>
              <w:t>M1 Size &amp; plan · M2 Deploy Veeam Kasten · M3 First backup jobs</w:t>
            </w:r>
          </w:p>
        </w:tc>
        <w:tc>
          <w:tcPr>
            <w:tcW w:w="1260" w:type="dxa"/>
            <w:shd w:val="clear" w:color="auto" w:fill="FFFFFF"/>
            <w:tcMar>
              <w:top w:w="90" w:type="dxa"/>
              <w:left w:w="110" w:type="dxa"/>
              <w:bottom w:w="90" w:type="dxa"/>
              <w:right w:w="110" w:type="dxa"/>
            </w:tcMar>
            <w:vAlign w:val="center"/>
          </w:tcPr>
          <w:p w14:paraId="6CD8CC68" w14:textId="77777777" w:rsidR="00F95B95" w:rsidRDefault="00000000">
            <w:pPr>
              <w:spacing w:line="317" w:lineRule="auto"/>
            </w:pPr>
            <w:r>
              <w:rPr>
                <w:color w:val="0B1118"/>
                <w:sz w:val="17"/>
                <w:szCs w:val="17"/>
              </w:rPr>
              <w:t>Level 1 → Level 2</w:t>
            </w:r>
          </w:p>
        </w:tc>
      </w:tr>
      <w:tr w:rsidR="00F95B95" w14:paraId="3A737A0E"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6A19D2A4" w14:textId="77777777" w:rsidR="00F95B95" w:rsidRDefault="00000000">
            <w:pPr>
              <w:spacing w:line="317" w:lineRule="auto"/>
            </w:pPr>
            <w:r>
              <w:rPr>
                <w:b/>
                <w:bCs/>
                <w:color w:val="0B1118"/>
                <w:sz w:val="19"/>
                <w:szCs w:val="19"/>
              </w:rPr>
              <w:t>Phase 2 — Harden the Basics</w:t>
            </w:r>
          </w:p>
        </w:tc>
        <w:tc>
          <w:tcPr>
            <w:tcW w:w="1500" w:type="dxa"/>
            <w:shd w:val="clear" w:color="auto" w:fill="EEF2F1"/>
            <w:tcMar>
              <w:top w:w="90" w:type="dxa"/>
              <w:left w:w="110" w:type="dxa"/>
              <w:bottom w:w="90" w:type="dxa"/>
              <w:right w:w="110" w:type="dxa"/>
            </w:tcMar>
            <w:vAlign w:val="center"/>
          </w:tcPr>
          <w:p w14:paraId="7BB2CF9E" w14:textId="77777777" w:rsidR="00F95B95" w:rsidRDefault="00000000">
            <w:pPr>
              <w:spacing w:line="317" w:lineRule="auto"/>
            </w:pPr>
            <w:r>
              <w:rPr>
                <w:color w:val="0B1118"/>
                <w:sz w:val="19"/>
                <w:szCs w:val="19"/>
              </w:rPr>
              <w:t>Days 15–45</w:t>
            </w:r>
          </w:p>
        </w:tc>
        <w:tc>
          <w:tcPr>
            <w:tcW w:w="4100" w:type="dxa"/>
            <w:shd w:val="clear" w:color="auto" w:fill="EEF2F1"/>
            <w:tcMar>
              <w:top w:w="90" w:type="dxa"/>
              <w:left w:w="110" w:type="dxa"/>
              <w:bottom w:w="90" w:type="dxa"/>
              <w:right w:w="110" w:type="dxa"/>
            </w:tcMar>
            <w:vAlign w:val="center"/>
          </w:tcPr>
          <w:p w14:paraId="15D3CBC6" w14:textId="77777777" w:rsidR="00F95B95" w:rsidRDefault="00000000">
            <w:pPr>
              <w:spacing w:line="317" w:lineRule="auto"/>
            </w:pPr>
            <w:r>
              <w:rPr>
                <w:color w:val="0B1118"/>
                <w:sz w:val="18"/>
                <w:szCs w:val="18"/>
              </w:rPr>
              <w:t>M4 Centralized management (MCM) · M5 Application-aware processing · M6 Policy best practices</w:t>
            </w:r>
          </w:p>
        </w:tc>
        <w:tc>
          <w:tcPr>
            <w:tcW w:w="1260" w:type="dxa"/>
            <w:shd w:val="clear" w:color="auto" w:fill="EEF2F1"/>
            <w:tcMar>
              <w:top w:w="90" w:type="dxa"/>
              <w:left w:w="110" w:type="dxa"/>
              <w:bottom w:w="90" w:type="dxa"/>
              <w:right w:w="110" w:type="dxa"/>
            </w:tcMar>
            <w:vAlign w:val="center"/>
          </w:tcPr>
          <w:p w14:paraId="793D29A4" w14:textId="77777777" w:rsidR="00F95B95" w:rsidRDefault="00000000">
            <w:pPr>
              <w:spacing w:line="317" w:lineRule="auto"/>
            </w:pPr>
            <w:r>
              <w:rPr>
                <w:color w:val="0B1118"/>
                <w:sz w:val="17"/>
                <w:szCs w:val="17"/>
              </w:rPr>
              <w:t>Level 2 → Level 3</w:t>
            </w:r>
          </w:p>
        </w:tc>
      </w:tr>
      <w:tr w:rsidR="00F95B95" w14:paraId="75B01791"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7B1E4020" w14:textId="77777777" w:rsidR="00F95B95" w:rsidRDefault="00000000">
            <w:pPr>
              <w:spacing w:line="317" w:lineRule="auto"/>
            </w:pPr>
            <w:r>
              <w:rPr>
                <w:b/>
                <w:bCs/>
                <w:color w:val="0B1118"/>
                <w:sz w:val="19"/>
                <w:szCs w:val="19"/>
              </w:rPr>
              <w:t>Phase 3 — Optimize &amp; Harden</w:t>
            </w:r>
          </w:p>
        </w:tc>
        <w:tc>
          <w:tcPr>
            <w:tcW w:w="1500" w:type="dxa"/>
            <w:shd w:val="clear" w:color="auto" w:fill="FFFFFF"/>
            <w:tcMar>
              <w:top w:w="90" w:type="dxa"/>
              <w:left w:w="110" w:type="dxa"/>
              <w:bottom w:w="90" w:type="dxa"/>
              <w:right w:w="110" w:type="dxa"/>
            </w:tcMar>
            <w:vAlign w:val="center"/>
          </w:tcPr>
          <w:p w14:paraId="528F120C" w14:textId="77777777" w:rsidR="00F95B95" w:rsidRDefault="00000000">
            <w:pPr>
              <w:spacing w:line="317" w:lineRule="auto"/>
            </w:pPr>
            <w:r>
              <w:rPr>
                <w:color w:val="0B1118"/>
                <w:sz w:val="19"/>
                <w:szCs w:val="19"/>
              </w:rPr>
              <w:t>Days 46–75</w:t>
            </w:r>
          </w:p>
        </w:tc>
        <w:tc>
          <w:tcPr>
            <w:tcW w:w="4100" w:type="dxa"/>
            <w:shd w:val="clear" w:color="auto" w:fill="FFFFFF"/>
            <w:tcMar>
              <w:top w:w="90" w:type="dxa"/>
              <w:left w:w="110" w:type="dxa"/>
              <w:bottom w:w="90" w:type="dxa"/>
              <w:right w:w="110" w:type="dxa"/>
            </w:tcMar>
            <w:vAlign w:val="center"/>
          </w:tcPr>
          <w:p w14:paraId="55B42AF4" w14:textId="77777777" w:rsidR="00F95B95" w:rsidRDefault="00000000">
            <w:pPr>
              <w:spacing w:line="317" w:lineRule="auto"/>
            </w:pPr>
            <w:r>
              <w:rPr>
                <w:color w:val="0B1118"/>
                <w:sz w:val="18"/>
                <w:szCs w:val="18"/>
              </w:rPr>
              <w:t>M7 Observability integration · M8 Enhanced resilience &amp; DR · M9 Close coverage gaps</w:t>
            </w:r>
          </w:p>
        </w:tc>
        <w:tc>
          <w:tcPr>
            <w:tcW w:w="1260" w:type="dxa"/>
            <w:shd w:val="clear" w:color="auto" w:fill="FFFFFF"/>
            <w:tcMar>
              <w:top w:w="90" w:type="dxa"/>
              <w:left w:w="110" w:type="dxa"/>
              <w:bottom w:w="90" w:type="dxa"/>
              <w:right w:w="110" w:type="dxa"/>
            </w:tcMar>
            <w:vAlign w:val="center"/>
          </w:tcPr>
          <w:p w14:paraId="7BE0AF40" w14:textId="77777777" w:rsidR="00F95B95" w:rsidRDefault="00000000">
            <w:pPr>
              <w:spacing w:line="317" w:lineRule="auto"/>
            </w:pPr>
            <w:r>
              <w:rPr>
                <w:color w:val="0B1118"/>
                <w:sz w:val="17"/>
                <w:szCs w:val="17"/>
              </w:rPr>
              <w:t>Level 3 → Level 4</w:t>
            </w:r>
          </w:p>
        </w:tc>
      </w:tr>
      <w:tr w:rsidR="00F95B95" w14:paraId="33022770" w14:textId="77777777">
        <w:tblPrEx>
          <w:tblCellMar>
            <w:top w:w="0" w:type="dxa"/>
            <w:bottom w:w="0" w:type="dxa"/>
          </w:tblCellMar>
        </w:tblPrEx>
        <w:tc>
          <w:tcPr>
            <w:tcW w:w="2600" w:type="dxa"/>
            <w:shd w:val="clear" w:color="auto" w:fill="EEF2F1"/>
            <w:tcMar>
              <w:top w:w="90" w:type="dxa"/>
              <w:left w:w="110" w:type="dxa"/>
              <w:bottom w:w="90" w:type="dxa"/>
              <w:right w:w="110" w:type="dxa"/>
            </w:tcMar>
            <w:vAlign w:val="center"/>
          </w:tcPr>
          <w:p w14:paraId="7F851679" w14:textId="77777777" w:rsidR="00F95B95" w:rsidRDefault="00000000">
            <w:pPr>
              <w:spacing w:line="317" w:lineRule="auto"/>
            </w:pPr>
            <w:r>
              <w:rPr>
                <w:b/>
                <w:bCs/>
                <w:color w:val="0B1118"/>
                <w:sz w:val="19"/>
                <w:szCs w:val="19"/>
              </w:rPr>
              <w:t>Phase 4 — Prove Value</w:t>
            </w:r>
          </w:p>
        </w:tc>
        <w:tc>
          <w:tcPr>
            <w:tcW w:w="1500" w:type="dxa"/>
            <w:shd w:val="clear" w:color="auto" w:fill="EEF2F1"/>
            <w:tcMar>
              <w:top w:w="90" w:type="dxa"/>
              <w:left w:w="110" w:type="dxa"/>
              <w:bottom w:w="90" w:type="dxa"/>
              <w:right w:w="110" w:type="dxa"/>
            </w:tcMar>
            <w:vAlign w:val="center"/>
          </w:tcPr>
          <w:p w14:paraId="2FBC2974" w14:textId="77777777" w:rsidR="00F95B95" w:rsidRDefault="00000000">
            <w:pPr>
              <w:spacing w:line="317" w:lineRule="auto"/>
            </w:pPr>
            <w:r>
              <w:rPr>
                <w:color w:val="0B1118"/>
                <w:sz w:val="19"/>
                <w:szCs w:val="19"/>
              </w:rPr>
              <w:t>Days 76–100</w:t>
            </w:r>
          </w:p>
        </w:tc>
        <w:tc>
          <w:tcPr>
            <w:tcW w:w="4100" w:type="dxa"/>
            <w:shd w:val="clear" w:color="auto" w:fill="EEF2F1"/>
            <w:tcMar>
              <w:top w:w="90" w:type="dxa"/>
              <w:left w:w="110" w:type="dxa"/>
              <w:bottom w:w="90" w:type="dxa"/>
              <w:right w:w="110" w:type="dxa"/>
            </w:tcMar>
            <w:vAlign w:val="center"/>
          </w:tcPr>
          <w:p w14:paraId="608F069A" w14:textId="77777777" w:rsidR="00F95B95" w:rsidRDefault="00000000">
            <w:pPr>
              <w:spacing w:line="317" w:lineRule="auto"/>
            </w:pPr>
            <w:r>
              <w:rPr>
                <w:color w:val="0B1118"/>
                <w:sz w:val="18"/>
                <w:szCs w:val="18"/>
              </w:rPr>
              <w:t>M10 Recovery testing · M11 Documentation &amp; reporting · M12 Ongoing hygiene cadence</w:t>
            </w:r>
          </w:p>
        </w:tc>
        <w:tc>
          <w:tcPr>
            <w:tcW w:w="1260" w:type="dxa"/>
            <w:shd w:val="clear" w:color="auto" w:fill="EEF2F1"/>
            <w:tcMar>
              <w:top w:w="90" w:type="dxa"/>
              <w:left w:w="110" w:type="dxa"/>
              <w:bottom w:w="90" w:type="dxa"/>
              <w:right w:w="110" w:type="dxa"/>
            </w:tcMar>
            <w:vAlign w:val="center"/>
          </w:tcPr>
          <w:p w14:paraId="69FD3C60" w14:textId="77777777" w:rsidR="00F95B95" w:rsidRDefault="00000000">
            <w:pPr>
              <w:spacing w:line="317" w:lineRule="auto"/>
            </w:pPr>
            <w:r>
              <w:rPr>
                <w:color w:val="0B1118"/>
                <w:sz w:val="17"/>
                <w:szCs w:val="17"/>
              </w:rPr>
              <w:t>Level 4 (approaching Level 5)</w:t>
            </w:r>
          </w:p>
        </w:tc>
      </w:tr>
    </w:tbl>
    <w:p w14:paraId="74AFB120" w14:textId="77777777" w:rsidR="00F95B95" w:rsidRDefault="00F95B95">
      <w:pPr>
        <w:spacing w:after="120"/>
      </w:pPr>
    </w:p>
    <w:p w14:paraId="132B16BB" w14:textId="77777777" w:rsidR="00F95B95" w:rsidRDefault="00000000">
      <w:pPr>
        <w:spacing w:after="160" w:line="288" w:lineRule="auto"/>
      </w:pPr>
      <w:r>
        <w:rPr>
          <w:color w:val="0B1118"/>
        </w:rPr>
        <w:t>Level 5 is not a milestone on the 100-day plan — it is what happens after, as game-day drills, self-service restore, SIEM-integrated anomaly detection, and annual architecture reviews become routine. Organizations should expect to operate at Level 4 for some time, under real production load and change, before Level 5 practices take hold.</w:t>
      </w:r>
    </w:p>
    <w:tbl>
      <w:tblPr>
        <w:tblW w:w="9360" w:type="dxa"/>
        <w:tblBorders>
          <w:top w:val="single" w:sz="8" w:space="0" w:color="B9791E"/>
          <w:left w:val="single" w:sz="8" w:space="0" w:color="B9791E"/>
          <w:bottom w:val="single" w:sz="8" w:space="0" w:color="B9791E"/>
          <w:right w:val="single" w:sz="8" w:space="0" w:color="B979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5B95" w14:paraId="5A13FBF4" w14:textId="77777777">
        <w:tblPrEx>
          <w:tblCellMar>
            <w:top w:w="0" w:type="dxa"/>
            <w:bottom w:w="0" w:type="dxa"/>
          </w:tblCellMar>
        </w:tblPrEx>
        <w:tc>
          <w:tcPr>
            <w:tcW w:w="9360" w:type="dxa"/>
            <w:shd w:val="clear" w:color="auto" w:fill="FBF3E3"/>
            <w:tcMar>
              <w:top w:w="160" w:type="dxa"/>
              <w:left w:w="200" w:type="dxa"/>
              <w:bottom w:w="160" w:type="dxa"/>
              <w:right w:w="200" w:type="dxa"/>
            </w:tcMar>
          </w:tcPr>
          <w:p w14:paraId="7713D261" w14:textId="77777777" w:rsidR="00F95B95" w:rsidRDefault="00000000">
            <w:pPr>
              <w:spacing w:after="60" w:line="317" w:lineRule="auto"/>
            </w:pPr>
            <w:r>
              <w:rPr>
                <w:b/>
                <w:bCs/>
                <w:color w:val="0B1118"/>
              </w:rPr>
              <w:t>Do not skip the first restore test.</w:t>
            </w:r>
          </w:p>
          <w:p w14:paraId="4E7ADA42" w14:textId="77777777" w:rsidR="00F95B95" w:rsidRDefault="00000000">
            <w:pPr>
              <w:spacing w:line="317" w:lineRule="auto"/>
            </w:pPr>
            <w:r>
              <w:rPr>
                <w:color w:val="3C4854"/>
                <w:sz w:val="20"/>
                <w:szCs w:val="20"/>
              </w:rPr>
              <w:t>Whether at Day 10 or Day 100, no backup should be considered valid until it has been restored — even once, to a non-production target. This single step, more than any tool feature, is what separates Level 1 from Level 2.</w:t>
            </w:r>
          </w:p>
        </w:tc>
      </w:tr>
    </w:tbl>
    <w:p w14:paraId="4BB5A1A5" w14:textId="77777777" w:rsidR="00F95B95" w:rsidRDefault="00000000">
      <w:r>
        <w:br w:type="page"/>
      </w:r>
    </w:p>
    <w:p w14:paraId="12072743" w14:textId="77777777" w:rsidR="00F95B95" w:rsidRDefault="00000000">
      <w:pPr>
        <w:pStyle w:val="Heading1"/>
        <w:pBdr>
          <w:bottom w:val="single" w:sz="12" w:space="4" w:color="00A550"/>
        </w:pBdr>
        <w:spacing w:before="360" w:after="200"/>
      </w:pPr>
      <w:r>
        <w:rPr>
          <w:b/>
          <w:bCs/>
          <w:color w:val="0B1118"/>
        </w:rPr>
        <w:lastRenderedPageBreak/>
        <w:t>6. Using the Companion Self-Assessment</w:t>
      </w:r>
    </w:p>
    <w:p w14:paraId="3779F388" w14:textId="77777777" w:rsidR="00F95B95" w:rsidRDefault="00000000">
      <w:pPr>
        <w:spacing w:after="160" w:line="288" w:lineRule="auto"/>
      </w:pPr>
      <w:r>
        <w:rPr>
          <w:color w:val="0B1118"/>
        </w:rPr>
        <w:t>This guide is accompanied by a self-assessment workbook (Kasten Maturity Self-Assessment.xlsx) that operationalizes the model in Section 2.</w:t>
      </w:r>
    </w:p>
    <w:p w14:paraId="5C80791A" w14:textId="77777777" w:rsidR="00F95B95" w:rsidRDefault="00000000">
      <w:pPr>
        <w:pStyle w:val="ListParagraph"/>
        <w:numPr>
          <w:ilvl w:val="0"/>
          <w:numId w:val="2"/>
        </w:numPr>
        <w:spacing w:after="90" w:line="276" w:lineRule="auto"/>
      </w:pPr>
      <w:r>
        <w:rPr>
          <w:color w:val="0B1118"/>
        </w:rPr>
        <w:t>For each of the seven dimensions, record your Current Level (1–5) and a Target Level for the next planning cycle.</w:t>
      </w:r>
    </w:p>
    <w:p w14:paraId="47B2CC56" w14:textId="77777777" w:rsidR="00F95B95" w:rsidRDefault="00000000">
      <w:pPr>
        <w:pStyle w:val="ListParagraph"/>
        <w:numPr>
          <w:ilvl w:val="0"/>
          <w:numId w:val="2"/>
        </w:numPr>
        <w:spacing w:after="90" w:line="276" w:lineRule="auto"/>
      </w:pPr>
      <w:r>
        <w:rPr>
          <w:color w:val="0B1118"/>
        </w:rPr>
        <w:t>Use the level descriptors on the Self-Assessment sheet — drawn directly from Section 2.3 — as the reference for scoring.</w:t>
      </w:r>
    </w:p>
    <w:p w14:paraId="3155DCAE" w14:textId="77777777" w:rsidR="00F95B95" w:rsidRDefault="00000000">
      <w:pPr>
        <w:pStyle w:val="ListParagraph"/>
        <w:numPr>
          <w:ilvl w:val="0"/>
          <w:numId w:val="2"/>
        </w:numPr>
        <w:spacing w:after="90" w:line="276" w:lineRule="auto"/>
      </w:pPr>
      <w:r>
        <w:rPr>
          <w:color w:val="0B1118"/>
        </w:rPr>
        <w:t>Add notes and action items for how you intend to close the gap between current and target state.</w:t>
      </w:r>
    </w:p>
    <w:p w14:paraId="45FFC618" w14:textId="77777777" w:rsidR="00F95B95" w:rsidRDefault="00000000">
      <w:pPr>
        <w:pStyle w:val="ListParagraph"/>
        <w:numPr>
          <w:ilvl w:val="0"/>
          <w:numId w:val="2"/>
        </w:numPr>
        <w:spacing w:after="90" w:line="276" w:lineRule="auto"/>
      </w:pPr>
      <w:r>
        <w:rPr>
          <w:color w:val="0B1118"/>
        </w:rPr>
        <w:t>The Summary sheet calculates an overall maturity score and highlights the dimensions furthest from target, so effort can be prioritized.</w:t>
      </w:r>
    </w:p>
    <w:p w14:paraId="005F5A1E" w14:textId="77777777" w:rsidR="00F95B95" w:rsidRDefault="00000000">
      <w:pPr>
        <w:spacing w:after="160" w:line="288" w:lineRule="auto"/>
      </w:pPr>
      <w:r>
        <w:rPr>
          <w:color w:val="0B1118"/>
        </w:rPr>
        <w:t>Reassess at least annually, or after any significant change to the environment (new regulatory requirement, cluster fleet growth, incident, or DR drill).</w:t>
      </w:r>
    </w:p>
    <w:p w14:paraId="6510EABE" w14:textId="77777777" w:rsidR="00F95B95" w:rsidRDefault="00000000">
      <w:r>
        <w:br w:type="page"/>
      </w:r>
    </w:p>
    <w:p w14:paraId="550A5D8E" w14:textId="77777777" w:rsidR="00F95B95" w:rsidRDefault="00000000">
      <w:pPr>
        <w:pStyle w:val="Heading1"/>
        <w:pBdr>
          <w:bottom w:val="single" w:sz="12" w:space="4" w:color="00A550"/>
        </w:pBdr>
        <w:spacing w:before="360" w:after="200"/>
      </w:pPr>
      <w:r>
        <w:rPr>
          <w:b/>
          <w:bCs/>
          <w:color w:val="0B1118"/>
        </w:rPr>
        <w:lastRenderedPageBreak/>
        <w:t>7. Run the K10 Production Checklist</w:t>
      </w:r>
    </w:p>
    <w:p w14:paraId="09B3F358" w14:textId="77777777" w:rsidR="00F95B95" w:rsidRDefault="00000000">
      <w:pPr>
        <w:spacing w:after="160" w:line="288" w:lineRule="auto"/>
      </w:pPr>
      <w:r>
        <w:rPr>
          <w:color w:val="0B1118"/>
        </w:rPr>
        <w:t>Alongside the maturity model in this guide, use the k10-checklist tool to work through and document Kasten's production readiness checklist directly against a real environment. It is a small, self-hosted web app — deploy it into any cluster (or run it locally), step through the checklist interactively, optionally attach a cluster architecture diagram, and export the completed result as a PDF for change records and audits.</w:t>
      </w:r>
    </w:p>
    <w:p w14:paraId="578B39E1" w14:textId="77777777" w:rsidR="00F95B95" w:rsidRDefault="00000000">
      <w:pPr>
        <w:pStyle w:val="Heading2"/>
        <w:spacing w:before="280" w:after="140"/>
      </w:pPr>
      <w:r>
        <w:rPr>
          <w:b/>
          <w:bCs/>
          <w:color w:val="007A3D"/>
        </w:rPr>
        <w:t>7.1 What it is</w:t>
      </w:r>
    </w:p>
    <w:p w14:paraId="13384E73" w14:textId="77777777" w:rsidR="00F95B95" w:rsidRDefault="00000000">
      <w:pPr>
        <w:pStyle w:val="ListParagraph"/>
        <w:numPr>
          <w:ilvl w:val="0"/>
          <w:numId w:val="2"/>
        </w:numPr>
        <w:spacing w:after="90" w:line="276" w:lineRule="auto"/>
      </w:pPr>
      <w:r>
        <w:rPr>
          <w:color w:val="0B1118"/>
        </w:rPr>
        <w:t>Repository: github.com/jricho/k10-checklist — an open-source, self-hosted checklist application (Next.js) for Veeam Kasten production readiness.</w:t>
      </w:r>
    </w:p>
    <w:p w14:paraId="72263FDB" w14:textId="751E1CAC" w:rsidR="00F95B95" w:rsidRDefault="00000000">
      <w:pPr>
        <w:pStyle w:val="ListParagraph"/>
        <w:numPr>
          <w:ilvl w:val="0"/>
          <w:numId w:val="2"/>
        </w:numPr>
        <w:spacing w:after="90" w:line="276" w:lineRule="auto"/>
      </w:pPr>
      <w:r>
        <w:rPr>
          <w:color w:val="0B1118"/>
        </w:rPr>
        <w:t xml:space="preserve">Runs anywhere: as a container locally via </w:t>
      </w:r>
      <w:r w:rsidR="00240B94">
        <w:rPr>
          <w:rFonts w:ascii="JetBrains Mono" w:hAnsi="JetBrains Mono" w:cs="JetBrains Mono" w:eastAsia="JetBrains Mono"/>
          <w:color w:val="0B1118"/>
          <w:sz w:val="18"/>
        </w:rPr>
        <w:t>Docker or</w:t>
      </w:r>
      <w:r>
        <w:rPr>
          <w:color w:val="0B1118"/>
        </w:rPr>
        <w:t xml:space="preserve"> deployed into a Kubernetes or OpenShift cluster from a single, version-pinned release manifest.</w:t>
      </w:r>
    </w:p>
    <w:p w14:paraId="406CA999" w14:textId="77777777" w:rsidR="00F95B95" w:rsidRDefault="00000000">
      <w:pPr>
        <w:pStyle w:val="ListParagraph"/>
        <w:numPr>
          <w:ilvl w:val="0"/>
          <w:numId w:val="2"/>
        </w:numPr>
        <w:spacing w:after="90" w:line="276" w:lineRule="auto"/>
      </w:pPr>
      <w:r>
        <w:rPr>
          <w:color w:val="0B1118"/>
        </w:rPr>
        <w:t>Export to PDF: once the checklist is complete, export it as a PDF — the natural artifact to attach to a change record, go-live sign-off, or audit evidence pack.</w:t>
      </w:r>
    </w:p>
    <w:p w14:paraId="23B321C9" w14:textId="77777777" w:rsidR="00F95B95" w:rsidRDefault="00000000">
      <w:pPr>
        <w:pStyle w:val="ListParagraph"/>
        <w:numPr>
          <w:ilvl w:val="0"/>
          <w:numId w:val="2"/>
        </w:numPr>
        <w:spacing w:after="90" w:line="276" w:lineRule="auto"/>
      </w:pPr>
      <w:r>
        <w:rPr>
          <w:color w:val="0B1118"/>
        </w:rPr>
        <w:t>Optional architecture diagram: attach a cluster architecture diagram (PNG/JPEG) that is embedded on its own page in the exported PDF alongside the checklist.</w:t>
      </w:r>
    </w:p>
    <w:p w14:paraId="2A23CF46" w14:textId="77777777" w:rsidR="00F95B95" w:rsidRDefault="00000000">
      <w:pPr>
        <w:pStyle w:val="Heading2"/>
        <w:spacing w:before="280" w:after="140"/>
      </w:pPr>
      <w:r>
        <w:rPr>
          <w:b/>
          <w:bCs/>
          <w:color w:val="007A3D"/>
        </w:rPr>
        <w:t>7.2 Pull the latest release and deploy it</w:t>
      </w:r>
    </w:p>
    <w:p w14:paraId="3AD36D32" w14:textId="04A5914A" w:rsidR="00F95B95" w:rsidRDefault="00000000">
      <w:pPr>
        <w:spacing w:after="160" w:line="288" w:lineRule="auto"/>
      </w:pPr>
      <w:r>
        <w:rPr>
          <w:color w:val="0B1118"/>
        </w:rPr>
        <w:t xml:space="preserve">Every tagged release publishes a single </w:t>
      </w:r>
      <w:r w:rsidR="00240B94">
        <w:rPr>
          <w:color w:val="0B1118"/>
        </w:rPr>
        <w:t>install. yaml</w:t>
      </w:r>
      <w:r>
        <w:rPr>
          <w:color w:val="0B1118"/>
        </w:rPr>
        <w:t xml:space="preserve"> (Namespace, Deployment, and ClusterIP Service, with the image tag pre-pinned) as a GitHub Release asset — no need to clone the repository:</w:t>
      </w:r>
    </w:p>
    <w:p w14:paraId="5C10FCEA" w14:textId="77777777" w:rsidR="00F95B95" w:rsidRDefault="00000000">
      <w:pPr>
        <w:pStyle w:val="ListParagraph"/>
        <w:numPr>
          <w:ilvl w:val="0"/>
          <w:numId w:val="2"/>
        </w:numPr>
        <w:spacing w:after="90" w:line="276" w:lineRule="auto"/>
      </w:pPr>
      <w:r>
        <w:rPr>
          <w:color w:val="0B1118"/>
        </w:rPr>
        <w:t>Check the Releases page for the latest tag: github.com/jricho/k10-checklist/releases</w:t>
      </w:r>
    </w:p>
    <w:p w14:paraId="12C3907A" w14:textId="77777777" w:rsidR="00F95B95" w:rsidRDefault="00000000">
      <w:pPr>
        <w:pStyle w:val="ListParagraph"/>
        <w:numPr>
          <w:ilvl w:val="0"/>
          <w:numId w:val="2"/>
        </w:numPr>
        <w:spacing w:after="90" w:line="276" w:lineRule="auto"/>
      </w:pPr>
      <w:r>
        <w:rPr>
          <w:rFonts w:ascii="JetBrains Mono" w:hAnsi="JetBrains Mono" w:cs="JetBrains Mono" w:eastAsia="JetBrains Mono"/>
          <w:color w:val="0B1118"/>
          <w:sz w:val="18"/>
        </w:rPr>
        <w:t>Apply it directly: kubectl apply -f https://github.com/jricho/k10-checklist/releases/download/&lt;tag&gt;/install.yaml (replace &lt;tag&gt; with the release you want, e.g. v0.1.0).</w:t>
      </w:r>
    </w:p>
    <w:p w14:paraId="738A4846" w14:textId="77777777" w:rsidR="00F95B95" w:rsidRDefault="00000000">
      <w:pPr>
        <w:pStyle w:val="ListParagraph"/>
        <w:numPr>
          <w:ilvl w:val="0"/>
          <w:numId w:val="2"/>
        </w:numPr>
        <w:spacing w:after="90" w:line="276" w:lineRule="auto"/>
      </w:pPr>
      <w:r>
        <w:rPr>
          <w:color w:val="0B1118"/>
        </w:rPr>
        <w:t>Confirm the rollout: kubectl -n k10-checklist rollout status deploy/k10-checklist</w:t>
      </w:r>
    </w:p>
    <w:p w14:paraId="1B0388DD" w14:textId="77777777" w:rsidR="00F95B95" w:rsidRDefault="00000000">
      <w:pPr>
        <w:pStyle w:val="ListParagraph"/>
        <w:numPr>
          <w:ilvl w:val="0"/>
          <w:numId w:val="2"/>
        </w:numPr>
        <w:spacing w:after="90" w:line="276" w:lineRule="auto"/>
      </w:pPr>
      <w:r>
        <w:rPr>
          <w:rFonts w:ascii="JetBrains Mono" w:hAnsi="JetBrains Mono" w:cs="JetBrains Mono" w:eastAsia="JetBrains Mono"/>
          <w:color w:val="0B1118"/>
          <w:sz w:val="18"/>
        </w:rPr>
        <w:t>Access it: the Service is ClusterIP-only by design (no Ingress/Route is provisioned) — reach it with kubectl -n k10-checklist port-forward svc/k10-checklist 8080:80, then open http://localhost:8080.</w:t>
      </w:r>
    </w:p>
    <w:p w14:paraId="71A63B42" w14:textId="77777777" w:rsidR="00F95B95" w:rsidRDefault="00000000">
      <w:pPr>
        <w:pStyle w:val="ListParagraph"/>
        <w:numPr>
          <w:ilvl w:val="0"/>
          <w:numId w:val="2"/>
        </w:numPr>
        <w:spacing w:after="90" w:line="276" w:lineRule="auto"/>
      </w:pPr>
      <w:r>
        <w:rPr>
          <w:rFonts w:ascii="JetBrains Mono" w:hAnsi="JetBrains Mono" w:cs="JetBrains Mono" w:eastAsia="JetBrains Mono"/>
          <w:color w:val="0B1118"/>
          <w:sz w:val="18"/>
        </w:rPr>
        <w:t>The same install.yaml applies unchanged on OpenShift (substitute oc for kubectl); the image runs under the restricted-v2 SCC without needing a pinned UID.</w:t>
      </w:r>
    </w:p>
    <w:p w14:paraId="113C3CEE" w14:textId="77777777" w:rsidR="00F95B95" w:rsidRDefault="00000000">
      <w:pPr>
        <w:pStyle w:val="ListParagraph"/>
        <w:numPr>
          <w:ilvl w:val="0"/>
          <w:numId w:val="2"/>
        </w:numPr>
        <w:spacing w:after="90" w:line="276" w:lineRule="auto"/>
      </w:pPr>
      <w:r>
        <w:rPr>
          <w:rFonts w:ascii="JetBrains Mono" w:hAnsi="JetBrains Mono" w:cs="JetBrains Mono" w:eastAsia="JetBrains Mono"/>
          <w:color w:val="0B1118"/>
          <w:sz w:val="18"/>
        </w:rPr>
        <w:t>Prefer a quick local check instead? docker run --rm -p 8080:8080 docker.io/jricho/k10-checklist:latest and open http://localhost:8080 — no cluster required.</w:t>
      </w:r>
    </w:p>
    <w:p w14:paraId="4EFA23CB" w14:textId="77777777" w:rsidR="00F95B95" w:rsidRDefault="00000000">
      <w:pPr>
        <w:pStyle w:val="ListParagraph"/>
        <w:numPr>
          <w:ilvl w:val="0"/>
          <w:numId w:val="2"/>
        </w:numPr>
        <w:spacing w:after="90" w:line="276" w:lineRule="auto"/>
      </w:pPr>
      <w:r>
        <w:rPr>
          <w:color w:val="0B1118"/>
        </w:rPr>
        <w:t>Need to customize replicas, resources, or the image tag first? Clone the repo and apply the Kustomize bundle under deploy/ instead of the published manifest.</w:t>
      </w:r>
    </w:p>
    <w:p w14:paraId="6D3BF876" w14:textId="77777777" w:rsidR="00F95B95" w:rsidRDefault="00000000">
      <w:pPr>
        <w:pStyle w:val="Heading2"/>
        <w:spacing w:before="280" w:after="140"/>
      </w:pPr>
      <w:r>
        <w:rPr>
          <w:b/>
          <w:bCs/>
          <w:color w:val="007A3D"/>
        </w:rPr>
        <w:t>7.3 Attaching a cluster architecture diagram (optional)</w:t>
      </w:r>
    </w:p>
    <w:p w14:paraId="30B7BF47" w14:textId="77777777" w:rsidR="00F95B95" w:rsidRDefault="00000000">
      <w:pPr>
        <w:spacing w:after="160" w:line="288" w:lineRule="auto"/>
      </w:pPr>
      <w:r>
        <w:rPr>
          <w:color w:val="0B1118"/>
        </w:rPr>
        <w:t>The checklist's Cluster Architecture Diagram card accepts an uploaded PNG or JPEG and embeds it on its own page in the exported PDF. Generate one directly from a live cluster or a set of manifests with KubeDiagrams (github.com/philippemerle/KubeDiagrams), an open-source tool that renders Kubernetes objects as an architecture diagram:</w:t>
      </w:r>
    </w:p>
    <w:p w14:paraId="1431DCBD" w14:textId="77777777" w:rsidR="00F95B95" w:rsidRDefault="00000000">
      <w:pPr>
        <w:pStyle w:val="ListParagraph"/>
        <w:numPr>
          <w:ilvl w:val="0"/>
          <w:numId w:val="2"/>
        </w:numPr>
        <w:spacing w:after="90" w:line="276" w:lineRule="auto"/>
      </w:pPr>
      <w:r>
        <w:rPr>
          <w:color w:val="0B1118"/>
        </w:rPr>
        <w:t>Install the CLI in an isolated environment: pipx install KubeDiagrams (requires Python 3.9+ and Graphviz on PATH).</w:t>
      </w:r>
    </w:p>
    <w:p w14:paraId="57EDFF3F" w14:textId="77777777" w:rsidR="00F95B95" w:rsidRDefault="00000000">
      <w:pPr>
        <w:pStyle w:val="ListParagraph"/>
        <w:numPr>
          <w:ilvl w:val="0"/>
          <w:numId w:val="2"/>
        </w:numPr>
        <w:spacing w:after="90" w:line="276" w:lineRule="auto"/>
      </w:pPr>
      <w:r>
        <w:rPr>
          <w:color w:val="0B1118"/>
        </w:rPr>
        <w:t>Render from a live cluster: kubectl get all --all-namespaces -o yaml | kube-diagrams -o k10-arch.png -</w:t>
      </w:r>
    </w:p>
    <w:p w14:paraId="606603C1" w14:textId="77777777" w:rsidR="00F95B95" w:rsidRDefault="00000000">
      <w:pPr>
        <w:pStyle w:val="ListParagraph"/>
        <w:numPr>
          <w:ilvl w:val="0"/>
          <w:numId w:val="2"/>
        </w:numPr>
        <w:spacing w:after="90" w:line="276" w:lineRule="auto"/>
      </w:pPr>
      <w:r>
        <w:rPr>
          <w:color w:val="0B1118"/>
        </w:rPr>
        <w:lastRenderedPageBreak/>
        <w:t>Or render from manifest files directly: kube-diagrams -o k10-arch.png ./manifests.yaml</w:t>
      </w:r>
    </w:p>
    <w:p w14:paraId="44AAE438" w14:textId="77777777" w:rsidR="00F95B95" w:rsidRDefault="00000000">
      <w:pPr>
        <w:pStyle w:val="ListParagraph"/>
        <w:numPr>
          <w:ilvl w:val="0"/>
          <w:numId w:val="2"/>
        </w:numPr>
        <w:spacing w:after="90" w:line="276" w:lineRule="auto"/>
      </w:pPr>
      <w:r>
        <w:rPr>
          <w:color w:val="0B1118"/>
        </w:rPr>
        <w:t>In the checklist app, scroll to Cluster Architecture Diagram, choose the generated PNG, and it is included automatically the next time the checklist is exported. Nothing is uploaded to a backend — the image stays in browser state until the PDF is exported.</w:t>
      </w:r>
    </w:p>
    <w:tbl>
      <w:tblPr>
        <w:tblW w:w="9360" w:type="dxa"/>
        <w:tblBorders>
          <w:top w:val="single" w:sz="8" w:space="0" w:color="7C8B93"/>
          <w:left w:val="single" w:sz="8" w:space="0" w:color="7C8B93"/>
          <w:bottom w:val="single" w:sz="8" w:space="0" w:color="7C8B93"/>
          <w:right w:val="single" w:sz="8" w:space="0" w:color="7C8B9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5B95" w14:paraId="77289008" w14:textId="77777777">
        <w:tblPrEx>
          <w:tblCellMar>
            <w:top w:w="0" w:type="dxa"/>
            <w:bottom w:w="0" w:type="dxa"/>
          </w:tblCellMar>
        </w:tblPrEx>
        <w:tc>
          <w:tcPr>
            <w:tcW w:w="9360" w:type="dxa"/>
            <w:shd w:val="clear" w:color="auto" w:fill="EEF2F1"/>
            <w:tcMar>
              <w:top w:w="160" w:type="dxa"/>
              <w:left w:w="200" w:type="dxa"/>
              <w:bottom w:w="160" w:type="dxa"/>
              <w:right w:w="200" w:type="dxa"/>
            </w:tcMar>
          </w:tcPr>
          <w:p w14:paraId="6B0221C4" w14:textId="77777777" w:rsidR="00F95B95" w:rsidRDefault="00000000">
            <w:pPr>
              <w:spacing w:after="60" w:line="317" w:lineRule="auto"/>
            </w:pPr>
            <w:r>
              <w:rPr>
                <w:b/>
                <w:bCs/>
                <w:color w:val="0B1118"/>
              </w:rPr>
              <w:t>Two checklists, one goal.</w:t>
            </w:r>
          </w:p>
          <w:p w14:paraId="4BD64BD9" w14:textId="77777777" w:rsidR="00F95B95" w:rsidRDefault="00000000">
            <w:pPr>
              <w:spacing w:line="317" w:lineRule="auto"/>
            </w:pPr>
            <w:r>
              <w:rPr>
                <w:color w:val="3C4854"/>
                <w:sz w:val="20"/>
                <w:szCs w:val="20"/>
              </w:rPr>
              <w:t>The k10-checklist tool answers “have we worked through, and can we prove, Kasten's production readiness for this environment?” The maturity model in this guide answers the broader question: “is our organization operationally ready to depend on it, day after day?” Run both before go-live, and again at every major upgrade.</w:t>
            </w:r>
          </w:p>
        </w:tc>
      </w:tr>
    </w:tbl>
    <w:p w14:paraId="6A2A78B1" w14:textId="77777777" w:rsidR="00F95B95" w:rsidRDefault="00000000">
      <w:r>
        <w:br w:type="page"/>
      </w:r>
    </w:p>
    <w:p w14:paraId="7A650CD1" w14:textId="77777777" w:rsidR="00F95B95" w:rsidRDefault="00000000">
      <w:pPr>
        <w:pStyle w:val="Heading1"/>
        <w:pBdr>
          <w:bottom w:val="single" w:sz="12" w:space="4" w:color="00A550"/>
        </w:pBdr>
        <w:spacing w:before="360" w:after="200"/>
      </w:pPr>
      <w:r>
        <w:rPr>
          <w:b/>
          <w:bCs/>
          <w:color w:val="0B1118"/>
        </w:rPr>
        <w:lastRenderedPageBreak/>
        <w:t>Appendix</w:t>
      </w:r>
    </w:p>
    <w:p w14:paraId="11A9AB0F" w14:textId="77777777" w:rsidR="00F95B95" w:rsidRDefault="00000000">
      <w:pPr>
        <w:pStyle w:val="Heading2"/>
        <w:spacing w:before="280" w:after="140"/>
      </w:pPr>
      <w:r>
        <w:rPr>
          <w:b/>
          <w:bCs/>
          <w:color w:val="007A3D"/>
        </w:rPr>
        <w:t>Glossary</w:t>
      </w:r>
    </w:p>
    <w:tbl>
      <w:tblPr>
        <w:tblW w:w="9360" w:type="dxa"/>
        <w:tblBorders>
          <w:top w:val="single" w:sz="4" w:space="0" w:color="C7CDD1"/>
          <w:left w:val="single" w:sz="4" w:space="0" w:color="C7CDD1"/>
          <w:bottom w:val="single" w:sz="4" w:space="0" w:color="C7CDD1"/>
          <w:right w:val="single" w:sz="4" w:space="0" w:color="C7CDD1"/>
          <w:insideH w:val="single" w:sz="4" w:space="0" w:color="C7CDD1"/>
          <w:insideV w:val="single" w:sz="4" w:space="0" w:color="C7CDD1"/>
        </w:tblBorders>
        <w:tblCellMar>
          <w:left w:w="10" w:type="dxa"/>
          <w:right w:w="10" w:type="dxa"/>
        </w:tblCellMar>
        <w:tblLook w:val="04A0" w:firstRow="1" w:lastRow="0" w:firstColumn="1" w:lastColumn="0" w:noHBand="0" w:noVBand="1"/>
      </w:tblPr>
      <w:tblGrid>
        <w:gridCol w:w="2900"/>
        <w:gridCol w:w="6460"/>
      </w:tblGrid>
      <w:tr w:rsidR="00F95B95" w14:paraId="488191EE" w14:textId="77777777">
        <w:tblPrEx>
          <w:tblCellMar>
            <w:top w:w="0" w:type="dxa"/>
            <w:bottom w:w="0" w:type="dxa"/>
          </w:tblCellMar>
        </w:tblPrEx>
        <w:trPr>
          <w:tblHeader/>
        </w:trPr>
        <w:tc>
          <w:tcPr>
            <w:tcW w:w="2900" w:type="dxa"/>
            <w:shd w:val="clear" w:color="auto" w:fill="1B1F23"/>
            <w:tcMar>
              <w:top w:w="90" w:type="dxa"/>
              <w:left w:w="110" w:type="dxa"/>
              <w:bottom w:w="90" w:type="dxa"/>
              <w:right w:w="110" w:type="dxa"/>
            </w:tcMar>
            <w:vAlign w:val="center"/>
          </w:tcPr>
          <w:p w14:paraId="35141EF7" w14:textId="77777777" w:rsidR="00F95B95" w:rsidRDefault="00000000">
            <w:pPr>
              <w:spacing w:line="317" w:lineRule="auto"/>
            </w:pPr>
            <w:r>
              <w:rPr>
                <w:b/>
                <w:bCs/>
                <w:color w:val="FFFFFF"/>
                <w:sz w:val="19"/>
                <w:szCs w:val="19"/>
              </w:rPr>
              <w:t>Term</w:t>
            </w:r>
          </w:p>
        </w:tc>
        <w:tc>
          <w:tcPr>
            <w:tcW w:w="6460" w:type="dxa"/>
            <w:shd w:val="clear" w:color="auto" w:fill="1B1F23"/>
            <w:tcMar>
              <w:top w:w="90" w:type="dxa"/>
              <w:left w:w="110" w:type="dxa"/>
              <w:bottom w:w="90" w:type="dxa"/>
              <w:right w:w="110" w:type="dxa"/>
            </w:tcMar>
            <w:vAlign w:val="center"/>
          </w:tcPr>
          <w:p w14:paraId="5FF4AC44" w14:textId="77777777" w:rsidR="00F95B95" w:rsidRDefault="00000000">
            <w:pPr>
              <w:spacing w:line="317" w:lineRule="auto"/>
            </w:pPr>
            <w:r>
              <w:rPr>
                <w:b/>
                <w:bCs/>
                <w:color w:val="FFFFFF"/>
                <w:sz w:val="19"/>
                <w:szCs w:val="19"/>
              </w:rPr>
              <w:t>Definition</w:t>
            </w:r>
          </w:p>
        </w:tc>
      </w:tr>
      <w:tr w:rsidR="00F95B95" w14:paraId="4FB21323"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2DC84083" w14:textId="77777777" w:rsidR="00F95B95" w:rsidRDefault="00000000">
            <w:pPr>
              <w:spacing w:line="317" w:lineRule="auto"/>
            </w:pPr>
            <w:r>
              <w:rPr>
                <w:b/>
                <w:bCs/>
                <w:color w:val="0B1118"/>
                <w:sz w:val="19"/>
                <w:szCs w:val="19"/>
              </w:rPr>
              <w:t>RPO (Recovery Point Objective)</w:t>
            </w:r>
          </w:p>
        </w:tc>
        <w:tc>
          <w:tcPr>
            <w:tcW w:w="6460" w:type="dxa"/>
            <w:shd w:val="clear" w:color="auto" w:fill="FFFFFF"/>
            <w:tcMar>
              <w:top w:w="90" w:type="dxa"/>
              <w:left w:w="110" w:type="dxa"/>
              <w:bottom w:w="90" w:type="dxa"/>
              <w:right w:w="110" w:type="dxa"/>
            </w:tcMar>
            <w:vAlign w:val="center"/>
          </w:tcPr>
          <w:p w14:paraId="765FAE63" w14:textId="77777777" w:rsidR="00F95B95" w:rsidRDefault="00000000">
            <w:pPr>
              <w:spacing w:line="317" w:lineRule="auto"/>
            </w:pPr>
            <w:r>
              <w:rPr>
                <w:color w:val="0B1118"/>
                <w:sz w:val="19"/>
                <w:szCs w:val="19"/>
              </w:rPr>
              <w:t>The maximum acceptable amount of data loss, measured in time. Drives backup schedule frequency.</w:t>
            </w:r>
          </w:p>
        </w:tc>
      </w:tr>
      <w:tr w:rsidR="00F95B95" w14:paraId="3C53334C" w14:textId="77777777">
        <w:tblPrEx>
          <w:tblCellMar>
            <w:top w:w="0" w:type="dxa"/>
            <w:bottom w:w="0" w:type="dxa"/>
          </w:tblCellMar>
        </w:tblPrEx>
        <w:tc>
          <w:tcPr>
            <w:tcW w:w="2900" w:type="dxa"/>
            <w:shd w:val="clear" w:color="auto" w:fill="EEF2F1"/>
            <w:tcMar>
              <w:top w:w="90" w:type="dxa"/>
              <w:left w:w="110" w:type="dxa"/>
              <w:bottom w:w="90" w:type="dxa"/>
              <w:right w:w="110" w:type="dxa"/>
            </w:tcMar>
            <w:vAlign w:val="center"/>
          </w:tcPr>
          <w:p w14:paraId="7D94F343" w14:textId="77777777" w:rsidR="00F95B95" w:rsidRDefault="00000000">
            <w:pPr>
              <w:spacing w:line="317" w:lineRule="auto"/>
            </w:pPr>
            <w:r>
              <w:rPr>
                <w:b/>
                <w:bCs/>
                <w:color w:val="0B1118"/>
                <w:sz w:val="19"/>
                <w:szCs w:val="19"/>
              </w:rPr>
              <w:t>RTO (Recovery Time Objective)</w:t>
            </w:r>
          </w:p>
        </w:tc>
        <w:tc>
          <w:tcPr>
            <w:tcW w:w="6460" w:type="dxa"/>
            <w:shd w:val="clear" w:color="auto" w:fill="EEF2F1"/>
            <w:tcMar>
              <w:top w:w="90" w:type="dxa"/>
              <w:left w:w="110" w:type="dxa"/>
              <w:bottom w:w="90" w:type="dxa"/>
              <w:right w:w="110" w:type="dxa"/>
            </w:tcMar>
            <w:vAlign w:val="center"/>
          </w:tcPr>
          <w:p w14:paraId="56455177" w14:textId="77777777" w:rsidR="00F95B95" w:rsidRDefault="00000000">
            <w:pPr>
              <w:spacing w:line="317" w:lineRule="auto"/>
            </w:pPr>
            <w:r>
              <w:rPr>
                <w:color w:val="0B1118"/>
                <w:sz w:val="19"/>
                <w:szCs w:val="19"/>
              </w:rPr>
              <w:t>The maximum acceptable downtime before a workload must be recovered.</w:t>
            </w:r>
          </w:p>
        </w:tc>
      </w:tr>
      <w:tr w:rsidR="00F95B95" w14:paraId="6AF9F6CF"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5EE3C81E" w14:textId="77777777" w:rsidR="00F95B95" w:rsidRDefault="00000000">
            <w:pPr>
              <w:spacing w:line="317" w:lineRule="auto"/>
            </w:pPr>
            <w:r>
              <w:rPr>
                <w:b/>
                <w:bCs/>
                <w:color w:val="0B1118"/>
                <w:sz w:val="19"/>
                <w:szCs w:val="19"/>
              </w:rPr>
              <w:t>Immutability</w:t>
            </w:r>
          </w:p>
        </w:tc>
        <w:tc>
          <w:tcPr>
            <w:tcW w:w="6460" w:type="dxa"/>
            <w:shd w:val="clear" w:color="auto" w:fill="FFFFFF"/>
            <w:tcMar>
              <w:top w:w="90" w:type="dxa"/>
              <w:left w:w="110" w:type="dxa"/>
              <w:bottom w:w="90" w:type="dxa"/>
              <w:right w:w="110" w:type="dxa"/>
            </w:tcMar>
            <w:vAlign w:val="center"/>
          </w:tcPr>
          <w:p w14:paraId="63811B1C" w14:textId="5E380AE6" w:rsidR="00F95B95" w:rsidRDefault="00000000">
            <w:pPr>
              <w:spacing w:line="317" w:lineRule="auto"/>
            </w:pPr>
            <w:r>
              <w:rPr>
                <w:color w:val="0B1118"/>
                <w:sz w:val="19"/>
                <w:szCs w:val="19"/>
              </w:rPr>
              <w:t xml:space="preserve">Backup data that cannot be modified or deleted for a defined retention period — the core </w:t>
            </w:r>
            <w:r w:rsidR="00240B94">
              <w:rPr>
                <w:color w:val="0B1118"/>
                <w:sz w:val="19"/>
                <w:szCs w:val="19"/>
              </w:rPr>
              <w:t>defence</w:t>
            </w:r>
            <w:r>
              <w:rPr>
                <w:color w:val="0B1118"/>
                <w:sz w:val="19"/>
                <w:szCs w:val="19"/>
              </w:rPr>
              <w:t xml:space="preserve"> against ransomware encrypting or deleting backups.</w:t>
            </w:r>
          </w:p>
        </w:tc>
      </w:tr>
      <w:tr w:rsidR="00F95B95" w14:paraId="0F3CF5C2" w14:textId="77777777">
        <w:tblPrEx>
          <w:tblCellMar>
            <w:top w:w="0" w:type="dxa"/>
            <w:bottom w:w="0" w:type="dxa"/>
          </w:tblCellMar>
        </w:tblPrEx>
        <w:tc>
          <w:tcPr>
            <w:tcW w:w="2900" w:type="dxa"/>
            <w:shd w:val="clear" w:color="auto" w:fill="EEF2F1"/>
            <w:tcMar>
              <w:top w:w="90" w:type="dxa"/>
              <w:left w:w="110" w:type="dxa"/>
              <w:bottom w:w="90" w:type="dxa"/>
              <w:right w:w="110" w:type="dxa"/>
            </w:tcMar>
            <w:vAlign w:val="center"/>
          </w:tcPr>
          <w:p w14:paraId="127E43C9" w14:textId="77777777" w:rsidR="00F95B95" w:rsidRDefault="00000000">
            <w:pPr>
              <w:spacing w:line="317" w:lineRule="auto"/>
            </w:pPr>
            <w:r>
              <w:rPr>
                <w:b/>
                <w:bCs/>
                <w:color w:val="0B1118"/>
                <w:sz w:val="19"/>
                <w:szCs w:val="19"/>
              </w:rPr>
              <w:t>Kanister</w:t>
            </w:r>
          </w:p>
        </w:tc>
        <w:tc>
          <w:tcPr>
            <w:tcW w:w="6460" w:type="dxa"/>
            <w:shd w:val="clear" w:color="auto" w:fill="EEF2F1"/>
            <w:tcMar>
              <w:top w:w="90" w:type="dxa"/>
              <w:left w:w="110" w:type="dxa"/>
              <w:bottom w:w="90" w:type="dxa"/>
              <w:right w:w="110" w:type="dxa"/>
            </w:tcMar>
            <w:vAlign w:val="center"/>
          </w:tcPr>
          <w:p w14:paraId="10FB2EBE" w14:textId="77777777" w:rsidR="00F95B95" w:rsidRDefault="00000000">
            <w:pPr>
              <w:spacing w:line="317" w:lineRule="auto"/>
            </w:pPr>
            <w:r>
              <w:rPr>
                <w:color w:val="0B1118"/>
                <w:sz w:val="19"/>
                <w:szCs w:val="19"/>
              </w:rPr>
              <w:t>An open-source data management framework used by Kasten to apply application-specific logic (such as database quiescing) during backup and restore.</w:t>
            </w:r>
          </w:p>
        </w:tc>
      </w:tr>
      <w:tr w:rsidR="00F95B95" w14:paraId="326E2C36"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30ACD8F0" w14:textId="77777777" w:rsidR="00F95B95" w:rsidRDefault="00000000">
            <w:pPr>
              <w:spacing w:line="317" w:lineRule="auto"/>
            </w:pPr>
            <w:r>
              <w:rPr>
                <w:b/>
                <w:bCs/>
                <w:color w:val="0B1118"/>
                <w:sz w:val="19"/>
                <w:szCs w:val="19"/>
              </w:rPr>
              <w:t>Blueprint</w:t>
            </w:r>
          </w:p>
        </w:tc>
        <w:tc>
          <w:tcPr>
            <w:tcW w:w="6460" w:type="dxa"/>
            <w:shd w:val="clear" w:color="auto" w:fill="FFFFFF"/>
            <w:tcMar>
              <w:top w:w="90" w:type="dxa"/>
              <w:left w:w="110" w:type="dxa"/>
              <w:bottom w:w="90" w:type="dxa"/>
              <w:right w:w="110" w:type="dxa"/>
            </w:tcMar>
            <w:vAlign w:val="center"/>
          </w:tcPr>
          <w:p w14:paraId="720B3146" w14:textId="77777777" w:rsidR="00F95B95" w:rsidRDefault="00000000">
            <w:pPr>
              <w:spacing w:line="317" w:lineRule="auto"/>
            </w:pPr>
            <w:r>
              <w:rPr>
                <w:color w:val="0B1118"/>
                <w:sz w:val="19"/>
                <w:szCs w:val="19"/>
              </w:rPr>
              <w:t>A Kanister definition of custom, application-specific backup/restore steps. Blueprints are what make a backup "application-consistent" rather than merely crash-consistent.</w:t>
            </w:r>
          </w:p>
        </w:tc>
      </w:tr>
      <w:tr w:rsidR="00F95B95" w14:paraId="4B687855" w14:textId="77777777">
        <w:tblPrEx>
          <w:tblCellMar>
            <w:top w:w="0" w:type="dxa"/>
            <w:bottom w:w="0" w:type="dxa"/>
          </w:tblCellMar>
        </w:tblPrEx>
        <w:tc>
          <w:tcPr>
            <w:tcW w:w="2900" w:type="dxa"/>
            <w:shd w:val="clear" w:color="auto" w:fill="EEF2F1"/>
            <w:tcMar>
              <w:top w:w="90" w:type="dxa"/>
              <w:left w:w="110" w:type="dxa"/>
              <w:bottom w:w="90" w:type="dxa"/>
              <w:right w:w="110" w:type="dxa"/>
            </w:tcMar>
            <w:vAlign w:val="center"/>
          </w:tcPr>
          <w:p w14:paraId="47A2EF1B" w14:textId="77777777" w:rsidR="00F95B95" w:rsidRDefault="00000000">
            <w:pPr>
              <w:spacing w:line="317" w:lineRule="auto"/>
            </w:pPr>
            <w:r>
              <w:rPr>
                <w:b/>
                <w:bCs/>
                <w:color w:val="0B1118"/>
                <w:sz w:val="19"/>
                <w:szCs w:val="19"/>
              </w:rPr>
              <w:t>Multi-Cluster Manager (MCM)</w:t>
            </w:r>
          </w:p>
        </w:tc>
        <w:tc>
          <w:tcPr>
            <w:tcW w:w="6460" w:type="dxa"/>
            <w:shd w:val="clear" w:color="auto" w:fill="EEF2F1"/>
            <w:tcMar>
              <w:top w:w="90" w:type="dxa"/>
              <w:left w:w="110" w:type="dxa"/>
              <w:bottom w:w="90" w:type="dxa"/>
              <w:right w:w="110" w:type="dxa"/>
            </w:tcMar>
            <w:vAlign w:val="center"/>
          </w:tcPr>
          <w:p w14:paraId="50BBB054" w14:textId="77777777" w:rsidR="00F95B95" w:rsidRDefault="00000000">
            <w:pPr>
              <w:spacing w:line="317" w:lineRule="auto"/>
            </w:pPr>
            <w:r>
              <w:rPr>
                <w:color w:val="0B1118"/>
                <w:sz w:val="19"/>
                <w:szCs w:val="19"/>
              </w:rPr>
              <w:t>Kasten's centralized management layer, providing global policies, global profiles, unified licensing, and fleet-wide visibility across joined clusters.</w:t>
            </w:r>
          </w:p>
        </w:tc>
      </w:tr>
      <w:tr w:rsidR="00F95B95" w14:paraId="28E37644"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01DD2B5A" w14:textId="77777777" w:rsidR="00F95B95" w:rsidRDefault="00000000">
            <w:pPr>
              <w:spacing w:line="317" w:lineRule="auto"/>
            </w:pPr>
            <w:r>
              <w:rPr>
                <w:b/>
                <w:bCs/>
                <w:color w:val="0B1118"/>
                <w:sz w:val="19"/>
                <w:szCs w:val="19"/>
              </w:rPr>
              <w:t>KDR (Kasten DR)</w:t>
            </w:r>
          </w:p>
        </w:tc>
        <w:tc>
          <w:tcPr>
            <w:tcW w:w="6460" w:type="dxa"/>
            <w:shd w:val="clear" w:color="auto" w:fill="FFFFFF"/>
            <w:tcMar>
              <w:top w:w="90" w:type="dxa"/>
              <w:left w:w="110" w:type="dxa"/>
              <w:bottom w:w="90" w:type="dxa"/>
              <w:right w:w="110" w:type="dxa"/>
            </w:tcMar>
            <w:vAlign w:val="center"/>
          </w:tcPr>
          <w:p w14:paraId="1CD4C056" w14:textId="77777777" w:rsidR="00F95B95" w:rsidRDefault="00000000">
            <w:pPr>
              <w:spacing w:line="317" w:lineRule="auto"/>
            </w:pPr>
            <w:r>
              <w:rPr>
                <w:color w:val="0B1118"/>
                <w:sz w:val="19"/>
                <w:szCs w:val="19"/>
              </w:rPr>
              <w:t>Backup of the Kasten catalog itself (encryption passphrase, cluster ID, policy state) so that restores remain possible even if the source K10 installation is lost.</w:t>
            </w:r>
          </w:p>
        </w:tc>
      </w:tr>
      <w:tr w:rsidR="00F95B95" w14:paraId="02F68EFF" w14:textId="77777777">
        <w:tblPrEx>
          <w:tblCellMar>
            <w:top w:w="0" w:type="dxa"/>
            <w:bottom w:w="0" w:type="dxa"/>
          </w:tblCellMar>
        </w:tblPrEx>
        <w:tc>
          <w:tcPr>
            <w:tcW w:w="2900" w:type="dxa"/>
            <w:shd w:val="clear" w:color="auto" w:fill="EEF2F1"/>
            <w:tcMar>
              <w:top w:w="90" w:type="dxa"/>
              <w:left w:w="110" w:type="dxa"/>
              <w:bottom w:w="90" w:type="dxa"/>
              <w:right w:w="110" w:type="dxa"/>
            </w:tcMar>
            <w:vAlign w:val="center"/>
          </w:tcPr>
          <w:p w14:paraId="393CE313" w14:textId="77777777" w:rsidR="00F95B95" w:rsidRDefault="00000000">
            <w:pPr>
              <w:spacing w:line="317" w:lineRule="auto"/>
            </w:pPr>
            <w:r>
              <w:rPr>
                <w:b/>
                <w:bCs/>
                <w:color w:val="0B1118"/>
                <w:sz w:val="19"/>
                <w:szCs w:val="19"/>
              </w:rPr>
              <w:t>CSI (Container Storage Interface)</w:t>
            </w:r>
          </w:p>
        </w:tc>
        <w:tc>
          <w:tcPr>
            <w:tcW w:w="6460" w:type="dxa"/>
            <w:shd w:val="clear" w:color="auto" w:fill="EEF2F1"/>
            <w:tcMar>
              <w:top w:w="90" w:type="dxa"/>
              <w:left w:w="110" w:type="dxa"/>
              <w:bottom w:w="90" w:type="dxa"/>
              <w:right w:w="110" w:type="dxa"/>
            </w:tcMar>
            <w:vAlign w:val="center"/>
          </w:tcPr>
          <w:p w14:paraId="6FE0179B" w14:textId="77777777" w:rsidR="00F95B95" w:rsidRDefault="00000000">
            <w:pPr>
              <w:spacing w:line="317" w:lineRule="auto"/>
            </w:pPr>
            <w:r>
              <w:rPr>
                <w:color w:val="0B1118"/>
                <w:sz w:val="19"/>
                <w:szCs w:val="19"/>
              </w:rPr>
              <w:t>The standardized Kubernetes API for interacting with storage systems, enabling snapshot-based backup without application downtime.</w:t>
            </w:r>
          </w:p>
        </w:tc>
      </w:tr>
      <w:tr w:rsidR="00F95B95" w14:paraId="49D65485"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47D87F83" w14:textId="77777777" w:rsidR="00F95B95" w:rsidRDefault="00000000">
            <w:pPr>
              <w:spacing w:line="317" w:lineRule="auto"/>
            </w:pPr>
            <w:r>
              <w:rPr>
                <w:b/>
                <w:bCs/>
                <w:color w:val="0B1118"/>
                <w:sz w:val="19"/>
                <w:szCs w:val="19"/>
              </w:rPr>
              <w:t>Object Lock / WORM</w:t>
            </w:r>
          </w:p>
        </w:tc>
        <w:tc>
          <w:tcPr>
            <w:tcW w:w="6460" w:type="dxa"/>
            <w:shd w:val="clear" w:color="auto" w:fill="FFFFFF"/>
            <w:tcMar>
              <w:top w:w="90" w:type="dxa"/>
              <w:left w:w="110" w:type="dxa"/>
              <w:bottom w:w="90" w:type="dxa"/>
              <w:right w:w="110" w:type="dxa"/>
            </w:tcMar>
            <w:vAlign w:val="center"/>
          </w:tcPr>
          <w:p w14:paraId="57A0AB3E" w14:textId="77777777" w:rsidR="00F95B95" w:rsidRDefault="00000000">
            <w:pPr>
              <w:spacing w:line="317" w:lineRule="auto"/>
            </w:pPr>
            <w:r>
              <w:rPr>
                <w:color w:val="0B1118"/>
                <w:sz w:val="19"/>
                <w:szCs w:val="19"/>
              </w:rPr>
              <w:t>Write-once-read-many storage semantics (e.g., S3 Object Lock in COMPLIANCE mode, Azure Blob immutability with policy lock) that prevent backup data from being altered or deleted before its retention period expires.</w:t>
            </w:r>
          </w:p>
        </w:tc>
      </w:tr>
      <w:tr w:rsidR="00F95B95" w14:paraId="00E7F2DB" w14:textId="77777777">
        <w:tblPrEx>
          <w:tblCellMar>
            <w:top w:w="0" w:type="dxa"/>
            <w:bottom w:w="0" w:type="dxa"/>
          </w:tblCellMar>
        </w:tblPrEx>
        <w:tc>
          <w:tcPr>
            <w:tcW w:w="2900" w:type="dxa"/>
            <w:shd w:val="clear" w:color="auto" w:fill="EEF2F1"/>
            <w:tcMar>
              <w:top w:w="90" w:type="dxa"/>
              <w:left w:w="110" w:type="dxa"/>
              <w:bottom w:w="90" w:type="dxa"/>
              <w:right w:w="110" w:type="dxa"/>
            </w:tcMar>
            <w:vAlign w:val="center"/>
          </w:tcPr>
          <w:p w14:paraId="3E755AD7" w14:textId="77777777" w:rsidR="00F95B95" w:rsidRDefault="00000000">
            <w:pPr>
              <w:spacing w:line="317" w:lineRule="auto"/>
            </w:pPr>
            <w:r>
              <w:rPr>
                <w:b/>
                <w:bCs/>
                <w:color w:val="0B1118"/>
                <w:sz w:val="19"/>
                <w:szCs w:val="19"/>
              </w:rPr>
              <w:t>Hardened Repository</w:t>
            </w:r>
          </w:p>
        </w:tc>
        <w:tc>
          <w:tcPr>
            <w:tcW w:w="6460" w:type="dxa"/>
            <w:shd w:val="clear" w:color="auto" w:fill="EEF2F1"/>
            <w:tcMar>
              <w:top w:w="90" w:type="dxa"/>
              <w:left w:w="110" w:type="dxa"/>
              <w:bottom w:w="90" w:type="dxa"/>
              <w:right w:w="110" w:type="dxa"/>
            </w:tcMar>
            <w:vAlign w:val="center"/>
          </w:tcPr>
          <w:p w14:paraId="372AD2DB" w14:textId="77777777" w:rsidR="00F95B95" w:rsidRDefault="00000000">
            <w:pPr>
              <w:spacing w:line="317" w:lineRule="auto"/>
            </w:pPr>
            <w:r>
              <w:rPr>
                <w:color w:val="0B1118"/>
                <w:sz w:val="19"/>
                <w:szCs w:val="19"/>
              </w:rPr>
              <w:t>A backup repository (physical or appliance-based) hardened at the OS level to provide local immutability without requiring in-house Linux security expertise.</w:t>
            </w:r>
          </w:p>
        </w:tc>
      </w:tr>
      <w:tr w:rsidR="00F95B95" w14:paraId="2D5C1B2A"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5D5C601F" w14:textId="77777777" w:rsidR="00F95B95" w:rsidRDefault="00000000">
            <w:pPr>
              <w:spacing w:line="317" w:lineRule="auto"/>
            </w:pPr>
            <w:r>
              <w:rPr>
                <w:b/>
                <w:bCs/>
                <w:color w:val="0B1118"/>
                <w:sz w:val="19"/>
                <w:szCs w:val="19"/>
              </w:rPr>
              <w:t>SOBR (Scale-Out Backup Repository)</w:t>
            </w:r>
          </w:p>
        </w:tc>
        <w:tc>
          <w:tcPr>
            <w:tcW w:w="6460" w:type="dxa"/>
            <w:shd w:val="clear" w:color="auto" w:fill="FFFFFF"/>
            <w:tcMar>
              <w:top w:w="90" w:type="dxa"/>
              <w:left w:w="110" w:type="dxa"/>
              <w:bottom w:w="90" w:type="dxa"/>
              <w:right w:w="110" w:type="dxa"/>
            </w:tcMar>
            <w:vAlign w:val="center"/>
          </w:tcPr>
          <w:p w14:paraId="3BE077AE" w14:textId="77777777" w:rsidR="00F95B95" w:rsidRDefault="00000000">
            <w:pPr>
              <w:spacing w:line="317" w:lineRule="auto"/>
            </w:pPr>
            <w:r>
              <w:rPr>
                <w:color w:val="0B1118"/>
                <w:sz w:val="19"/>
                <w:szCs w:val="19"/>
              </w:rPr>
              <w:t>A Veeam construct combining a local performance tier and a capacity tier (such as object storage) into a single logical backup target.</w:t>
            </w:r>
          </w:p>
        </w:tc>
      </w:tr>
      <w:tr w:rsidR="00F95B95" w14:paraId="1FB548FB" w14:textId="77777777">
        <w:tblPrEx>
          <w:tblCellMar>
            <w:top w:w="0" w:type="dxa"/>
            <w:bottom w:w="0" w:type="dxa"/>
          </w:tblCellMar>
        </w:tblPrEx>
        <w:tc>
          <w:tcPr>
            <w:tcW w:w="2900" w:type="dxa"/>
            <w:shd w:val="clear" w:color="auto" w:fill="EEF2F1"/>
            <w:tcMar>
              <w:top w:w="90" w:type="dxa"/>
              <w:left w:w="110" w:type="dxa"/>
              <w:bottom w:w="90" w:type="dxa"/>
              <w:right w:w="110" w:type="dxa"/>
            </w:tcMar>
            <w:vAlign w:val="center"/>
          </w:tcPr>
          <w:p w14:paraId="418AE2A4" w14:textId="77777777" w:rsidR="00F95B95" w:rsidRDefault="00000000">
            <w:pPr>
              <w:spacing w:line="317" w:lineRule="auto"/>
            </w:pPr>
            <w:r>
              <w:rPr>
                <w:b/>
                <w:bCs/>
                <w:color w:val="0B1118"/>
                <w:sz w:val="19"/>
                <w:szCs w:val="19"/>
              </w:rPr>
              <w:t>Cold vs. Warm Standby</w:t>
            </w:r>
          </w:p>
        </w:tc>
        <w:tc>
          <w:tcPr>
            <w:tcW w:w="6460" w:type="dxa"/>
            <w:shd w:val="clear" w:color="auto" w:fill="EEF2F1"/>
            <w:tcMar>
              <w:top w:w="90" w:type="dxa"/>
              <w:left w:w="110" w:type="dxa"/>
              <w:bottom w:w="90" w:type="dxa"/>
              <w:right w:w="110" w:type="dxa"/>
            </w:tcMar>
            <w:vAlign w:val="center"/>
          </w:tcPr>
          <w:p w14:paraId="082572E4" w14:textId="77777777" w:rsidR="00F95B95" w:rsidRDefault="00000000">
            <w:pPr>
              <w:spacing w:line="317" w:lineRule="auto"/>
            </w:pPr>
            <w:r>
              <w:rPr>
                <w:color w:val="0B1118"/>
                <w:sz w:val="19"/>
                <w:szCs w:val="19"/>
              </w:rPr>
              <w:t>Cold standby provisions a recovery cluster on demand at failure time (lower cost, higher RTO). Warm standby keeps a recovery cluster pre-provisioned with continuously imported backup data (lower RTO, ongoing cost).</w:t>
            </w:r>
          </w:p>
        </w:tc>
      </w:tr>
      <w:tr w:rsidR="00F95B95" w14:paraId="732D66F2"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08BD88D9" w14:textId="77777777" w:rsidR="00F95B95" w:rsidRDefault="00000000">
            <w:pPr>
              <w:spacing w:line="317" w:lineRule="auto"/>
            </w:pPr>
            <w:r>
              <w:rPr>
                <w:b/>
                <w:bCs/>
                <w:color w:val="0B1118"/>
                <w:sz w:val="19"/>
                <w:szCs w:val="19"/>
              </w:rPr>
              <w:t>3-2-1 Rule</w:t>
            </w:r>
          </w:p>
        </w:tc>
        <w:tc>
          <w:tcPr>
            <w:tcW w:w="6460" w:type="dxa"/>
            <w:shd w:val="clear" w:color="auto" w:fill="FFFFFF"/>
            <w:tcMar>
              <w:top w:w="90" w:type="dxa"/>
              <w:left w:w="110" w:type="dxa"/>
              <w:bottom w:w="90" w:type="dxa"/>
              <w:right w:w="110" w:type="dxa"/>
            </w:tcMar>
            <w:vAlign w:val="center"/>
          </w:tcPr>
          <w:p w14:paraId="6A37A121" w14:textId="77777777" w:rsidR="00F95B95" w:rsidRDefault="00000000">
            <w:pPr>
              <w:spacing w:line="317" w:lineRule="auto"/>
            </w:pPr>
            <w:r>
              <w:rPr>
                <w:color w:val="0B1118"/>
                <w:sz w:val="19"/>
                <w:szCs w:val="19"/>
              </w:rPr>
              <w:t>Maintain at least three copies of data, on two different media, with one copy off-site — the baseline principle behind all resilient backup architectures.</w:t>
            </w:r>
          </w:p>
        </w:tc>
      </w:tr>
    </w:tbl>
    <w:p w14:paraId="2FD34AB3" w14:textId="77777777" w:rsidR="00BD3F57" w:rsidRDefault="00BD3F57"/>
    <w:sectPr w:rsidR="00BD3F57">
      <w:headerReference w:type="default" r:id="rId13"/>
      <w:footerReference w:type="default" r:id="rId14"/>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D6CE12" w14:textId="77777777" w:rsidR="00BD3F57" w:rsidRDefault="00BD3F57">
      <w:r>
        <w:separator/>
      </w:r>
    </w:p>
  </w:endnote>
  <w:endnote w:type="continuationSeparator" w:id="0">
    <w:p w14:paraId="5E143C4C" w14:textId="77777777" w:rsidR="00BD3F57" w:rsidRDefault="00BD3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577B25" w14:textId="77777777" w:rsidR="00F95B95" w:rsidRDefault="00000000">
    <w:pPr>
      <w:jc w:val="center"/>
    </w:pPr>
    <w:r>
      <w:rPr>
        <w:color w:val="7C8B93"/>
        <w:sz w:val="15"/>
        <w:szCs w:val="15"/>
      </w:rPr>
      <w:t xml:space="preserve">Page </w:t>
    </w:r>
    <w:r>
      <w:rPr>
        <w:color w:val="7C8B93"/>
        <w:sz w:val="15"/>
        <w:szCs w:val="15"/>
      </w:rPr>
      <w:fldChar w:fldCharType="begin"/>
    </w:r>
    <w:r>
      <w:rPr>
        <w:color w:val="7C8B93"/>
        <w:sz w:val="15"/>
        <w:szCs w:val="15"/>
      </w:rPr>
      <w:instrText>PAGE</w:instrText>
    </w:r>
    <w:r>
      <w:rPr>
        <w:color w:val="7C8B93"/>
        <w:sz w:val="15"/>
        <w:szCs w:val="15"/>
      </w:rPr>
      <w:fldChar w:fldCharType="separate"/>
    </w:r>
    <w:r w:rsidR="00240B94">
      <w:rPr>
        <w:noProof/>
        <w:color w:val="7C8B93"/>
        <w:sz w:val="15"/>
        <w:szCs w:val="15"/>
      </w:rPr>
      <w:t>19</w:t>
    </w:r>
    <w:r>
      <w:rPr>
        <w:color w:val="7C8B93"/>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B95A2" w14:textId="77777777" w:rsidR="00F95B95" w:rsidRDefault="00000000">
    <w:pPr>
      <w:jc w:val="center"/>
    </w:pPr>
    <w:r>
      <w:rPr>
        <w:color w:val="7C8B93"/>
        <w:sz w:val="15"/>
        <w:szCs w:val="15"/>
      </w:rPr>
      <w:t xml:space="preserve">Page </w:t>
    </w:r>
    <w:r>
      <w:rPr>
        <w:color w:val="7C8B93"/>
        <w:sz w:val="15"/>
        <w:szCs w:val="15"/>
      </w:rPr>
      <w:fldChar w:fldCharType="begin"/>
    </w:r>
    <w:r>
      <w:rPr>
        <w:color w:val="7C8B93"/>
        <w:sz w:val="15"/>
        <w:szCs w:val="15"/>
      </w:rPr>
      <w:instrText>PAGE</w:instrText>
    </w:r>
    <w:r>
      <w:rPr>
        <w:color w:val="7C8B93"/>
        <w:sz w:val="15"/>
        <w:szCs w:val="15"/>
      </w:rPr>
      <w:fldChar w:fldCharType="separate"/>
    </w:r>
    <w:r w:rsidR="00240B94">
      <w:rPr>
        <w:noProof/>
        <w:color w:val="7C8B93"/>
        <w:sz w:val="15"/>
        <w:szCs w:val="15"/>
      </w:rPr>
      <w:t>19</w:t>
    </w:r>
    <w:r>
      <w:rPr>
        <w:color w:val="7C8B93"/>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AA0DD4" w14:textId="77777777" w:rsidR="00BD3F57" w:rsidRDefault="00BD3F57">
      <w:r>
        <w:separator/>
      </w:r>
    </w:p>
  </w:footnote>
  <w:footnote w:type="continuationSeparator" w:id="0">
    <w:p w14:paraId="1F78FAD0" w14:textId="77777777" w:rsidR="00BD3F57" w:rsidRDefault="00BD3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2956EA" w14:textId="77777777" w:rsidR="00F95B95" w:rsidRDefault="00000000">
    <w:pPr>
      <w:jc w:val="right"/>
    </w:pPr>
    <w:r>
      <w:rPr>
        <w:color w:val="7C8B93"/>
        <w:sz w:val="15"/>
        <w:szCs w:val="15"/>
      </w:rPr>
      <w:t>The Kasten Resilience Playbook — Veeam Kasten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BED14A" w14:textId="77777777" w:rsidR="00F95B95" w:rsidRDefault="00000000">
    <w:pPr>
      <w:jc w:val="right"/>
    </w:pPr>
    <w:r>
      <w:rPr>
        <w:color w:val="7C8B93"/>
        <w:sz w:val="15"/>
        <w:szCs w:val="15"/>
      </w:rPr>
      <w:t>The Kasten Resilience Playbook — Veeam Kasten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FB7A44"/>
    <w:multiLevelType w:val="hybridMultilevel"/>
    <w:tmpl w:val="AF6A25E2"/>
    <w:lvl w:ilvl="0" w:tplc="A1A48D48">
      <w:start w:val="1"/>
      <w:numFmt w:val="bullet"/>
      <w:lvlText w:val="•"/>
      <w:lvlJc w:val="left"/>
      <w:pPr>
        <w:ind w:left="400" w:hanging="220"/>
      </w:pPr>
    </w:lvl>
    <w:lvl w:ilvl="1" w:tplc="AE5EEE50">
      <w:start w:val="1"/>
      <w:numFmt w:val="bullet"/>
      <w:lvlText w:val="◦"/>
      <w:lvlJc w:val="left"/>
      <w:pPr>
        <w:ind w:left="800" w:hanging="220"/>
      </w:pPr>
    </w:lvl>
    <w:lvl w:ilvl="2" w:tplc="13945E2E">
      <w:numFmt w:val="decimal"/>
      <w:lvlText w:val=""/>
      <w:lvlJc w:val="left"/>
    </w:lvl>
    <w:lvl w:ilvl="3" w:tplc="8F262308">
      <w:numFmt w:val="decimal"/>
      <w:lvlText w:val=""/>
      <w:lvlJc w:val="left"/>
    </w:lvl>
    <w:lvl w:ilvl="4" w:tplc="5E2A0D12">
      <w:numFmt w:val="decimal"/>
      <w:lvlText w:val=""/>
      <w:lvlJc w:val="left"/>
    </w:lvl>
    <w:lvl w:ilvl="5" w:tplc="C2B413D2">
      <w:numFmt w:val="decimal"/>
      <w:lvlText w:val=""/>
      <w:lvlJc w:val="left"/>
    </w:lvl>
    <w:lvl w:ilvl="6" w:tplc="C9D6CA68">
      <w:numFmt w:val="decimal"/>
      <w:lvlText w:val=""/>
      <w:lvlJc w:val="left"/>
    </w:lvl>
    <w:lvl w:ilvl="7" w:tplc="6BC4AFAE">
      <w:numFmt w:val="decimal"/>
      <w:lvlText w:val=""/>
      <w:lvlJc w:val="left"/>
    </w:lvl>
    <w:lvl w:ilvl="8" w:tplc="2C589B74">
      <w:numFmt w:val="decimal"/>
      <w:lvlText w:val=""/>
      <w:lvlJc w:val="left"/>
    </w:lvl>
  </w:abstractNum>
  <w:abstractNum w:abstractNumId="1" w15:restartNumberingAfterBreak="0">
    <w:nsid w:val="1F9D0C41"/>
    <w:multiLevelType w:val="hybridMultilevel"/>
    <w:tmpl w:val="B756DB86"/>
    <w:lvl w:ilvl="0" w:tplc="5C127C0A">
      <w:start w:val="1"/>
      <w:numFmt w:val="bullet"/>
      <w:lvlText w:val="●"/>
      <w:lvlJc w:val="left"/>
      <w:pPr>
        <w:ind w:left="720" w:hanging="360"/>
      </w:pPr>
    </w:lvl>
    <w:lvl w:ilvl="1" w:tplc="FF54BED8">
      <w:start w:val="1"/>
      <w:numFmt w:val="bullet"/>
      <w:lvlText w:val="○"/>
      <w:lvlJc w:val="left"/>
      <w:pPr>
        <w:ind w:left="1440" w:hanging="360"/>
      </w:pPr>
    </w:lvl>
    <w:lvl w:ilvl="2" w:tplc="1DA25A0E">
      <w:start w:val="1"/>
      <w:numFmt w:val="bullet"/>
      <w:lvlText w:val="■"/>
      <w:lvlJc w:val="left"/>
      <w:pPr>
        <w:ind w:left="2160" w:hanging="360"/>
      </w:pPr>
    </w:lvl>
    <w:lvl w:ilvl="3" w:tplc="34DA10F0">
      <w:start w:val="1"/>
      <w:numFmt w:val="bullet"/>
      <w:lvlText w:val="●"/>
      <w:lvlJc w:val="left"/>
      <w:pPr>
        <w:ind w:left="2880" w:hanging="360"/>
      </w:pPr>
    </w:lvl>
    <w:lvl w:ilvl="4" w:tplc="42A88A72">
      <w:start w:val="1"/>
      <w:numFmt w:val="bullet"/>
      <w:lvlText w:val="○"/>
      <w:lvlJc w:val="left"/>
      <w:pPr>
        <w:ind w:left="3600" w:hanging="360"/>
      </w:pPr>
    </w:lvl>
    <w:lvl w:ilvl="5" w:tplc="CBF4D966">
      <w:start w:val="1"/>
      <w:numFmt w:val="bullet"/>
      <w:lvlText w:val="■"/>
      <w:lvlJc w:val="left"/>
      <w:pPr>
        <w:ind w:left="4320" w:hanging="360"/>
      </w:pPr>
    </w:lvl>
    <w:lvl w:ilvl="6" w:tplc="BF84C9C2">
      <w:start w:val="1"/>
      <w:numFmt w:val="bullet"/>
      <w:lvlText w:val="●"/>
      <w:lvlJc w:val="left"/>
      <w:pPr>
        <w:ind w:left="5040" w:hanging="360"/>
      </w:pPr>
    </w:lvl>
    <w:lvl w:ilvl="7" w:tplc="9118CCBC">
      <w:start w:val="1"/>
      <w:numFmt w:val="bullet"/>
      <w:lvlText w:val="●"/>
      <w:lvlJc w:val="left"/>
      <w:pPr>
        <w:ind w:left="5760" w:hanging="360"/>
      </w:pPr>
    </w:lvl>
    <w:lvl w:ilvl="8" w:tplc="D404245C">
      <w:start w:val="1"/>
      <w:numFmt w:val="bullet"/>
      <w:lvlText w:val="●"/>
      <w:lvlJc w:val="left"/>
      <w:pPr>
        <w:ind w:left="6480" w:hanging="360"/>
      </w:pPr>
    </w:lvl>
  </w:abstractNum>
  <w:num w:numId="1" w16cid:durableId="1336225249">
    <w:abstractNumId w:val="1"/>
    <w:lvlOverride w:ilvl="0">
      <w:startOverride w:val="1"/>
    </w:lvlOverride>
  </w:num>
  <w:num w:numId="2" w16cid:durableId="24504135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B95"/>
    <w:rsid w:val="00135426"/>
    <w:rsid w:val="00240B94"/>
    <w:rsid w:val="006F4BE3"/>
    <w:rsid w:val="00BD3F57"/>
    <w:rsid w:val="00F95B9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63BDEB2"/>
  <w15:docId w15:val="{E71D8FD9-68F9-144D-B929-A2893FF8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Rule="auto" w:line="348" w:after="120"/>
    </w:pPr>
    <w:rPr>
      <w:rFonts w:ascii="Manrope" w:hAnsi="Manrope" w:cs="Manrope" w:eastAsia="Manrope"/>
      <w:color w:val="0B1118"/>
      <w:sz w:val="21"/>
    </w:rPr>
  </w:style>
  <w:style w:type="paragraph" w:styleId="Heading1">
    <w:name w:val="heading 1"/>
    <w:uiPriority w:val="9"/>
    <w:qFormat/>
    <w:pPr>
      <w:keepNext/>
      <w:spacing w:lineRule="auto" w:line="283" w:before="280" w:after="80"/>
      <w:outlineLvl w:val="0"/>
    </w:pPr>
    <w:rPr>
      <w:rFonts w:ascii="Space Grotesk" w:hAnsi="Space Grotesk" w:cs="Space Grotesk" w:eastAsia="Space Grotesk"/>
      <w:color w:val="00602F"/>
      <w:sz w:val="36"/>
      <w:szCs w:val="32"/>
    </w:rPr>
  </w:style>
  <w:style w:type="paragraph" w:styleId="Heading2">
    <w:name w:val="heading 2"/>
    <w:uiPriority w:val="9"/>
    <w:unhideWhenUsed/>
    <w:qFormat/>
    <w:pPr>
      <w:keepNext/>
      <w:spacing w:lineRule="auto" w:line="293" w:before="200" w:after="80"/>
      <w:outlineLvl w:val="1"/>
    </w:pPr>
    <w:rPr>
      <w:rFonts w:ascii="Space Grotesk" w:hAnsi="Space Grotesk" w:cs="Space Grotesk" w:eastAsia="Space Grotesk"/>
      <w:color w:val="0B1118"/>
      <w:sz w:val="29"/>
      <w:szCs w:val="26"/>
    </w:rPr>
  </w:style>
  <w:style w:type="paragraph" w:styleId="Heading3">
    <w:name w:val="heading 3"/>
    <w:uiPriority w:val="9"/>
    <w:unhideWhenUsed/>
    <w:qFormat/>
    <w:pPr>
      <w:keepNext/>
      <w:spacing w:lineRule="auto" w:line="307" w:before="200" w:after="80"/>
      <w:outlineLvl w:val="2"/>
    </w:pPr>
    <w:rPr>
      <w:rFonts w:ascii="Space Grotesk" w:hAnsi="Space Grotesk" w:cs="Space Grotesk" w:eastAsia="Space Grotesk"/>
      <w:color w:val="2B35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lineRule="auto" w:line="269" w:before="200" w:after="80"/>
    </w:pPr>
    <w:rPr>
      <w:rFonts w:ascii="Space Grotesk" w:hAnsi="Space Grotesk" w:cs="Space Grotesk" w:eastAsia="Space Grotesk"/>
      <w:color w:val="0B1118"/>
      <w:sz w:val="48"/>
      <w:szCs w:val="56"/>
    </w:rPr>
  </w:style>
  <w:style w:type="paragraph" w:customStyle="1" w:styleId="Strong1">
    <w:name w:val="Strong1"/>
    <w:qFormat/>
    <w:rPr>
      <w:b/>
      <w:bCs/>
    </w:rPr>
  </w:style>
  <w:style w:type="paragraph" w:styleId="ListParagraph">
    <w:name w:val="List Paragraph"/>
    <w:qFormat/>
    <w:pPr>
      <w:spacing w:lineRule="auto" w:line="348" w:after="120"/>
    </w:pPr>
    <w:rPr>
      <w:rFonts w:ascii="Manrope" w:hAnsi="Manrope" w:cs="Manrope" w:eastAsia="Manrope"/>
      <w:color w:val="0B1118"/>
      <w:sz w:val="2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5158</Words>
  <Characters>31831</Characters>
  <Application>Microsoft Office Word</Application>
  <DocSecurity>0</DocSecurity>
  <Lines>740</Lines>
  <Paragraphs>462</Paragraphs>
  <ScaleCrop>false</ScaleCrop>
  <Company/>
  <LinksUpToDate>false</LinksUpToDate>
  <CharactersWithSpaces>36527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Richardson</cp:lastModifiedBy>
  <cp:revision>3</cp:revision>
  <dcterms:created xsi:type="dcterms:W3CDTF">2026-07-24T00:32:00Z</dcterms:created>
  <dcterms:modified xsi:type="dcterms:W3CDTF">2026-07-24T00:34:00Z</dcterms:modified>
</cp:coreProperties>
</file>