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582" w:rsidRDefault="008335B0" w:rsidP="008335B0">
      <w:pPr>
        <w:jc w:val="center"/>
      </w:pPr>
      <w:r>
        <w:t>Question 5</w:t>
      </w:r>
    </w:p>
    <w:p w:rsidR="008335B0" w:rsidRDefault="008335B0" w:rsidP="008335B0"/>
    <w:p w:rsidR="00AF10B4" w:rsidRDefault="00AF10B4" w:rsidP="008335B0">
      <w:r>
        <w:t xml:space="preserve">Overall, customers who made first purchases during the holiday season </w:t>
      </w:r>
      <w:r w:rsidR="007A3535">
        <w:t>show distinct purchasing behaviors from</w:t>
      </w:r>
      <w:r>
        <w:t xml:space="preserve"> customers who only purchase outside of the holiday season</w:t>
      </w:r>
      <w:r w:rsidR="007A3535">
        <w:t xml:space="preserve">.  </w:t>
      </w:r>
      <w:r>
        <w:t>For the sake of readability, customers who made a first purchase during the holiday season will be referred to as holiday purchasers versus their non-holiday purchaser counterpoints.</w:t>
      </w:r>
    </w:p>
    <w:p w:rsidR="00AF10B4" w:rsidRDefault="00AF10B4" w:rsidP="008335B0"/>
    <w:p w:rsidR="00AF10B4" w:rsidRDefault="00AF10B4" w:rsidP="008335B0"/>
    <w:p w:rsidR="008335B0" w:rsidRDefault="00AF10B4" w:rsidP="008335B0">
      <w:r>
        <w:t xml:space="preserve">Looking at the distribution of transaction spend by holiday versus non-holiday purchasers, non-holiday purchasers </w:t>
      </w:r>
      <w:r w:rsidR="00976042">
        <w:t>tend to spend 92$ more than their holiday shopper counterparts.</w:t>
      </w:r>
    </w:p>
    <w:p w:rsidR="007D2F1D" w:rsidRDefault="007D2F1D" w:rsidP="008335B0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 descr="JDR SSD:_github:datasci_test:src:datasci_test:datasci_test:Images_holidayfirst: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R SSD:_github:datasci_test:src:datasci_test:datasci_test:Images_holidayfirst:box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042" w:rsidRDefault="00976042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D2F1D" w:rsidRDefault="00976042" w:rsidP="008335B0">
      <w:r>
        <w:lastRenderedPageBreak/>
        <w:t>After correcting for outliers, first time holiday shoppers on average made 1.5 more purchases than their non-holiday counterparts.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1196"/>
        <w:gridCol w:w="1196"/>
      </w:tblGrid>
      <w:tr w:rsidR="00976042" w:rsidTr="00976042">
        <w:tc>
          <w:tcPr>
            <w:tcW w:w="432" w:type="dxa"/>
          </w:tcPr>
          <w:p w:rsidR="00976042" w:rsidRDefault="00976042" w:rsidP="008335B0"/>
        </w:tc>
        <w:tc>
          <w:tcPr>
            <w:tcW w:w="432" w:type="dxa"/>
          </w:tcPr>
          <w:p w:rsidR="00976042" w:rsidRPr="00976042" w:rsidRDefault="00976042" w:rsidP="008335B0">
            <w:pPr>
              <w:rPr>
                <w:b/>
              </w:rPr>
            </w:pPr>
            <w:r w:rsidRPr="00976042">
              <w:rPr>
                <w:b/>
              </w:rPr>
              <w:t>Non-Holiday</w:t>
            </w:r>
          </w:p>
        </w:tc>
        <w:tc>
          <w:tcPr>
            <w:tcW w:w="432" w:type="dxa"/>
          </w:tcPr>
          <w:p w:rsidR="00976042" w:rsidRPr="00976042" w:rsidRDefault="00976042" w:rsidP="008335B0">
            <w:pPr>
              <w:rPr>
                <w:b/>
              </w:rPr>
            </w:pPr>
            <w:r w:rsidRPr="00976042">
              <w:rPr>
                <w:b/>
              </w:rPr>
              <w:t>Holiday</w:t>
            </w:r>
          </w:p>
        </w:tc>
      </w:tr>
      <w:tr w:rsidR="00976042" w:rsidTr="00976042">
        <w:tc>
          <w:tcPr>
            <w:tcW w:w="432" w:type="dxa"/>
          </w:tcPr>
          <w:p w:rsidR="00976042" w:rsidRPr="00976042" w:rsidRDefault="00976042" w:rsidP="008335B0">
            <w:pPr>
              <w:rPr>
                <w:b/>
              </w:rPr>
            </w:pPr>
            <w:r w:rsidRPr="00976042">
              <w:rPr>
                <w:b/>
              </w:rPr>
              <w:t>Count</w:t>
            </w:r>
          </w:p>
        </w:tc>
        <w:tc>
          <w:tcPr>
            <w:tcW w:w="432" w:type="dxa"/>
          </w:tcPr>
          <w:p w:rsidR="00976042" w:rsidRDefault="00976042" w:rsidP="008335B0">
            <w:r>
              <w:t>3225</w:t>
            </w:r>
          </w:p>
        </w:tc>
        <w:tc>
          <w:tcPr>
            <w:tcW w:w="432" w:type="dxa"/>
          </w:tcPr>
          <w:p w:rsidR="00976042" w:rsidRDefault="00976042" w:rsidP="008335B0">
            <w:r>
              <w:t>4086</w:t>
            </w:r>
          </w:p>
        </w:tc>
      </w:tr>
      <w:tr w:rsidR="00976042" w:rsidTr="00976042">
        <w:tc>
          <w:tcPr>
            <w:tcW w:w="432" w:type="dxa"/>
          </w:tcPr>
          <w:p w:rsidR="00976042" w:rsidRPr="00976042" w:rsidRDefault="00976042" w:rsidP="008335B0">
            <w:pPr>
              <w:rPr>
                <w:b/>
              </w:rPr>
            </w:pPr>
            <w:r w:rsidRPr="00976042">
              <w:rPr>
                <w:b/>
              </w:rPr>
              <w:t>Mean</w:t>
            </w:r>
          </w:p>
        </w:tc>
        <w:tc>
          <w:tcPr>
            <w:tcW w:w="432" w:type="dxa"/>
          </w:tcPr>
          <w:p w:rsidR="00976042" w:rsidRDefault="00976042" w:rsidP="008335B0">
            <w:r>
              <w:t>3.492403</w:t>
            </w:r>
          </w:p>
        </w:tc>
        <w:tc>
          <w:tcPr>
            <w:tcW w:w="432" w:type="dxa"/>
          </w:tcPr>
          <w:p w:rsidR="00976042" w:rsidRDefault="00976042" w:rsidP="008335B0">
            <w:r>
              <w:t>5.102790</w:t>
            </w:r>
          </w:p>
        </w:tc>
      </w:tr>
      <w:tr w:rsidR="00976042" w:rsidTr="00976042">
        <w:tc>
          <w:tcPr>
            <w:tcW w:w="432" w:type="dxa"/>
          </w:tcPr>
          <w:p w:rsidR="00976042" w:rsidRPr="00976042" w:rsidRDefault="00976042" w:rsidP="008335B0">
            <w:pPr>
              <w:rPr>
                <w:b/>
              </w:rPr>
            </w:pPr>
            <w:proofErr w:type="spellStart"/>
            <w:r w:rsidRPr="00976042">
              <w:rPr>
                <w:b/>
              </w:rPr>
              <w:t>Std</w:t>
            </w:r>
            <w:proofErr w:type="spellEnd"/>
          </w:p>
        </w:tc>
        <w:tc>
          <w:tcPr>
            <w:tcW w:w="432" w:type="dxa"/>
          </w:tcPr>
          <w:p w:rsidR="00976042" w:rsidRDefault="00976042" w:rsidP="008335B0">
            <w:r>
              <w:t>3.926356</w:t>
            </w:r>
          </w:p>
        </w:tc>
        <w:tc>
          <w:tcPr>
            <w:tcW w:w="432" w:type="dxa"/>
          </w:tcPr>
          <w:p w:rsidR="00976042" w:rsidRDefault="00976042" w:rsidP="008335B0">
            <w:r>
              <w:t>5.595741</w:t>
            </w:r>
          </w:p>
        </w:tc>
      </w:tr>
      <w:tr w:rsidR="00976042" w:rsidTr="00976042">
        <w:tc>
          <w:tcPr>
            <w:tcW w:w="432" w:type="dxa"/>
          </w:tcPr>
          <w:p w:rsidR="00976042" w:rsidRPr="00976042" w:rsidRDefault="00976042" w:rsidP="008335B0">
            <w:pPr>
              <w:rPr>
                <w:b/>
              </w:rPr>
            </w:pPr>
            <w:r w:rsidRPr="00976042">
              <w:rPr>
                <w:b/>
              </w:rPr>
              <w:t>Min</w:t>
            </w:r>
          </w:p>
        </w:tc>
        <w:tc>
          <w:tcPr>
            <w:tcW w:w="432" w:type="dxa"/>
          </w:tcPr>
          <w:p w:rsidR="00976042" w:rsidRDefault="007A3535" w:rsidP="008335B0">
            <w:r>
              <w:t>1</w:t>
            </w:r>
          </w:p>
        </w:tc>
        <w:tc>
          <w:tcPr>
            <w:tcW w:w="432" w:type="dxa"/>
          </w:tcPr>
          <w:p w:rsidR="00976042" w:rsidRDefault="007A3535" w:rsidP="008335B0">
            <w:r>
              <w:t>1</w:t>
            </w:r>
          </w:p>
        </w:tc>
      </w:tr>
      <w:tr w:rsidR="00976042" w:rsidTr="00976042">
        <w:tc>
          <w:tcPr>
            <w:tcW w:w="432" w:type="dxa"/>
          </w:tcPr>
          <w:p w:rsidR="00976042" w:rsidRPr="00976042" w:rsidRDefault="00976042" w:rsidP="008335B0">
            <w:pPr>
              <w:rPr>
                <w:b/>
              </w:rPr>
            </w:pPr>
            <w:r w:rsidRPr="00976042">
              <w:rPr>
                <w:b/>
              </w:rPr>
              <w:t>25%</w:t>
            </w:r>
          </w:p>
        </w:tc>
        <w:tc>
          <w:tcPr>
            <w:tcW w:w="432" w:type="dxa"/>
          </w:tcPr>
          <w:p w:rsidR="00976042" w:rsidRDefault="007A3535" w:rsidP="008335B0">
            <w:r>
              <w:t>1</w:t>
            </w:r>
          </w:p>
        </w:tc>
        <w:tc>
          <w:tcPr>
            <w:tcW w:w="432" w:type="dxa"/>
          </w:tcPr>
          <w:p w:rsidR="00976042" w:rsidRDefault="007A3535" w:rsidP="008335B0">
            <w:r>
              <w:t>2</w:t>
            </w:r>
          </w:p>
        </w:tc>
      </w:tr>
      <w:tr w:rsidR="00976042" w:rsidTr="00976042">
        <w:tc>
          <w:tcPr>
            <w:tcW w:w="432" w:type="dxa"/>
          </w:tcPr>
          <w:p w:rsidR="00976042" w:rsidRPr="00976042" w:rsidRDefault="00976042" w:rsidP="008335B0">
            <w:pPr>
              <w:rPr>
                <w:b/>
              </w:rPr>
            </w:pPr>
            <w:r w:rsidRPr="00976042">
              <w:rPr>
                <w:b/>
              </w:rPr>
              <w:t>50%</w:t>
            </w:r>
          </w:p>
        </w:tc>
        <w:tc>
          <w:tcPr>
            <w:tcW w:w="432" w:type="dxa"/>
          </w:tcPr>
          <w:p w:rsidR="00976042" w:rsidRDefault="007A3535" w:rsidP="008335B0">
            <w:r>
              <w:t>2</w:t>
            </w:r>
          </w:p>
        </w:tc>
        <w:tc>
          <w:tcPr>
            <w:tcW w:w="432" w:type="dxa"/>
          </w:tcPr>
          <w:p w:rsidR="00976042" w:rsidRDefault="007A3535" w:rsidP="008335B0">
            <w:r>
              <w:t>3</w:t>
            </w:r>
          </w:p>
        </w:tc>
      </w:tr>
      <w:tr w:rsidR="00976042" w:rsidTr="00976042">
        <w:tc>
          <w:tcPr>
            <w:tcW w:w="432" w:type="dxa"/>
          </w:tcPr>
          <w:p w:rsidR="00976042" w:rsidRPr="00976042" w:rsidRDefault="00976042" w:rsidP="008335B0">
            <w:pPr>
              <w:rPr>
                <w:b/>
              </w:rPr>
            </w:pPr>
            <w:r w:rsidRPr="00976042">
              <w:rPr>
                <w:b/>
              </w:rPr>
              <w:t>75%</w:t>
            </w:r>
          </w:p>
        </w:tc>
        <w:tc>
          <w:tcPr>
            <w:tcW w:w="432" w:type="dxa"/>
          </w:tcPr>
          <w:p w:rsidR="00976042" w:rsidRDefault="007A3535" w:rsidP="008335B0">
            <w:r>
              <w:t>4</w:t>
            </w:r>
          </w:p>
        </w:tc>
        <w:tc>
          <w:tcPr>
            <w:tcW w:w="432" w:type="dxa"/>
          </w:tcPr>
          <w:p w:rsidR="00976042" w:rsidRDefault="007A3535" w:rsidP="008335B0">
            <w:r>
              <w:t>6</w:t>
            </w:r>
          </w:p>
        </w:tc>
      </w:tr>
      <w:tr w:rsidR="00976042" w:rsidTr="00976042">
        <w:tc>
          <w:tcPr>
            <w:tcW w:w="432" w:type="dxa"/>
          </w:tcPr>
          <w:p w:rsidR="00976042" w:rsidRPr="00976042" w:rsidRDefault="00976042" w:rsidP="008335B0">
            <w:pPr>
              <w:rPr>
                <w:b/>
              </w:rPr>
            </w:pPr>
            <w:r>
              <w:rPr>
                <w:b/>
              </w:rPr>
              <w:t>M</w:t>
            </w:r>
            <w:r w:rsidRPr="00976042">
              <w:rPr>
                <w:b/>
              </w:rPr>
              <w:t>ax</w:t>
            </w:r>
          </w:p>
        </w:tc>
        <w:tc>
          <w:tcPr>
            <w:tcW w:w="432" w:type="dxa"/>
          </w:tcPr>
          <w:p w:rsidR="00976042" w:rsidRDefault="007A3535" w:rsidP="008335B0">
            <w:r>
              <w:t>63</w:t>
            </w:r>
          </w:p>
        </w:tc>
        <w:tc>
          <w:tcPr>
            <w:tcW w:w="432" w:type="dxa"/>
          </w:tcPr>
          <w:p w:rsidR="00976042" w:rsidRDefault="007A3535" w:rsidP="008335B0">
            <w:r>
              <w:t>72</w:t>
            </w:r>
          </w:p>
        </w:tc>
      </w:tr>
    </w:tbl>
    <w:p w:rsidR="00976042" w:rsidRDefault="00976042" w:rsidP="008335B0"/>
    <w:p w:rsidR="007A3535" w:rsidRDefault="007A3535" w:rsidP="008335B0"/>
    <w:p w:rsidR="007A3535" w:rsidRDefault="007A3535" w:rsidP="008335B0">
      <w:pPr>
        <w:rPr>
          <w:noProof/>
        </w:rPr>
      </w:pPr>
      <w:r>
        <w:t xml:space="preserve">The largest purchasing difference was driven by the definition of the groups and can be seen in the quarter with which holiday versus </w:t>
      </w:r>
      <w:proofErr w:type="gramStart"/>
      <w:r>
        <w:t>non holiday</w:t>
      </w:r>
      <w:proofErr w:type="gramEnd"/>
      <w:r>
        <w:t xml:space="preserve"> shoppers purchased.  Holiday shopper activity is concentrated around Q4 while by definition the non-holiday shoppers outpaced the holiday shoppers in all other quarters.</w:t>
      </w:r>
      <w:r w:rsidRPr="007A3535">
        <w:rPr>
          <w:noProof/>
        </w:rPr>
        <w:t xml:space="preserve"> </w:t>
      </w:r>
    </w:p>
    <w:p w:rsidR="007A3535" w:rsidRDefault="007A3535" w:rsidP="008335B0">
      <w:pPr>
        <w:rPr>
          <w:noProof/>
        </w:rPr>
      </w:pPr>
    </w:p>
    <w:p w:rsidR="007A3535" w:rsidRDefault="007A3535" w:rsidP="008335B0">
      <w:pPr>
        <w:rPr>
          <w:noProof/>
        </w:rPr>
      </w:pPr>
    </w:p>
    <w:p w:rsidR="007A3535" w:rsidRDefault="007A3535" w:rsidP="008335B0">
      <w:r>
        <w:rPr>
          <w:noProof/>
        </w:rPr>
        <w:drawing>
          <wp:inline distT="0" distB="0" distL="0" distR="0" wp14:anchorId="6D9C5D0D" wp14:editId="22AAB4E2">
            <wp:extent cx="5486400" cy="3657600"/>
            <wp:effectExtent l="0" t="0" r="0" b="0"/>
            <wp:docPr id="2" name="Picture 2" descr="JDR SSD:_github:datasci_test:src:datasci_test:datasci_test:Images_holidayfirst:spend_over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DR SSD:_github:datasci_test:src:datasci_test:datasci_test:Images_holidayfirst:spend_over_ti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>
      <w:r>
        <w:t xml:space="preserve">Holiday shoppers used 3 channels fairly evenly (distribution partners, holographic commerce, and retail) while non-holiday </w:t>
      </w:r>
      <w:proofErr w:type="gramStart"/>
      <w:r>
        <w:t>shoppers</w:t>
      </w:r>
      <w:proofErr w:type="gramEnd"/>
      <w:r>
        <w:t xml:space="preserve"> favored holographic commerce by a wide margin.</w:t>
      </w:r>
    </w:p>
    <w:p w:rsidR="007A3535" w:rsidRDefault="007A3535" w:rsidP="008335B0"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3" name="Picture 3" descr="JDR SSD:_github:datasci_test:src:datasci_test:datasci_test:Images_holidayfirst:distribution_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DR SSD:_github:datasci_test:src:datasci_test:datasci_test:Images_holidayfirst:distribution_chann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/>
    <w:p w:rsidR="007A3535" w:rsidRDefault="007A3535" w:rsidP="008335B0">
      <w:r>
        <w:t>Non-holiday shoppers mainly used flagship stores while holiday shoppers used the other dealers.</w:t>
      </w:r>
    </w:p>
    <w:p w:rsidR="007A3535" w:rsidRDefault="007A3535" w:rsidP="008335B0">
      <w:r>
        <w:rPr>
          <w:noProof/>
        </w:rPr>
        <w:drawing>
          <wp:inline distT="0" distB="0" distL="0" distR="0">
            <wp:extent cx="5486400" cy="3987800"/>
            <wp:effectExtent l="0" t="0" r="0" b="0"/>
            <wp:docPr id="4" name="Picture 4" descr="JDR SSD:_github:datasci_test:src:datasci_test:datasci_test:Images_holidayfirst:dea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DR SSD:_github:datasci_test:src:datasci_test:datasci_test:Images_holidayfirst:deal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35" w:rsidRDefault="007A3535" w:rsidP="008335B0"/>
    <w:p w:rsidR="00930030" w:rsidRDefault="007A3535" w:rsidP="008335B0">
      <w:r>
        <w:t xml:space="preserve">Coupon usage is small for both holiday and non-holiday shoppers but holiday shoppers were </w:t>
      </w:r>
      <w:r w:rsidR="00930030">
        <w:t>almost twice as prevalent when using coupons.</w:t>
      </w:r>
    </w:p>
    <w:p w:rsidR="00930030" w:rsidRDefault="00930030" w:rsidP="008335B0">
      <w:r>
        <w:rPr>
          <w:noProof/>
        </w:rPr>
        <w:drawing>
          <wp:inline distT="0" distB="0" distL="0" distR="0">
            <wp:extent cx="4114800" cy="2990850"/>
            <wp:effectExtent l="0" t="0" r="0" b="6350"/>
            <wp:docPr id="5" name="Picture 5" descr="JDR SSD:_github:datasci_test:src:datasci_test:datasci_test:Images_holidayfirst:coup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DR SSD:_github:datasci_test:src:datasci_test:datasci_test:Images_holidayfirst:coup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66" cy="299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30" w:rsidRDefault="00930030" w:rsidP="008335B0"/>
    <w:p w:rsidR="00930030" w:rsidRDefault="00930030" w:rsidP="008335B0">
      <w:r>
        <w:t xml:space="preserve">The product profile of holiday shoppers differs from non-holiday shoppers though both tended to favor Status Indicator Sm.  </w:t>
      </w:r>
    </w:p>
    <w:p w:rsidR="00930030" w:rsidRDefault="00930030" w:rsidP="008335B0"/>
    <w:p w:rsidR="00930030" w:rsidRDefault="00930030" w:rsidP="008335B0">
      <w:r>
        <w:rPr>
          <w:noProof/>
        </w:rPr>
        <w:drawing>
          <wp:inline distT="0" distB="0" distL="0" distR="0">
            <wp:extent cx="5486400" cy="3987800"/>
            <wp:effectExtent l="0" t="0" r="0" b="0"/>
            <wp:docPr id="6" name="Picture 6" descr="JDR SSD:_github:datasci_test:src:datasci_test:datasci_test:Images_holidayfirst:item_purcha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DR SSD:_github:datasci_test:src:datasci_test:datasci_test:Images_holidayfirst:item_purchas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030" w:rsidSect="00C53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5B0"/>
    <w:rsid w:val="00275582"/>
    <w:rsid w:val="007A3535"/>
    <w:rsid w:val="007D2F1D"/>
    <w:rsid w:val="008335B0"/>
    <w:rsid w:val="00930030"/>
    <w:rsid w:val="00976042"/>
    <w:rsid w:val="00AF10B4"/>
    <w:rsid w:val="00C5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A41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F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1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760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F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1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9760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255</Words>
  <Characters>1454</Characters>
  <Application>Microsoft Macintosh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2015-05-11T14:56:00Z</dcterms:created>
  <dcterms:modified xsi:type="dcterms:W3CDTF">2015-05-11T15:50:00Z</dcterms:modified>
</cp:coreProperties>
</file>