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Business Type &amp; Object 설계 문서</w:t>
      </w:r>
    </w:p>
    <w:p>
      <w:r>
        <w:t xml:space="preserve">작성일: 2025-11-02 | 작성자: Grok AI</w:t>
      </w:r>
    </w:p>
    <w:p>
      <w:r>
        <w:t xml:space="preserve">1. 개요</w:t>
      </w:r>
    </w:p>
    <w:p>
      <w:r>
        <w:rPr>
          <w:sz w:val="24"/>
          <w:szCs w:val="24"/>
        </w:rPr>
        <w:t xml:space="preserve">- Policy: 리비전 순서 통합 관리</w:t>
      </w:r>
    </w:p>
    <w:p>
      <w:r>
        <w:rPr>
          <w:sz w:val="24"/>
          <w:szCs w:val="24"/>
        </w:rPr>
        <w:t xml:space="preserve">- BusinessType: type(유니크) + name(참고용) + 계층 구조</w:t>
      </w:r>
    </w:p>
    <w:p>
      <w:r>
        <w:rPr>
          <w:sz w:val="24"/>
          <w:szCs w:val="24"/>
        </w:rPr>
        <w:t xml:space="preserve">- BusinessObject: typeId + name + revision 기준 리비전 순환</w:t>
      </w:r>
    </w:p>
    <w:p>
      <w:r>
        <w:t xml:space="preserve">2. Prisma 스키마</w:t>
      </w:r>
    </w:p>
    <w:p>
      <w:r>
        <w:rPr>
          <w:sz w:val="24"/>
          <w:szCs w:val="24"/>
        </w:rPr>
        <w:t xml:space="preserve">model Policy { revisionSequence String @default("A,B,C") }</w:t>
      </w:r>
    </w:p>
    <w:p>
      <w:r>
        <w:t xml:space="preserve">3. 리비전 자동 할당 로직 (Prisma Middleware)</w:t>
      </w:r>
    </w:p>
    <w:p>
      <w:r>
        <w:rPr>
          <w:sz w:val="24"/>
          <w:szCs w:val="24"/>
        </w:rPr>
        <w:t xml:space="preserve">prisma.$use(async (params, next) =&gt; { ... });</w:t>
      </w:r>
    </w:p>
    <w:p>
      <w:r>
        <w:t xml:space="preserve">마이그레이션 예시: npx prisma migrate dev --name add-policy-to-object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2025-11-02T00:24:55.823Z</dcterms:created>
  <dcterms:modified xsi:type="dcterms:W3CDTF">2025-11-02T00:24:55.824Z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