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35FE0" w14:textId="11D64410" w:rsidR="009A60EF" w:rsidRPr="00D374C0" w:rsidRDefault="00B23CCE" w:rsidP="00B23CCE">
      <w:pPr>
        <w:jc w:val="center"/>
        <w:rPr>
          <w:rFonts w:ascii="Cognizant Sans" w:hAnsi="Cognizant Sans"/>
          <w:b/>
          <w:bCs/>
          <w:color w:val="0033A0"/>
          <w:sz w:val="44"/>
          <w:szCs w:val="44"/>
        </w:rPr>
      </w:pPr>
      <w:r w:rsidRPr="00D374C0">
        <w:rPr>
          <w:rFonts w:ascii="Cognizant Sans" w:hAnsi="Cognizant Sans"/>
          <w:b/>
          <w:bCs/>
          <w:color w:val="0033A0"/>
          <w:sz w:val="44"/>
          <w:szCs w:val="44"/>
        </w:rPr>
        <w:t xml:space="preserve">VMware HCX </w:t>
      </w:r>
      <w:r w:rsidR="00D374C0" w:rsidRPr="00D374C0">
        <w:rPr>
          <w:rFonts w:ascii="Cognizant Sans" w:hAnsi="Cognizant Sans"/>
          <w:b/>
          <w:bCs/>
          <w:color w:val="0033A0"/>
          <w:sz w:val="44"/>
          <w:szCs w:val="44"/>
        </w:rPr>
        <w:t>M</w:t>
      </w:r>
      <w:r w:rsidRPr="00D374C0">
        <w:rPr>
          <w:rFonts w:ascii="Cognizant Sans" w:hAnsi="Cognizant Sans"/>
          <w:b/>
          <w:bCs/>
          <w:color w:val="0033A0"/>
          <w:sz w:val="44"/>
          <w:szCs w:val="44"/>
        </w:rPr>
        <w:t xml:space="preserve">igration </w:t>
      </w:r>
      <w:r w:rsidR="00D374C0" w:rsidRPr="00D374C0">
        <w:rPr>
          <w:rFonts w:ascii="Cognizant Sans" w:hAnsi="Cognizant Sans"/>
          <w:b/>
          <w:bCs/>
          <w:color w:val="0033A0"/>
          <w:sz w:val="44"/>
          <w:szCs w:val="44"/>
        </w:rPr>
        <w:t>C</w:t>
      </w:r>
      <w:r w:rsidRPr="00D374C0">
        <w:rPr>
          <w:rFonts w:ascii="Cognizant Sans" w:hAnsi="Cognizant Sans"/>
          <w:b/>
          <w:bCs/>
          <w:color w:val="0033A0"/>
          <w:sz w:val="44"/>
          <w:szCs w:val="44"/>
        </w:rPr>
        <w:t>heat</w:t>
      </w:r>
      <w:r w:rsidR="00D374C0" w:rsidRPr="00D374C0">
        <w:rPr>
          <w:rFonts w:ascii="Cognizant Sans" w:hAnsi="Cognizant Sans"/>
          <w:b/>
          <w:bCs/>
          <w:color w:val="0033A0"/>
          <w:sz w:val="44"/>
          <w:szCs w:val="44"/>
        </w:rPr>
        <w:t xml:space="preserve"> S</w:t>
      </w:r>
      <w:r w:rsidRPr="00D374C0">
        <w:rPr>
          <w:rFonts w:ascii="Cognizant Sans" w:hAnsi="Cognizant Sans"/>
          <w:b/>
          <w:bCs/>
          <w:color w:val="0033A0"/>
          <w:sz w:val="44"/>
          <w:szCs w:val="44"/>
        </w:rPr>
        <w:t>heet</w:t>
      </w:r>
    </w:p>
    <w:p w14:paraId="1F7D2B5E" w14:textId="50CA2799" w:rsidR="00B23CCE" w:rsidRPr="00D374C0" w:rsidRDefault="00B23CCE" w:rsidP="00B23CCE">
      <w:pPr>
        <w:jc w:val="center"/>
        <w:rPr>
          <w:rFonts w:ascii="Cognizant Sans" w:hAnsi="Cognizant Sans"/>
          <w:color w:val="FF0000"/>
        </w:rPr>
      </w:pPr>
      <w:r w:rsidRPr="00D374C0">
        <w:rPr>
          <w:rFonts w:ascii="Cognizant Sans" w:hAnsi="Cognizant Sans"/>
          <w:color w:val="2964FF"/>
        </w:rPr>
        <w:t>Note: This document is written with the assumption that the initial HCX setup, site pairing, and L2 network stretch steps have already been completed</w:t>
      </w:r>
      <w:r w:rsidR="00D374C0">
        <w:rPr>
          <w:rFonts w:ascii="Cognizant Sans" w:hAnsi="Cognizant Sans"/>
          <w:color w:val="FF0000"/>
        </w:rPr>
        <w:br/>
      </w:r>
    </w:p>
    <w:p w14:paraId="268D3ED9" w14:textId="765DE8E7" w:rsidR="00B23CCE" w:rsidRPr="00D374C0" w:rsidRDefault="00B23CCE" w:rsidP="00B23CCE">
      <w:pPr>
        <w:pStyle w:val="ListParagraph"/>
        <w:numPr>
          <w:ilvl w:val="0"/>
          <w:numId w:val="1"/>
        </w:numPr>
        <w:rPr>
          <w:rFonts w:ascii="Cognizant Sans" w:hAnsi="Cognizant Sans"/>
        </w:rPr>
      </w:pPr>
      <w:r w:rsidRPr="00D374C0">
        <w:rPr>
          <w:rFonts w:ascii="Cognizant Sans" w:hAnsi="Cognizant Sans"/>
        </w:rPr>
        <w:t>Login to the SOURCE vSphere web client that has been connected to AVS through HCX</w:t>
      </w:r>
      <w:r w:rsidR="00D374C0">
        <w:rPr>
          <w:rFonts w:ascii="Cognizant Sans" w:hAnsi="Cognizant Sans"/>
        </w:rPr>
        <w:br/>
      </w:r>
    </w:p>
    <w:p w14:paraId="4DE5C1A5" w14:textId="673717A1" w:rsidR="00B23CCE" w:rsidRPr="00D374C0" w:rsidRDefault="00B23CCE" w:rsidP="00B23CCE">
      <w:pPr>
        <w:pStyle w:val="ListParagraph"/>
        <w:numPr>
          <w:ilvl w:val="0"/>
          <w:numId w:val="1"/>
        </w:numPr>
        <w:rPr>
          <w:rFonts w:ascii="Cognizant Sans" w:hAnsi="Cognizant Sans"/>
        </w:rPr>
      </w:pPr>
      <w:r w:rsidRPr="00D374C0">
        <w:rPr>
          <w:rFonts w:ascii="Cognizant Sans" w:hAnsi="Cognizant Sans"/>
        </w:rPr>
        <w:t>Navigate to the HCX plugin</w:t>
      </w:r>
      <w:r w:rsidR="00D374C0">
        <w:rPr>
          <w:rFonts w:ascii="Cognizant Sans" w:hAnsi="Cognizant Sans"/>
        </w:rPr>
        <w:br/>
      </w:r>
      <w:r w:rsidRPr="00D374C0">
        <w:rPr>
          <w:rFonts w:ascii="Cognizant Sans" w:hAnsi="Cognizant Sans"/>
        </w:rPr>
        <w:br/>
      </w:r>
      <w:r w:rsidR="00717876" w:rsidRPr="00D374C0">
        <w:rPr>
          <w:rFonts w:ascii="Cognizant Sans" w:hAnsi="Cognizant Sans"/>
          <w:noProof/>
        </w:rPr>
        <w:drawing>
          <wp:inline distT="0" distB="0" distL="0" distR="0" wp14:anchorId="7A2BB24E" wp14:editId="31B57236">
            <wp:extent cx="5676181" cy="236750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0102" cy="2373308"/>
                    </a:xfrm>
                    <a:prstGeom prst="rect">
                      <a:avLst/>
                    </a:prstGeom>
                    <a:noFill/>
                    <a:ln>
                      <a:noFill/>
                    </a:ln>
                  </pic:spPr>
                </pic:pic>
              </a:graphicData>
            </a:graphic>
          </wp:inline>
        </w:drawing>
      </w:r>
      <w:r w:rsidR="00D374C0">
        <w:rPr>
          <w:rFonts w:ascii="Cognizant Sans" w:hAnsi="Cognizant Sans"/>
        </w:rPr>
        <w:br/>
      </w:r>
    </w:p>
    <w:p w14:paraId="434AC31D" w14:textId="3A9399E3" w:rsidR="005934ED" w:rsidRPr="00D374C0" w:rsidRDefault="004009DB" w:rsidP="00B23CCE">
      <w:pPr>
        <w:pStyle w:val="ListParagraph"/>
        <w:numPr>
          <w:ilvl w:val="0"/>
          <w:numId w:val="1"/>
        </w:numPr>
        <w:rPr>
          <w:rFonts w:ascii="Cognizant Sans" w:hAnsi="Cognizant Sans"/>
        </w:rPr>
      </w:pPr>
      <w:r w:rsidRPr="00D374C0">
        <w:rPr>
          <w:rFonts w:ascii="Cognizant Sans" w:hAnsi="Cognizant Sans"/>
        </w:rPr>
        <w:t xml:space="preserve"> </w:t>
      </w:r>
      <w:r w:rsidR="005934ED" w:rsidRPr="00D374C0">
        <w:rPr>
          <w:rFonts w:ascii="Cognizant Sans" w:hAnsi="Cognizant Sans"/>
        </w:rPr>
        <w:t xml:space="preserve">Navigate to the migration tab on the </w:t>
      </w:r>
      <w:r w:rsidR="00D374C0" w:rsidRPr="00D374C0">
        <w:rPr>
          <w:rFonts w:ascii="Cognizant Sans" w:hAnsi="Cognizant Sans"/>
        </w:rPr>
        <w:t>left-hand</w:t>
      </w:r>
      <w:r w:rsidR="005934ED" w:rsidRPr="00D374C0">
        <w:rPr>
          <w:rFonts w:ascii="Cognizant Sans" w:hAnsi="Cognizant Sans"/>
        </w:rPr>
        <w:t xml:space="preserve"> side and click “Migrate Virtual Machines”</w:t>
      </w:r>
      <w:r w:rsidR="005934ED" w:rsidRPr="00D374C0">
        <w:rPr>
          <w:rFonts w:ascii="Cognizant Sans" w:hAnsi="Cognizant Sans"/>
        </w:rPr>
        <w:br/>
      </w:r>
    </w:p>
    <w:p w14:paraId="27D1C72B" w14:textId="578C3EE6" w:rsidR="00B23CCE" w:rsidRDefault="005934ED" w:rsidP="005934ED">
      <w:pPr>
        <w:pStyle w:val="ListParagraph"/>
        <w:rPr>
          <w:rFonts w:ascii="Cognizant Sans" w:hAnsi="Cognizant Sans"/>
        </w:rPr>
      </w:pPr>
      <w:r w:rsidRPr="00D374C0">
        <w:rPr>
          <w:rFonts w:ascii="Cognizant Sans" w:hAnsi="Cognizant Sans"/>
          <w:noProof/>
        </w:rPr>
        <w:drawing>
          <wp:inline distT="0" distB="0" distL="0" distR="0" wp14:anchorId="320194F5" wp14:editId="6160536A">
            <wp:extent cx="6319988" cy="28575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0581" cy="2880375"/>
                    </a:xfrm>
                    <a:prstGeom prst="rect">
                      <a:avLst/>
                    </a:prstGeom>
                    <a:noFill/>
                    <a:ln>
                      <a:noFill/>
                    </a:ln>
                  </pic:spPr>
                </pic:pic>
              </a:graphicData>
            </a:graphic>
          </wp:inline>
        </w:drawing>
      </w:r>
      <w:r w:rsidR="00D374C0">
        <w:rPr>
          <w:rFonts w:ascii="Cognizant Sans" w:hAnsi="Cognizant Sans"/>
        </w:rPr>
        <w:br/>
      </w:r>
    </w:p>
    <w:p w14:paraId="3A55D213" w14:textId="0968F88D" w:rsidR="00D374C0" w:rsidRDefault="00D374C0" w:rsidP="005934ED">
      <w:pPr>
        <w:pStyle w:val="ListParagraph"/>
        <w:rPr>
          <w:rFonts w:ascii="Cognizant Sans" w:hAnsi="Cognizant Sans"/>
        </w:rPr>
      </w:pPr>
    </w:p>
    <w:p w14:paraId="1B13DDF1" w14:textId="64361A2D" w:rsidR="00D374C0" w:rsidRDefault="00D374C0" w:rsidP="005934ED">
      <w:pPr>
        <w:pStyle w:val="ListParagraph"/>
        <w:rPr>
          <w:rFonts w:ascii="Cognizant Sans" w:hAnsi="Cognizant Sans"/>
        </w:rPr>
      </w:pPr>
    </w:p>
    <w:p w14:paraId="0A970FF6" w14:textId="604BFB26" w:rsidR="00D374C0" w:rsidRDefault="00D374C0" w:rsidP="005934ED">
      <w:pPr>
        <w:pStyle w:val="ListParagraph"/>
        <w:rPr>
          <w:rFonts w:ascii="Cognizant Sans" w:hAnsi="Cognizant Sans"/>
        </w:rPr>
      </w:pPr>
    </w:p>
    <w:p w14:paraId="7D07D2D3" w14:textId="302FD693" w:rsidR="00D374C0" w:rsidRPr="00D374C0" w:rsidRDefault="00D374C0" w:rsidP="00D374C0">
      <w:pPr>
        <w:rPr>
          <w:rFonts w:ascii="Cognizant Sans" w:hAnsi="Cognizant Sans"/>
        </w:rPr>
      </w:pPr>
    </w:p>
    <w:p w14:paraId="36478ADD" w14:textId="77777777" w:rsidR="00D374C0" w:rsidRPr="00D374C0" w:rsidRDefault="00D374C0" w:rsidP="005934ED">
      <w:pPr>
        <w:pStyle w:val="ListParagraph"/>
        <w:rPr>
          <w:rFonts w:ascii="Cognizant Sans" w:hAnsi="Cognizant Sans"/>
        </w:rPr>
      </w:pPr>
    </w:p>
    <w:p w14:paraId="78FEA123" w14:textId="4B83795F" w:rsidR="003E756B" w:rsidRPr="00D374C0" w:rsidRDefault="005934ED" w:rsidP="003E756B">
      <w:pPr>
        <w:pStyle w:val="ListParagraph"/>
        <w:numPr>
          <w:ilvl w:val="0"/>
          <w:numId w:val="1"/>
        </w:numPr>
        <w:rPr>
          <w:rFonts w:ascii="Cognizant Sans" w:hAnsi="Cognizant Sans"/>
        </w:rPr>
      </w:pPr>
      <w:r w:rsidRPr="00D374C0">
        <w:rPr>
          <w:rFonts w:ascii="Cognizant Sans" w:hAnsi="Cognizant Sans"/>
        </w:rPr>
        <w:t>From here you have options</w:t>
      </w:r>
      <w:r w:rsidR="003E756B" w:rsidRPr="00D374C0">
        <w:rPr>
          <w:rFonts w:ascii="Cognizant Sans" w:hAnsi="Cognizant Sans"/>
        </w:rPr>
        <w:t xml:space="preserve"> to choose </w:t>
      </w:r>
      <w:r w:rsidR="00467354" w:rsidRPr="00D374C0">
        <w:rPr>
          <w:rFonts w:ascii="Cognizant Sans" w:hAnsi="Cognizant Sans"/>
        </w:rPr>
        <w:t xml:space="preserve">the inventory of VMs on any site that </w:t>
      </w:r>
      <w:r w:rsidR="004F3AFA" w:rsidRPr="00D374C0">
        <w:rPr>
          <w:rFonts w:ascii="Cognizant Sans" w:hAnsi="Cognizant Sans"/>
        </w:rPr>
        <w:t>is interconnected with t</w:t>
      </w:r>
      <w:r w:rsidR="00467354" w:rsidRPr="00D374C0">
        <w:rPr>
          <w:rFonts w:ascii="Cognizant Sans" w:hAnsi="Cognizant Sans"/>
        </w:rPr>
        <w:t xml:space="preserve">he </w:t>
      </w:r>
      <w:r w:rsidR="004F3AFA" w:rsidRPr="00D374C0">
        <w:rPr>
          <w:rFonts w:ascii="Cognizant Sans" w:hAnsi="Cognizant Sans"/>
        </w:rPr>
        <w:t xml:space="preserve">current </w:t>
      </w:r>
      <w:r w:rsidR="00467354" w:rsidRPr="00D374C0">
        <w:rPr>
          <w:rFonts w:ascii="Cognizant Sans" w:hAnsi="Cognizant Sans"/>
        </w:rPr>
        <w:t>HCX instance.</w:t>
      </w:r>
      <w:r w:rsidR="00D374C0">
        <w:rPr>
          <w:rFonts w:ascii="Cognizant Sans" w:hAnsi="Cognizant Sans"/>
        </w:rPr>
        <w:br/>
      </w:r>
    </w:p>
    <w:p w14:paraId="5A0AE81E" w14:textId="77777777" w:rsidR="00A34A8F" w:rsidRPr="00D374C0" w:rsidRDefault="00A34A8F" w:rsidP="00A34A8F">
      <w:pPr>
        <w:pStyle w:val="ListParagraph"/>
        <w:ind w:left="1440"/>
        <w:rPr>
          <w:rFonts w:ascii="Cognizant Sans" w:hAnsi="Cognizant Sans"/>
        </w:rPr>
      </w:pPr>
      <w:r w:rsidRPr="00D374C0">
        <w:rPr>
          <w:rFonts w:ascii="Cognizant Sans" w:hAnsi="Cognizant Sans"/>
          <w:noProof/>
        </w:rPr>
        <w:drawing>
          <wp:inline distT="0" distB="0" distL="0" distR="0" wp14:anchorId="39583749" wp14:editId="22949BDE">
            <wp:extent cx="5460265" cy="3429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4726" cy="3431802"/>
                    </a:xfrm>
                    <a:prstGeom prst="rect">
                      <a:avLst/>
                    </a:prstGeom>
                    <a:noFill/>
                    <a:ln>
                      <a:noFill/>
                    </a:ln>
                  </pic:spPr>
                </pic:pic>
              </a:graphicData>
            </a:graphic>
          </wp:inline>
        </w:drawing>
      </w:r>
    </w:p>
    <w:p w14:paraId="6F779B91" w14:textId="77777777" w:rsidR="00A34A8F" w:rsidRPr="00D374C0" w:rsidRDefault="00A34A8F" w:rsidP="00A34A8F">
      <w:pPr>
        <w:pStyle w:val="ListParagraph"/>
        <w:numPr>
          <w:ilvl w:val="1"/>
          <w:numId w:val="1"/>
        </w:numPr>
        <w:rPr>
          <w:rFonts w:ascii="Cognizant Sans" w:hAnsi="Cognizant Sans"/>
        </w:rPr>
      </w:pPr>
      <w:r w:rsidRPr="00D374C0">
        <w:rPr>
          <w:rFonts w:ascii="Cognizant Sans" w:hAnsi="Cognizant Sans"/>
        </w:rPr>
        <w:t>The default options at the top will apply to all VMs selected for migration. The settings can also be changed for each individual VM if needed.</w:t>
      </w:r>
    </w:p>
    <w:p w14:paraId="5A97ED41" w14:textId="77777777" w:rsidR="00A34A8F" w:rsidRPr="00D374C0" w:rsidRDefault="00A34A8F" w:rsidP="00A34A8F">
      <w:pPr>
        <w:pStyle w:val="ListParagraph"/>
        <w:numPr>
          <w:ilvl w:val="1"/>
          <w:numId w:val="1"/>
        </w:numPr>
        <w:rPr>
          <w:rFonts w:ascii="Cognizant Sans" w:hAnsi="Cognizant Sans"/>
        </w:rPr>
      </w:pPr>
      <w:r w:rsidRPr="00D374C0">
        <w:rPr>
          <w:rFonts w:ascii="Cognizant Sans" w:hAnsi="Cognizant Sans"/>
        </w:rPr>
        <w:t>Destination Folder: You can choose a Datacenter or a folder within</w:t>
      </w:r>
    </w:p>
    <w:p w14:paraId="1175BFE4" w14:textId="77777777" w:rsidR="00A34A8F" w:rsidRPr="00D374C0" w:rsidRDefault="00A34A8F" w:rsidP="00A34A8F">
      <w:pPr>
        <w:pStyle w:val="ListParagraph"/>
        <w:numPr>
          <w:ilvl w:val="1"/>
          <w:numId w:val="1"/>
        </w:numPr>
        <w:rPr>
          <w:rFonts w:ascii="Cognizant Sans" w:hAnsi="Cognizant Sans"/>
        </w:rPr>
      </w:pPr>
      <w:r w:rsidRPr="00D374C0">
        <w:rPr>
          <w:rFonts w:ascii="Cognizant Sans" w:hAnsi="Cognizant Sans"/>
        </w:rPr>
        <w:t xml:space="preserve">Destination </w:t>
      </w:r>
      <w:proofErr w:type="spellStart"/>
      <w:r w:rsidRPr="00D374C0">
        <w:rPr>
          <w:rFonts w:ascii="Cognizant Sans" w:hAnsi="Cognizant Sans"/>
        </w:rPr>
        <w:t>Containter</w:t>
      </w:r>
      <w:proofErr w:type="spellEnd"/>
      <w:r w:rsidRPr="00D374C0">
        <w:rPr>
          <w:rFonts w:ascii="Cognizant Sans" w:hAnsi="Cognizant Sans"/>
        </w:rPr>
        <w:t>: This can be a cluster, ESX host, or folder</w:t>
      </w:r>
    </w:p>
    <w:p w14:paraId="6D4F492B" w14:textId="77777777" w:rsidR="00A34A8F" w:rsidRPr="00D374C0" w:rsidRDefault="00A34A8F" w:rsidP="00A34A8F">
      <w:pPr>
        <w:pStyle w:val="ListParagraph"/>
        <w:numPr>
          <w:ilvl w:val="1"/>
          <w:numId w:val="1"/>
        </w:numPr>
        <w:rPr>
          <w:rFonts w:ascii="Cognizant Sans" w:hAnsi="Cognizant Sans"/>
        </w:rPr>
      </w:pPr>
      <w:r w:rsidRPr="00D374C0">
        <w:rPr>
          <w:rFonts w:ascii="Cognizant Sans" w:hAnsi="Cognizant Sans"/>
        </w:rPr>
        <w:t>Storage: choose out of the datastores available on the remote site.</w:t>
      </w:r>
    </w:p>
    <w:p w14:paraId="15B6F16E" w14:textId="77777777" w:rsidR="00A34A8F" w:rsidRPr="00D374C0" w:rsidRDefault="00A34A8F" w:rsidP="00A34A8F">
      <w:pPr>
        <w:pStyle w:val="ListParagraph"/>
        <w:numPr>
          <w:ilvl w:val="1"/>
          <w:numId w:val="1"/>
        </w:numPr>
        <w:rPr>
          <w:rFonts w:ascii="Cognizant Sans" w:hAnsi="Cognizant Sans"/>
        </w:rPr>
      </w:pPr>
      <w:r w:rsidRPr="00D374C0">
        <w:rPr>
          <w:rFonts w:ascii="Cognizant Sans" w:hAnsi="Cognizant Sans"/>
        </w:rPr>
        <w:t>Provisioning type: you can choose to keep the source format, or force the disk provisioning type to be Thin or Thick Provision</w:t>
      </w:r>
    </w:p>
    <w:p w14:paraId="2658D7B6" w14:textId="0DD41E89" w:rsidR="00A34A8F" w:rsidRPr="00D374C0" w:rsidRDefault="00A34A8F" w:rsidP="00A34A8F">
      <w:pPr>
        <w:pStyle w:val="ListParagraph"/>
        <w:numPr>
          <w:ilvl w:val="1"/>
          <w:numId w:val="1"/>
        </w:numPr>
        <w:rPr>
          <w:rFonts w:ascii="Cognizant Sans" w:hAnsi="Cognizant Sans"/>
        </w:rPr>
      </w:pPr>
      <w:r w:rsidRPr="00D374C0">
        <w:rPr>
          <w:rFonts w:ascii="Cognizant Sans" w:hAnsi="Cognizant Sans"/>
        </w:rPr>
        <w:t xml:space="preserve">Migration Type: choose between </w:t>
      </w:r>
      <w:proofErr w:type="spellStart"/>
      <w:r w:rsidRPr="00D374C0">
        <w:rPr>
          <w:rFonts w:ascii="Cognizant Sans" w:hAnsi="Cognizant Sans"/>
        </w:rPr>
        <w:t>vMotion</w:t>
      </w:r>
      <w:proofErr w:type="spellEnd"/>
      <w:r w:rsidRPr="00D374C0">
        <w:rPr>
          <w:rFonts w:ascii="Cognizant Sans" w:hAnsi="Cognizant Sans"/>
        </w:rPr>
        <w:t xml:space="preserve"> or Bulk Migration</w:t>
      </w:r>
      <w:r w:rsidR="00D374C0">
        <w:rPr>
          <w:rFonts w:ascii="Cognizant Sans" w:hAnsi="Cognizant Sans"/>
        </w:rPr>
        <w:br/>
      </w:r>
    </w:p>
    <w:p w14:paraId="2B6B9A4B" w14:textId="3E42CC8C" w:rsidR="00A34A8F" w:rsidRPr="00D374C0" w:rsidRDefault="00A34A8F" w:rsidP="003E756B">
      <w:pPr>
        <w:pStyle w:val="ListParagraph"/>
        <w:numPr>
          <w:ilvl w:val="0"/>
          <w:numId w:val="1"/>
        </w:numPr>
        <w:rPr>
          <w:rFonts w:ascii="Cognizant Sans" w:hAnsi="Cognizant Sans"/>
        </w:rPr>
      </w:pPr>
      <w:r w:rsidRPr="00D374C0">
        <w:rPr>
          <w:rFonts w:ascii="Cognizant Sans" w:hAnsi="Cognizant Sans"/>
        </w:rPr>
        <w:t>In the top left, you can expand the source inventory that contains the VMs you wish to migrate</w:t>
      </w:r>
      <w:r w:rsidRPr="00D374C0">
        <w:rPr>
          <w:rFonts w:ascii="Cognizant Sans" w:hAnsi="Cognizant Sans"/>
        </w:rPr>
        <w:br/>
      </w:r>
      <w:r w:rsidRPr="00D374C0">
        <w:rPr>
          <w:rFonts w:ascii="Cognizant Sans" w:hAnsi="Cognizant Sans"/>
          <w:noProof/>
        </w:rPr>
        <w:drawing>
          <wp:inline distT="0" distB="0" distL="0" distR="0" wp14:anchorId="4AD96CE5" wp14:editId="01AD308F">
            <wp:extent cx="5434642" cy="20437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7185" cy="2048514"/>
                    </a:xfrm>
                    <a:prstGeom prst="rect">
                      <a:avLst/>
                    </a:prstGeom>
                    <a:noFill/>
                    <a:ln>
                      <a:noFill/>
                    </a:ln>
                  </pic:spPr>
                </pic:pic>
              </a:graphicData>
            </a:graphic>
          </wp:inline>
        </w:drawing>
      </w:r>
      <w:r w:rsidR="00D374C0">
        <w:rPr>
          <w:rFonts w:ascii="Cognizant Sans" w:hAnsi="Cognizant Sans"/>
        </w:rPr>
        <w:br/>
      </w:r>
      <w:r w:rsidR="00D374C0">
        <w:rPr>
          <w:rFonts w:ascii="Cognizant Sans" w:hAnsi="Cognizant Sans"/>
        </w:rPr>
        <w:br/>
      </w:r>
    </w:p>
    <w:p w14:paraId="0828A3AE" w14:textId="23ADF845" w:rsidR="00A34A8F" w:rsidRPr="00D374C0" w:rsidRDefault="00A34A8F" w:rsidP="003E756B">
      <w:pPr>
        <w:pStyle w:val="ListParagraph"/>
        <w:numPr>
          <w:ilvl w:val="0"/>
          <w:numId w:val="1"/>
        </w:numPr>
        <w:rPr>
          <w:rFonts w:ascii="Cognizant Sans" w:hAnsi="Cognizant Sans"/>
        </w:rPr>
      </w:pPr>
      <w:r w:rsidRPr="00D374C0">
        <w:rPr>
          <w:rFonts w:ascii="Cognizant Sans" w:hAnsi="Cognizant Sans"/>
        </w:rPr>
        <w:lastRenderedPageBreak/>
        <w:t>Use the checkboxes next to the VM names to select them for migration. Expanding the VM allows you to customize the migration settings if they need to be different than the default settings shown above.</w:t>
      </w:r>
      <w:r w:rsidR="00CC0B8B" w:rsidRPr="00D374C0">
        <w:rPr>
          <w:rFonts w:ascii="Cognizant Sans" w:hAnsi="Cognizant Sans"/>
        </w:rPr>
        <w:t xml:space="preserve"> You can also customize the destination network at the bottom (7)</w:t>
      </w:r>
      <w:r w:rsidR="00D374C0">
        <w:rPr>
          <w:rFonts w:ascii="Cognizant Sans" w:hAnsi="Cognizant Sans"/>
        </w:rPr>
        <w:br/>
      </w:r>
      <w:r w:rsidRPr="00D374C0">
        <w:rPr>
          <w:rFonts w:ascii="Cognizant Sans" w:hAnsi="Cognizant Sans"/>
        </w:rPr>
        <w:br/>
      </w:r>
      <w:r w:rsidRPr="00D374C0">
        <w:rPr>
          <w:rFonts w:ascii="Cognizant Sans" w:hAnsi="Cognizant Sans"/>
          <w:noProof/>
        </w:rPr>
        <w:drawing>
          <wp:inline distT="0" distB="0" distL="0" distR="0" wp14:anchorId="540A2302" wp14:editId="7B5CD60A">
            <wp:extent cx="5231958" cy="3259353"/>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8143" cy="3275666"/>
                    </a:xfrm>
                    <a:prstGeom prst="rect">
                      <a:avLst/>
                    </a:prstGeom>
                    <a:noFill/>
                    <a:ln>
                      <a:noFill/>
                    </a:ln>
                  </pic:spPr>
                </pic:pic>
              </a:graphicData>
            </a:graphic>
          </wp:inline>
        </w:drawing>
      </w:r>
      <w:r w:rsidRPr="00D374C0">
        <w:rPr>
          <w:rFonts w:ascii="Cognizant Sans" w:hAnsi="Cognizant Sans"/>
        </w:rPr>
        <w:br/>
      </w:r>
    </w:p>
    <w:p w14:paraId="03302728" w14:textId="17E49E70" w:rsidR="00A34A8F" w:rsidRPr="00D374C0" w:rsidRDefault="00A34A8F" w:rsidP="003E756B">
      <w:pPr>
        <w:pStyle w:val="ListParagraph"/>
        <w:numPr>
          <w:ilvl w:val="0"/>
          <w:numId w:val="1"/>
        </w:numPr>
        <w:rPr>
          <w:rFonts w:ascii="Cognizant Sans" w:hAnsi="Cognizant Sans"/>
        </w:rPr>
      </w:pPr>
      <w:r w:rsidRPr="00D374C0">
        <w:rPr>
          <w:rFonts w:ascii="Cognizant Sans" w:hAnsi="Cognizant Sans"/>
        </w:rPr>
        <w:t xml:space="preserve">Clicking next will </w:t>
      </w:r>
      <w:r w:rsidR="00CC0B8B" w:rsidRPr="00D374C0">
        <w:rPr>
          <w:rFonts w:ascii="Cognizant Sans" w:hAnsi="Cognizant Sans"/>
        </w:rPr>
        <w:t>bring up the Migration Validation screen. If any VMs have unspecified settings, they will be noted here. It will also give an overview of the settings for each VM that is selected to migrate</w:t>
      </w:r>
      <w:r w:rsidR="00D374C0">
        <w:rPr>
          <w:rFonts w:ascii="Cognizant Sans" w:hAnsi="Cognizant Sans"/>
        </w:rPr>
        <w:br/>
      </w:r>
      <w:r w:rsidR="00CC0B8B" w:rsidRPr="00D374C0">
        <w:rPr>
          <w:rFonts w:ascii="Cognizant Sans" w:hAnsi="Cognizant Sans"/>
        </w:rPr>
        <w:br/>
      </w:r>
      <w:r w:rsidR="00CC0B8B" w:rsidRPr="00D374C0">
        <w:rPr>
          <w:rFonts w:ascii="Cognizant Sans" w:hAnsi="Cognizant Sans"/>
          <w:noProof/>
        </w:rPr>
        <w:drawing>
          <wp:inline distT="0" distB="0" distL="0" distR="0" wp14:anchorId="1E93009A" wp14:editId="6F9714E1">
            <wp:extent cx="5685182" cy="2999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4006" cy="3004561"/>
                    </a:xfrm>
                    <a:prstGeom prst="rect">
                      <a:avLst/>
                    </a:prstGeom>
                    <a:noFill/>
                    <a:ln>
                      <a:noFill/>
                    </a:ln>
                  </pic:spPr>
                </pic:pic>
              </a:graphicData>
            </a:graphic>
          </wp:inline>
        </w:drawing>
      </w:r>
      <w:r w:rsidR="00D374C0">
        <w:rPr>
          <w:rFonts w:ascii="Cognizant Sans" w:hAnsi="Cognizant Sans"/>
        </w:rPr>
        <w:br/>
      </w:r>
      <w:r w:rsidR="00D374C0">
        <w:rPr>
          <w:rFonts w:ascii="Cognizant Sans" w:hAnsi="Cognizant Sans"/>
        </w:rPr>
        <w:br/>
      </w:r>
      <w:r w:rsidR="00D374C0">
        <w:rPr>
          <w:rFonts w:ascii="Cognizant Sans" w:hAnsi="Cognizant Sans"/>
        </w:rPr>
        <w:br/>
      </w:r>
      <w:r w:rsidR="00D374C0">
        <w:rPr>
          <w:rFonts w:ascii="Cognizant Sans" w:hAnsi="Cognizant Sans"/>
        </w:rPr>
        <w:br/>
      </w:r>
      <w:r w:rsidR="00D374C0">
        <w:rPr>
          <w:rFonts w:ascii="Cognizant Sans" w:hAnsi="Cognizant Sans"/>
        </w:rPr>
        <w:br/>
      </w:r>
      <w:r w:rsidR="00D374C0">
        <w:rPr>
          <w:rFonts w:ascii="Cognizant Sans" w:hAnsi="Cognizant Sans"/>
        </w:rPr>
        <w:lastRenderedPageBreak/>
        <w:br/>
      </w:r>
    </w:p>
    <w:p w14:paraId="046E9C5C" w14:textId="389EE4DD" w:rsidR="00CC0B8B" w:rsidRPr="00D374C0" w:rsidRDefault="00CC0B8B" w:rsidP="00CC0B8B">
      <w:pPr>
        <w:pStyle w:val="ListParagraph"/>
        <w:numPr>
          <w:ilvl w:val="0"/>
          <w:numId w:val="1"/>
        </w:numPr>
        <w:rPr>
          <w:rFonts w:ascii="Cognizant Sans" w:hAnsi="Cognizant Sans"/>
        </w:rPr>
      </w:pPr>
      <w:r w:rsidRPr="00D374C0">
        <w:rPr>
          <w:rFonts w:ascii="Cognizant Sans" w:hAnsi="Cognizant Sans"/>
        </w:rPr>
        <w:t>Clicking Finish will start the migration. It will default to the migration status page, or you can navigate to it by going to the HCX menu and choosing Migration under Services.</w:t>
      </w:r>
      <w:r w:rsidR="00D374C0">
        <w:rPr>
          <w:rFonts w:ascii="Cognizant Sans" w:hAnsi="Cognizant Sans"/>
        </w:rPr>
        <w:br/>
      </w:r>
      <w:r w:rsidRPr="00D374C0">
        <w:rPr>
          <w:rFonts w:ascii="Cognizant Sans" w:hAnsi="Cognizant Sans"/>
        </w:rPr>
        <w:br/>
      </w:r>
      <w:r w:rsidRPr="00D374C0">
        <w:rPr>
          <w:rFonts w:ascii="Cognizant Sans" w:hAnsi="Cognizant Sans"/>
          <w:noProof/>
        </w:rPr>
        <w:drawing>
          <wp:inline distT="0" distB="0" distL="0" distR="0" wp14:anchorId="3DE0A82B" wp14:editId="1CACDD63">
            <wp:extent cx="5943600" cy="31349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34995"/>
                    </a:xfrm>
                    <a:prstGeom prst="rect">
                      <a:avLst/>
                    </a:prstGeom>
                  </pic:spPr>
                </pic:pic>
              </a:graphicData>
            </a:graphic>
          </wp:inline>
        </w:drawing>
      </w:r>
      <w:r w:rsidRPr="00D374C0">
        <w:rPr>
          <w:rFonts w:ascii="Cognizant Sans" w:hAnsi="Cognizant Sans"/>
        </w:rPr>
        <w:br/>
      </w:r>
    </w:p>
    <w:sectPr w:rsidR="00CC0B8B" w:rsidRPr="00D374C0" w:rsidSect="00D374C0">
      <w:footerReference w:type="default" r:id="rId17"/>
      <w:pgSz w:w="12240" w:h="15840"/>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979966" w14:textId="77777777" w:rsidR="00516F25" w:rsidRDefault="00516F25" w:rsidP="00D374C0">
      <w:pPr>
        <w:spacing w:after="0" w:line="240" w:lineRule="auto"/>
      </w:pPr>
      <w:r>
        <w:separator/>
      </w:r>
    </w:p>
  </w:endnote>
  <w:endnote w:type="continuationSeparator" w:id="0">
    <w:p w14:paraId="213DE684" w14:textId="77777777" w:rsidR="00516F25" w:rsidRDefault="00516F25" w:rsidP="00D37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D374C0" w:rsidRPr="001F4B6C" w14:paraId="6187CC9D" w14:textId="77777777" w:rsidTr="00046211">
      <w:trPr>
        <w:jc w:val="center"/>
      </w:trPr>
      <w:tc>
        <w:tcPr>
          <w:tcW w:w="3596" w:type="dxa"/>
        </w:tcPr>
        <w:p w14:paraId="11D69F39" w14:textId="77777777" w:rsidR="00D374C0" w:rsidRDefault="00D374C0" w:rsidP="00D374C0">
          <w:pPr>
            <w:pStyle w:val="Footer"/>
          </w:pPr>
          <w:r>
            <w:rPr>
              <w:noProof/>
            </w:rPr>
            <w:drawing>
              <wp:inline distT="0" distB="0" distL="0" distR="0" wp14:anchorId="31C1984D" wp14:editId="6AFC7FB6">
                <wp:extent cx="2209800" cy="457200"/>
                <wp:effectExtent l="0" t="0" r="0" b="0"/>
                <wp:docPr id="6"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71A71616" w14:textId="77777777" w:rsidR="00D374C0" w:rsidRDefault="00D374C0" w:rsidP="00D374C0">
          <w:pPr>
            <w:pStyle w:val="Footer"/>
            <w:jc w:val="center"/>
          </w:pPr>
        </w:p>
        <w:p w14:paraId="320735AA" w14:textId="77777777" w:rsidR="00D374C0" w:rsidRDefault="00D374C0" w:rsidP="00D374C0">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59A29558" w14:textId="77777777" w:rsidR="00D374C0" w:rsidRDefault="00D374C0" w:rsidP="00D374C0">
          <w:pPr>
            <w:pStyle w:val="Footer"/>
          </w:pPr>
        </w:p>
        <w:p w14:paraId="4D4841F6" w14:textId="77777777" w:rsidR="00D374C0" w:rsidRPr="001F4B6C" w:rsidRDefault="00D374C0" w:rsidP="00D374C0">
          <w:pPr>
            <w:pStyle w:val="Footer"/>
          </w:pPr>
          <w:r>
            <w:t>Proprietary and Confidential</w:t>
          </w:r>
        </w:p>
        <w:p w14:paraId="681750E8" w14:textId="77777777" w:rsidR="00D374C0" w:rsidRPr="001F4B6C" w:rsidRDefault="00D374C0" w:rsidP="00D374C0">
          <w:pPr>
            <w:pStyle w:val="Footer"/>
            <w:jc w:val="right"/>
          </w:pPr>
        </w:p>
      </w:tc>
    </w:tr>
  </w:tbl>
  <w:p w14:paraId="65188820" w14:textId="77777777" w:rsidR="00D374C0" w:rsidRDefault="00D374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5367F8" w14:textId="77777777" w:rsidR="00516F25" w:rsidRDefault="00516F25" w:rsidP="00D374C0">
      <w:pPr>
        <w:spacing w:after="0" w:line="240" w:lineRule="auto"/>
      </w:pPr>
      <w:r>
        <w:separator/>
      </w:r>
    </w:p>
  </w:footnote>
  <w:footnote w:type="continuationSeparator" w:id="0">
    <w:p w14:paraId="210F9B9A" w14:textId="77777777" w:rsidR="00516F25" w:rsidRDefault="00516F25" w:rsidP="00D37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F39D9"/>
    <w:multiLevelType w:val="hybridMultilevel"/>
    <w:tmpl w:val="44E0D0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D1CDC"/>
    <w:multiLevelType w:val="hybridMultilevel"/>
    <w:tmpl w:val="D982E0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CE"/>
    <w:rsid w:val="003E756B"/>
    <w:rsid w:val="004009DB"/>
    <w:rsid w:val="00467354"/>
    <w:rsid w:val="004F3AFA"/>
    <w:rsid w:val="00516F25"/>
    <w:rsid w:val="005934ED"/>
    <w:rsid w:val="005B56EB"/>
    <w:rsid w:val="00717876"/>
    <w:rsid w:val="00A34A8F"/>
    <w:rsid w:val="00B23CCE"/>
    <w:rsid w:val="00C607E9"/>
    <w:rsid w:val="00CC0B8B"/>
    <w:rsid w:val="00D374C0"/>
    <w:rsid w:val="00FB6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040A"/>
  <w15:chartTrackingRefBased/>
  <w15:docId w15:val="{E99E01CE-1F09-414F-8C88-9FCEF4A6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CCE"/>
    <w:pPr>
      <w:ind w:left="720"/>
      <w:contextualSpacing/>
    </w:pPr>
  </w:style>
  <w:style w:type="paragraph" w:styleId="Header">
    <w:name w:val="header"/>
    <w:basedOn w:val="Normal"/>
    <w:link w:val="HeaderChar"/>
    <w:uiPriority w:val="99"/>
    <w:unhideWhenUsed/>
    <w:rsid w:val="00D374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4C0"/>
  </w:style>
  <w:style w:type="paragraph" w:styleId="Footer">
    <w:name w:val="footer"/>
    <w:basedOn w:val="Normal"/>
    <w:link w:val="FooterChar"/>
    <w:uiPriority w:val="99"/>
    <w:unhideWhenUsed/>
    <w:rsid w:val="00D374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4C0"/>
  </w:style>
  <w:style w:type="table" w:styleId="TableGrid">
    <w:name w:val="Table Grid"/>
    <w:aliases w:val="Tabla Microsoft Servicios,Deloitte"/>
    <w:basedOn w:val="TableNormal"/>
    <w:uiPriority w:val="39"/>
    <w:rsid w:val="00D3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D711C7-AF72-49BA-9DB4-4310BD0110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2F1963-3DC7-4505-A7B7-8A9883CF600E}">
  <ds:schemaRefs>
    <ds:schemaRef ds:uri="http://schemas.microsoft.com/sharepoint/v3/contenttype/forms"/>
  </ds:schemaRefs>
</ds:datastoreItem>
</file>

<file path=customXml/itemProps3.xml><?xml version="1.0" encoding="utf-8"?>
<ds:datastoreItem xmlns:ds="http://schemas.openxmlformats.org/officeDocument/2006/customXml" ds:itemID="{5AD9BE83-E3F5-4B51-AC0E-C481F86946DE}"/>
</file>

<file path=docProps/app.xml><?xml version="1.0" encoding="utf-8"?>
<Properties xmlns="http://schemas.openxmlformats.org/officeDocument/2006/extended-properties" xmlns:vt="http://schemas.openxmlformats.org/officeDocument/2006/docPropsVTypes">
  <Template>Normal.dotm</Template>
  <TotalTime>0</TotalTime>
  <Pages>4</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Scott Lucksanalamai</cp:lastModifiedBy>
  <cp:revision>2</cp:revision>
  <dcterms:created xsi:type="dcterms:W3CDTF">2021-02-11T02:30:00Z</dcterms:created>
  <dcterms:modified xsi:type="dcterms:W3CDTF">2021-02-11T02:30:00Z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